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3F741B738446FC93553DCA1D9BBBB3"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tabs>
          <w:tab w:val="left" w:pos="2880"/>
        </w:tabs>
        <w:autoSpaceDE w:val="0"/>
        <w:autoSpaceDN w:val="0"/>
        <w:adjustRightInd w:val="0"/>
        <w:rPr>
          <w:noProof/>
        </w:rPr>
      </w:pPr>
      <w:r>
        <w:rPr>
          <w:noProof/>
        </w:rPr>
        <w:t>ЕС и Исландия са страни, подписали Споразумението за Европейското икономическо пространство (Споразумението за ЕИП), което предвижда свободното движение на стоки, с изключение на селскостопанските продукти и продуктите от риболов. Що се отнася до селското стопанство, съгласно член 19 от Споразумението за ЕИП на всеки две години страните ще провеждат преглед на условията за търговия със селскостопански продукти и на взаимна и взаимноизгодна основа ще вземат решение за по-нататъшното намаляване на всички видове пречки пред търговията в сектора на селското стопанство.</w:t>
      </w:r>
    </w:p>
    <w:p>
      <w:pPr>
        <w:tabs>
          <w:tab w:val="left" w:pos="2880"/>
        </w:tabs>
        <w:autoSpaceDE w:val="0"/>
        <w:autoSpaceDN w:val="0"/>
        <w:adjustRightInd w:val="0"/>
        <w:rPr>
          <w:noProof/>
        </w:rPr>
      </w:pPr>
      <w:r>
        <w:rPr>
          <w:noProof/>
        </w:rPr>
        <w:t>Преговорите бяха проведени от 4 юли 2012 г. до 17 септември 2015 г. Настоящото споразумение бе парафирано от страните на 17 септември 2015 г. и предвижда допълнителни търговски преференции в областта на търговията със селскостопански продукти, включително допълнителни изцяло либерализирани тарифни линии. В резултат на това почти 90 % от селскостопанските продукти от ЕС ще влизат в Исландия безмитно. За по-чувствителните продукти като месо, млечни продукти, плодове, зеленчуци и декоративни растения, бяха договорени допълнителни тарифни квоти или тарифни намаления.</w:t>
      </w:r>
    </w:p>
    <w:p>
      <w:pPr>
        <w:tabs>
          <w:tab w:val="left" w:pos="2880"/>
        </w:tabs>
        <w:rPr>
          <w:noProof/>
        </w:rPr>
      </w:pPr>
      <w:r>
        <w:rPr>
          <w:noProof/>
        </w:rPr>
        <w:t>Двете страни възнамеряват настоящото споразумение да влезе в сила на седмия месец след датата, на която страните са се уведомили взаимно, че са приключили необходимите вътрешни процедури.</w:t>
      </w:r>
    </w:p>
    <w:p>
      <w:pPr>
        <w:tabs>
          <w:tab w:val="left" w:pos="2880"/>
        </w:tabs>
        <w:autoSpaceDE w:val="0"/>
        <w:autoSpaceDN w:val="0"/>
        <w:adjustRightInd w:val="0"/>
        <w:rPr>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tabs>
          <w:tab w:val="left" w:pos="2880"/>
        </w:tabs>
        <w:autoSpaceDE w:val="0"/>
        <w:autoSpaceDN w:val="0"/>
        <w:adjustRightInd w:val="0"/>
        <w:rPr>
          <w:noProof/>
        </w:rPr>
      </w:pPr>
      <w:r>
        <w:rPr>
          <w:noProof/>
        </w:rPr>
        <w:t>Предходното споразумение бе под формата на размяна на писма за либерализиране на търговията със селскостопански продукти между Исландия и Европейския съюз въз основа на член 19 от Споразумението за ЕИП и влезе в сила на 1 януари 2007 г. В него се предвиждаха взаимни тарифни квоти и намаления на митата. То включваше и ангажимент на страните да подновят след две години двустранните преговори по член 19 от Споразумението за ЕИП.</w:t>
      </w:r>
    </w:p>
    <w:p>
      <w:pPr>
        <w:tabs>
          <w:tab w:val="left" w:pos="2880"/>
        </w:tabs>
        <w:autoSpaceDE w:val="0"/>
        <w:autoSpaceDN w:val="0"/>
        <w:adjustRightInd w:val="0"/>
        <w:rPr>
          <w:noProof/>
        </w:rPr>
      </w:pPr>
      <w:r>
        <w:rPr>
          <w:noProof/>
        </w:rPr>
        <w:t>В резултат на двустранното споразумение, сключено през 2007 г. между ЕС и Исландия в областта на търговията със селскостопански продукти, безмитният достъп на исландски селскостопански продукти до пазара на ЕС се повиши и достигна 51,9 % от търговията, а безмитният достъп на селскостопански продукти от ЕС до исландския пазар — 66,4 % от търговията. Тези цифри показват съществуването на широко поле за допълнителни търговски отстъпки. Поради това последният кръг от преговорите беше насочен към:</w:t>
      </w:r>
    </w:p>
    <w:p>
      <w:pPr>
        <w:pStyle w:val="Bullet0"/>
        <w:numPr>
          <w:ilvl w:val="0"/>
          <w:numId w:val="11"/>
        </w:numPr>
        <w:rPr>
          <w:noProof/>
        </w:rPr>
      </w:pPr>
      <w:r>
        <w:rPr>
          <w:noProof/>
        </w:rPr>
        <w:t>увеличаване на степента на либерализиране и от двете страни;</w:t>
      </w:r>
    </w:p>
    <w:p>
      <w:pPr>
        <w:pStyle w:val="Bullet0"/>
        <w:rPr>
          <w:noProof/>
        </w:rPr>
      </w:pPr>
      <w:r>
        <w:rPr>
          <w:noProof/>
        </w:rPr>
        <w:t>увеличаване на съществуващите тарифни квоти; както и</w:t>
      </w:r>
    </w:p>
    <w:p>
      <w:pPr>
        <w:pStyle w:val="Bullet0"/>
        <w:rPr>
          <w:noProof/>
        </w:rPr>
      </w:pPr>
      <w:r>
        <w:rPr>
          <w:noProof/>
        </w:rPr>
        <w:t>откриване на нови тарифни квоти за допълнителни селскостопански продукти.</w:t>
      </w:r>
    </w:p>
    <w:p>
      <w:pPr>
        <w:tabs>
          <w:tab w:val="left" w:pos="2880"/>
        </w:tabs>
        <w:autoSpaceDE w:val="0"/>
        <w:autoSpaceDN w:val="0"/>
        <w:adjustRightInd w:val="0"/>
        <w:rPr>
          <w:noProof/>
        </w:rPr>
      </w:pPr>
    </w:p>
    <w:p>
      <w:pPr>
        <w:pStyle w:val="ManualHeading2"/>
        <w:rPr>
          <w:rFonts w:eastAsia="Arial Unicode MS"/>
          <w:noProof/>
        </w:rPr>
      </w:pPr>
      <w:r>
        <w:rPr>
          <w:noProof/>
          <w:color w:val="000000"/>
          <w:u w:color="000000"/>
          <w:bdr w:val="nil"/>
        </w:rPr>
        <w:t>•</w:t>
      </w:r>
      <w:r>
        <w:rPr>
          <w:noProof/>
        </w:rPr>
        <w:tab/>
        <w:t>Съгласуваност с други политики на ЕС</w:t>
      </w:r>
    </w:p>
    <w:p>
      <w:pPr>
        <w:tabs>
          <w:tab w:val="left" w:pos="2880"/>
        </w:tabs>
        <w:autoSpaceDE w:val="0"/>
        <w:autoSpaceDN w:val="0"/>
        <w:adjustRightInd w:val="0"/>
        <w:rPr>
          <w:noProof/>
        </w:rPr>
      </w:pPr>
      <w:r>
        <w:rPr>
          <w:noProof/>
        </w:rPr>
        <w:t>Задълбочаването на търговските отношения с Исландия се вписва в цялостния контекст на търговската политика на ЕС и е в интерес на ЕС, тъй като ЕС е нетен износител на основни селскостопански продукти за Исландия. През 2014 г. търговският баланс е бил 129 милиона евро в полза на ЕС, като износът от ЕС е възлизал на 150 милиона евро, а вносът — на 21 милиона евро. Основните продукти, изнасяни от ЕС, са плодове, зеленчуци и зърнени храни, като за тези стоки достъпът до исландския пазар е до голяма степен безмитен. Вносът в ЕС от Исландия се състои основно от морски водорасли, овче месо, живи коне и кожухарски кожи.</w:t>
      </w:r>
    </w:p>
    <w:p>
      <w:pPr>
        <w:pStyle w:val="ManualHeading1"/>
        <w:rPr>
          <w:noProof/>
        </w:rPr>
      </w:pPr>
      <w:r>
        <w:rPr>
          <w:noProof/>
        </w:rPr>
        <w:t>2.</w:t>
      </w:r>
      <w:r>
        <w:rPr>
          <w:noProof/>
        </w:rPr>
        <w:tab/>
        <w:t>ПРАВНО ОСНОВАНИЕ, СУБСИДИАРНОСТ И ПРОПОРЦИОНАЛНОСТ</w:t>
      </w:r>
    </w:p>
    <w:p>
      <w:pPr>
        <w:tabs>
          <w:tab w:val="left" w:pos="2880"/>
        </w:tabs>
        <w:autoSpaceDE w:val="0"/>
        <w:autoSpaceDN w:val="0"/>
        <w:adjustRightInd w:val="0"/>
        <w:rPr>
          <w:noProof/>
        </w:rPr>
      </w:pPr>
      <w:r>
        <w:rPr>
          <w:noProof/>
        </w:rPr>
        <w:t>През април 2012 г. Съветът упълномощи Комисията да започне нов кръг от преговори с Исландия за постигане на допълнителни преференции в областта на търговията със селскостопански стоки по член 19 от Споразумението за ЕИП.</w:t>
      </w:r>
    </w:p>
    <w:p>
      <w:pPr>
        <w:tabs>
          <w:tab w:val="left" w:pos="2880"/>
        </w:tabs>
        <w:autoSpaceDE w:val="0"/>
        <w:autoSpaceDN w:val="0"/>
        <w:adjustRightInd w:val="0"/>
        <w:rPr>
          <w:noProof/>
        </w:rPr>
      </w:pPr>
    </w:p>
    <w:p>
      <w:pPr>
        <w:pStyle w:val="ManualHeading1"/>
        <w:rPr>
          <w:noProof/>
        </w:rPr>
      </w:pPr>
      <w:r>
        <w:rPr>
          <w:noProof/>
        </w:rPr>
        <w:t>3.</w:t>
      </w:r>
      <w:r>
        <w:rPr>
          <w:noProof/>
        </w:rPr>
        <w:tab/>
        <w:t>ОТРАЖЕНИЕ ВЪРХУ БЮДЖЕТА</w:t>
      </w:r>
    </w:p>
    <w:p>
      <w:pPr>
        <w:tabs>
          <w:tab w:val="left" w:pos="2880"/>
        </w:tabs>
        <w:rPr>
          <w:noProof/>
        </w:rPr>
      </w:pPr>
      <w:r>
        <w:rPr>
          <w:noProof/>
        </w:rPr>
        <w:t>Настоящото споразумение няма да има отражение върху разходната част от бюджета на ЕС. Новите отстъпки по отношение на вноса от Исландия вероятно ще доведат до намаляване на собствените ресурси в резултат на по-малкото събиране на мита.</w:t>
      </w: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 под формата на размяна на писма между Европейския съюз и Исландия относно допълнителни търговски преференции за селскостопански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Член 19 от Споразумението за Европейското икономическо пространство предвижда договарящите се страни да поемат ангажимент да продължат усилията си за постигане на постепенно либерализиране на търговията със селскостопански продукти между тях.</w:t>
      </w:r>
    </w:p>
    <w:p>
      <w:pPr>
        <w:pStyle w:val="ManualConsidrant"/>
        <w:rPr>
          <w:noProof/>
        </w:rPr>
      </w:pPr>
      <w:r>
        <w:rPr>
          <w:noProof/>
        </w:rPr>
        <w:t>(2)</w:t>
      </w:r>
      <w:r>
        <w:rPr>
          <w:noProof/>
        </w:rPr>
        <w:tab/>
        <w:t xml:space="preserve">В съответствие с Решение </w:t>
      </w:r>
      <w:r>
        <w:rPr>
          <w:noProof/>
          <w:highlight w:val="yellow"/>
        </w:rPr>
        <w:t>(ЕС) 2016/…</w:t>
      </w:r>
      <w:r>
        <w:rPr>
          <w:noProof/>
        </w:rPr>
        <w:t xml:space="preserve"> на Съвета</w:t>
      </w:r>
      <w:r>
        <w:rPr>
          <w:rStyle w:val="FootnoteReference"/>
          <w:noProof/>
        </w:rPr>
        <w:footnoteReference w:id="1"/>
      </w:r>
      <w:r>
        <w:rPr>
          <w:noProof/>
        </w:rPr>
        <w:t xml:space="preserve"> Споразумението под формата на размяна на писма между Европейския съюз и Исландия относно допълнителни търговски преференции за селскостопански продукти („Споразумението“) бе подписано на </w:t>
      </w:r>
      <w:r>
        <w:rPr>
          <w:noProof/>
          <w:highlight w:val="yellow"/>
        </w:rPr>
        <w:t>[…]</w:t>
      </w:r>
      <w:r>
        <w:rPr>
          <w:noProof/>
        </w:rPr>
        <w:t>, при условие че бъде сключено.</w:t>
      </w:r>
    </w:p>
    <w:p>
      <w:pPr>
        <w:pStyle w:val="ManualConsidrant"/>
        <w:rPr>
          <w:noProof/>
        </w:rPr>
      </w:pPr>
      <w:r>
        <w:rPr>
          <w:noProof/>
        </w:rPr>
        <w:t>(3)</w:t>
      </w:r>
      <w:r>
        <w:rPr>
          <w:noProof/>
        </w:rPr>
        <w:tab/>
        <w:t>Споразумението следва да бъде одобрено от името на Европейския съюз,</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Споразумението под формата на размяна на писма между Европейския съюз и Исландия относно допълнителни търговски преференции за селскостопански продукти се одобрява от името на Европейския съюз.</w:t>
      </w:r>
    </w:p>
    <w:p>
      <w:pPr>
        <w:rPr>
          <w:noProof/>
        </w:rPr>
      </w:pPr>
      <w:r>
        <w:rPr>
          <w:noProof/>
        </w:rPr>
        <w:t>Текстът на Споразумението е приложен към настоящото решение.</w:t>
      </w:r>
    </w:p>
    <w:p>
      <w:pPr>
        <w:rPr>
          <w:noProof/>
        </w:rPr>
      </w:pP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Европейския съюз, предвидената в Споразумението нотификация, за да се изрази съгласието на Европейския съюз да бъде обвързан със Споразумението.</w:t>
      </w:r>
    </w:p>
    <w:p>
      <w:pPr>
        <w:pStyle w:val="Titrearticle"/>
        <w:rPr>
          <w:noProof/>
        </w:rPr>
      </w:pPr>
      <w:r>
        <w:rPr>
          <w:noProof/>
        </w:rPr>
        <w:t>Член 3</w:t>
      </w:r>
    </w:p>
    <w:p>
      <w:pPr>
        <w:keepNext/>
        <w:keepLines/>
        <w:rPr>
          <w:noProof/>
        </w:rPr>
      </w:pPr>
      <w:r>
        <w:rPr>
          <w:noProof/>
        </w:rPr>
        <w:t>Настоящото решение влиза в сила на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w:t>
      </w:r>
      <w:r>
        <w:rPr>
          <w:highlight w:val="yellow"/>
        </w:rPr>
        <w:t>(ЕС) 2016/…</w:t>
      </w:r>
      <w:r>
        <w:t xml:space="preserve"> на Съвета за подписване, от името на Европейския съюз, на Споразумение под формата на размяна на писма между Европейския съюз и Исландия относно допълнителни търговски преференции за селскостопански продукти (OВ […], […],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1A3D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2C02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6EAB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A0E7A4"/>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6:41: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B3F741B738446FC93553DCA1D9BBBB3"/>
    <w:docVar w:name="LW_CROSSREFERENCE" w:val="&lt;UNUSED&gt;"/>
    <w:docVar w:name="LW_DocType" w:val="COM"/>
    <w:docVar w:name="LW_EMISSION" w:val="9.9.2016"/>
    <w:docVar w:name="LW_EMISSION_ISODATE" w:val="2016-09-0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3"/>
    <w:docVar w:name="LW_REF.II.NEW.CP_YEAR" w:val="2016"/>
    <w:docVar w:name="LW_REF.INST.NEW" w:val="COM"/>
    <w:docVar w:name="LW_REF.INST.NEW_ADOPTED" w:val="final"/>
    <w:docVar w:name="LW_REF.INST.NEW_TEXT" w:val="(2016) 563"/>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48?\u1089?\u1083?\u1072?\u1085?\u1076?\u1080?\u1103? \u1086?\u1090?\u1085?\u1086?\u1089?\u1085?\u1086? \u1076?\u1086?\u1087?\u1098?\u1083?\u1085?\u1080?\u1090?\u1077?\u1083?\u1085?\u1080? \u1090?\u1098?\u1088?\u1075?\u1086?\u1074?\u1089?\u1082?\u1080? \u1087?\u1088?\u1077?\u1092?\u1077?\u1088?\u1077?\u1085?\u1094?\u1080?\u1080? \u1079?\u1072? \u1089?\u1077?\u1083?\u1089?\u1082?\u1086?\u1089?\u1090?\u1086?\u1087?\u1072?\u1085?\u1089?\u1082?\u1080? \u1087?\u1088?\u1086?\u1076?\u1091?\u1082?\u1090?\u1080?"/>
    <w:docVar w:name="LW_TYPE.DOC.CP" w:val="\u1056?\u1045?\u1064?\u1045?\u1053?\u1048?\u1045? \u1053?\u1040? \u1057?\u1066?\u1042?\u1045?\u1058?\u1040?"/>
    <w:docVar w:name="Stamp" w:val="\\dossiers.dgt.cec.eu.int\dossiers\AGRI\AGRI-2016-60447\AGRI-2016-60447-00-01-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2102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75EB-A221-48D5-B28F-2BB95A52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819</Words>
  <Characters>4769</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2016-08-23T08:02:00Z</dcterms:created>
  <dcterms:modified xsi:type="dcterms:W3CDTF">2016-09-12T14:41:00Z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