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pPr>
        <w:pStyle w:val="Pagedecouverture"/>
        <w:rPr>
          <w:noProof/>
        </w:rPr>
      </w:pPr>
      <w:bookmarkStart w:id="0" w:name="LW_BM_COVERPAGE"/>
      <w:r>
        <w:rPr>
          <w:noProof/>
        </w:rPr>
        <w:pict>
          <v:shape id="_x0000_i1045" type="#_x0000_t75" alt="B3039A5A0F814C178E5C8BC0087F9D4F" style="width:450.8pt;height:429.3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600" w:charSpace="32768"/>
        </w:sectPr>
      </w:pPr>
    </w:p>
    <w:p>
      <w:pPr>
        <w:spacing w:line="360" w:lineRule="auto"/>
        <w:ind w:right="-22"/>
        <w:jc w:val="center"/>
        <w:rPr>
          <w:b/>
          <w:smallCaps/>
          <w:noProof/>
          <w:szCs w:val="24"/>
        </w:rPr>
      </w:pPr>
      <w:bookmarkStart w:id="1" w:name="_GoBack"/>
      <w:bookmarkEnd w:id="1"/>
      <w:r>
        <w:rPr>
          <w:b/>
          <w:smallCaps/>
          <w:noProof/>
          <w:szCs w:val="24"/>
        </w:rPr>
        <w:lastRenderedPageBreak/>
        <w:t>MID-TERM REVIEW OF THE EU BIODIVERSITY STRATEGY to 2020</w:t>
      </w:r>
    </w:p>
    <w:p>
      <w:pPr>
        <w:spacing w:line="360" w:lineRule="auto"/>
        <w:ind w:right="-22"/>
        <w:jc w:val="center"/>
        <w:rPr>
          <w:b/>
          <w:smallCaps/>
          <w:noProof/>
          <w:szCs w:val="24"/>
        </w:rPr>
      </w:pPr>
      <w:r>
        <w:rPr>
          <w:b/>
          <w:smallCaps/>
          <w:noProof/>
          <w:szCs w:val="24"/>
        </w:rPr>
        <w:t>EU Assessment of Progress in implementing the EU Biodiversity Strategy to 2020</w:t>
      </w:r>
    </w:p>
    <w:p>
      <w:pPr>
        <w:spacing w:line="360" w:lineRule="auto"/>
        <w:ind w:right="-22"/>
        <w:jc w:val="center"/>
        <w:rPr>
          <w:b/>
          <w:smallCaps/>
          <w:noProof/>
          <w:sz w:val="26"/>
          <w:szCs w:val="26"/>
        </w:rPr>
      </w:pPr>
    </w:p>
    <w:p>
      <w:pPr>
        <w:pStyle w:val="TOCHeading"/>
        <w:keepLines/>
        <w:spacing w:before="360" w:line="360" w:lineRule="auto"/>
        <w:jc w:val="left"/>
        <w:rPr>
          <w:noProof/>
          <w:sz w:val="22"/>
          <w:szCs w:val="22"/>
        </w:rPr>
      </w:pPr>
      <w:r>
        <w:rPr>
          <w:noProof/>
          <w:sz w:val="22"/>
          <w:szCs w:val="22"/>
        </w:rPr>
        <w:t>Table of Contents of the documents</w:t>
      </w:r>
    </w:p>
    <w:p>
      <w:pPr>
        <w:rPr>
          <w:noProof/>
          <w:sz w:val="22"/>
          <w:szCs w:val="22"/>
        </w:rPr>
      </w:pPr>
    </w:p>
    <w:p>
      <w:pPr>
        <w:tabs>
          <w:tab w:val="right" w:leader="dot" w:pos="9639"/>
        </w:tabs>
        <w:spacing w:after="240"/>
        <w:ind w:right="991" w:firstLine="0"/>
        <w:rPr>
          <w:noProof/>
          <w:sz w:val="22"/>
          <w:szCs w:val="22"/>
        </w:rPr>
      </w:pPr>
      <w:r>
        <w:rPr>
          <w:noProof/>
          <w:sz w:val="22"/>
          <w:szCs w:val="22"/>
        </w:rPr>
        <w:t>I. INTRODUCTION</w:t>
      </w:r>
      <w:r>
        <w:rPr>
          <w:noProof/>
          <w:sz w:val="22"/>
          <w:szCs w:val="22"/>
        </w:rPr>
        <w:tab/>
        <w:t>PART 1/3</w:t>
      </w:r>
    </w:p>
    <w:p>
      <w:pPr>
        <w:tabs>
          <w:tab w:val="right" w:leader="dot" w:pos="9639"/>
        </w:tabs>
        <w:spacing w:after="240"/>
        <w:ind w:right="991" w:firstLine="0"/>
        <w:rPr>
          <w:noProof/>
          <w:sz w:val="22"/>
          <w:szCs w:val="22"/>
        </w:rPr>
      </w:pPr>
      <w:r>
        <w:rPr>
          <w:noProof/>
          <w:sz w:val="22"/>
          <w:szCs w:val="22"/>
        </w:rPr>
        <w:t>II. BIODIVERSITY IN THE EU</w:t>
      </w:r>
      <w:r>
        <w:rPr>
          <w:noProof/>
          <w:sz w:val="22"/>
          <w:szCs w:val="22"/>
        </w:rPr>
        <w:tab/>
        <w:t>PART 1/3</w:t>
      </w:r>
    </w:p>
    <w:p>
      <w:pPr>
        <w:tabs>
          <w:tab w:val="right" w:leader="dot" w:pos="9639"/>
        </w:tabs>
        <w:spacing w:after="240"/>
        <w:ind w:right="991" w:firstLine="0"/>
        <w:rPr>
          <w:noProof/>
          <w:sz w:val="22"/>
          <w:szCs w:val="22"/>
        </w:rPr>
      </w:pPr>
      <w:r>
        <w:rPr>
          <w:noProof/>
          <w:sz w:val="22"/>
          <w:szCs w:val="22"/>
        </w:rPr>
        <w:t>III. PROGRESS SINCE 2011</w:t>
      </w:r>
      <w:r>
        <w:rPr>
          <w:noProof/>
          <w:sz w:val="22"/>
          <w:szCs w:val="22"/>
        </w:rPr>
        <w:tab/>
        <w:t>PART 1/3</w:t>
      </w:r>
    </w:p>
    <w:p>
      <w:pPr>
        <w:tabs>
          <w:tab w:val="right" w:leader="dot" w:pos="9639"/>
        </w:tabs>
        <w:spacing w:after="240"/>
        <w:ind w:left="709" w:right="991" w:firstLine="0"/>
        <w:rPr>
          <w:noProof/>
          <w:sz w:val="22"/>
          <w:szCs w:val="22"/>
        </w:rPr>
      </w:pPr>
      <w:r>
        <w:rPr>
          <w:noProof/>
          <w:sz w:val="22"/>
          <w:szCs w:val="22"/>
        </w:rPr>
        <w:t>2020 Biodiversity Headline Target</w:t>
      </w:r>
      <w:r>
        <w:rPr>
          <w:noProof/>
          <w:sz w:val="22"/>
          <w:szCs w:val="22"/>
        </w:rPr>
        <w:tab/>
        <w:t>PART 1/3</w:t>
      </w:r>
    </w:p>
    <w:p>
      <w:pPr>
        <w:tabs>
          <w:tab w:val="right" w:leader="dot" w:pos="9639"/>
        </w:tabs>
        <w:spacing w:after="240"/>
        <w:ind w:left="709" w:right="991" w:firstLine="0"/>
        <w:rPr>
          <w:noProof/>
          <w:sz w:val="22"/>
          <w:szCs w:val="22"/>
        </w:rPr>
      </w:pPr>
      <w:r>
        <w:rPr>
          <w:noProof/>
          <w:sz w:val="22"/>
          <w:szCs w:val="22"/>
        </w:rPr>
        <w:t>Target 1 – Fully Implement the Birds and Habitats Directives</w:t>
      </w:r>
      <w:r>
        <w:rPr>
          <w:noProof/>
          <w:sz w:val="22"/>
          <w:szCs w:val="22"/>
        </w:rPr>
        <w:tab/>
        <w:t>PART 1/3</w:t>
      </w:r>
    </w:p>
    <w:p>
      <w:pPr>
        <w:tabs>
          <w:tab w:val="right" w:leader="dot" w:pos="9639"/>
        </w:tabs>
        <w:spacing w:after="240"/>
        <w:ind w:left="709" w:right="991" w:firstLine="0"/>
        <w:rPr>
          <w:noProof/>
          <w:sz w:val="22"/>
          <w:szCs w:val="22"/>
        </w:rPr>
      </w:pPr>
      <w:r>
        <w:rPr>
          <w:noProof/>
          <w:sz w:val="22"/>
          <w:szCs w:val="22"/>
        </w:rPr>
        <w:t>Target 2 – Maintain and Restore Ecosystems and their Services</w:t>
      </w:r>
      <w:r>
        <w:rPr>
          <w:noProof/>
          <w:sz w:val="22"/>
          <w:szCs w:val="22"/>
        </w:rPr>
        <w:tab/>
        <w:t>PART 2/3</w:t>
      </w:r>
    </w:p>
    <w:p>
      <w:pPr>
        <w:tabs>
          <w:tab w:val="right" w:leader="dot" w:pos="9639"/>
        </w:tabs>
        <w:spacing w:after="240"/>
        <w:ind w:left="709" w:right="991" w:firstLine="0"/>
        <w:rPr>
          <w:noProof/>
          <w:sz w:val="22"/>
          <w:szCs w:val="22"/>
        </w:rPr>
      </w:pPr>
      <w:r>
        <w:rPr>
          <w:noProof/>
          <w:sz w:val="22"/>
          <w:szCs w:val="22"/>
        </w:rPr>
        <w:t>Target 3a – Increase the contribution of agriculture to maintaining and enhancing biodiversity</w:t>
      </w:r>
      <w:r>
        <w:rPr>
          <w:noProof/>
          <w:sz w:val="22"/>
          <w:szCs w:val="22"/>
        </w:rPr>
        <w:tab/>
        <w:t>PART 2/3</w:t>
      </w:r>
    </w:p>
    <w:p>
      <w:pPr>
        <w:tabs>
          <w:tab w:val="right" w:leader="dot" w:pos="9639"/>
        </w:tabs>
        <w:spacing w:after="240"/>
        <w:ind w:left="709" w:right="992" w:firstLine="0"/>
        <w:rPr>
          <w:noProof/>
          <w:sz w:val="22"/>
          <w:szCs w:val="22"/>
        </w:rPr>
      </w:pPr>
      <w:r>
        <w:rPr>
          <w:noProof/>
          <w:sz w:val="22"/>
          <w:szCs w:val="22"/>
        </w:rPr>
        <w:t xml:space="preserve">Target 3b – Increase the contribution of forestry to maintaining and enhancing biodiversity </w:t>
      </w:r>
      <w:r>
        <w:rPr>
          <w:noProof/>
          <w:sz w:val="22"/>
          <w:szCs w:val="22"/>
        </w:rPr>
        <w:tab/>
        <w:t>PART 2/3</w:t>
      </w:r>
    </w:p>
    <w:p>
      <w:pPr>
        <w:tabs>
          <w:tab w:val="right" w:leader="dot" w:pos="9639"/>
        </w:tabs>
        <w:spacing w:after="240"/>
        <w:ind w:left="709" w:right="992" w:firstLine="0"/>
        <w:rPr>
          <w:noProof/>
          <w:sz w:val="22"/>
          <w:szCs w:val="22"/>
        </w:rPr>
      </w:pPr>
      <w:r>
        <w:rPr>
          <w:noProof/>
          <w:sz w:val="22"/>
          <w:szCs w:val="22"/>
        </w:rPr>
        <w:t>Target 4 – Ensure the sustainable use of fisheries resources and good environmental status</w:t>
      </w:r>
      <w:r>
        <w:rPr>
          <w:noProof/>
          <w:sz w:val="22"/>
          <w:szCs w:val="22"/>
        </w:rPr>
        <w:tab/>
        <w:t>PART 3/3</w:t>
      </w:r>
    </w:p>
    <w:p>
      <w:pPr>
        <w:tabs>
          <w:tab w:val="right" w:leader="dot" w:pos="9639"/>
        </w:tabs>
        <w:spacing w:after="240"/>
        <w:ind w:left="709" w:right="992" w:firstLine="0"/>
        <w:rPr>
          <w:noProof/>
          <w:sz w:val="22"/>
          <w:szCs w:val="22"/>
          <w:lang w:val="fr-BE"/>
        </w:rPr>
      </w:pPr>
      <w:r>
        <w:rPr>
          <w:noProof/>
          <w:sz w:val="22"/>
          <w:szCs w:val="22"/>
          <w:lang w:val="fr-BE"/>
        </w:rPr>
        <w:t>Target 5 – Combat Invasive Alien Species</w:t>
      </w:r>
      <w:r>
        <w:rPr>
          <w:noProof/>
          <w:sz w:val="22"/>
          <w:szCs w:val="22"/>
          <w:lang w:val="fr-BE"/>
        </w:rPr>
        <w:tab/>
        <w:t>PART 3/3</w:t>
      </w:r>
    </w:p>
    <w:p>
      <w:pPr>
        <w:tabs>
          <w:tab w:val="right" w:leader="dot" w:pos="9639"/>
        </w:tabs>
        <w:spacing w:after="240"/>
        <w:ind w:left="709" w:right="991" w:firstLine="0"/>
        <w:rPr>
          <w:noProof/>
          <w:sz w:val="22"/>
          <w:szCs w:val="22"/>
        </w:rPr>
      </w:pPr>
      <w:r>
        <w:rPr>
          <w:noProof/>
          <w:sz w:val="22"/>
          <w:szCs w:val="22"/>
        </w:rPr>
        <w:t>Target 6 – Help avert global biodiversity loss</w:t>
      </w:r>
      <w:r>
        <w:rPr>
          <w:noProof/>
          <w:sz w:val="22"/>
          <w:szCs w:val="22"/>
        </w:rPr>
        <w:tab/>
        <w:t>PART 3/3</w:t>
      </w:r>
    </w:p>
    <w:p>
      <w:pPr>
        <w:tabs>
          <w:tab w:val="right" w:leader="dot" w:pos="9639"/>
        </w:tabs>
        <w:spacing w:after="240"/>
        <w:ind w:right="991" w:firstLine="0"/>
        <w:rPr>
          <w:noProof/>
          <w:color w:val="000000" w:themeColor="text1"/>
          <w:sz w:val="22"/>
          <w:szCs w:val="22"/>
        </w:rPr>
      </w:pPr>
      <w:r>
        <w:rPr>
          <w:noProof/>
          <w:sz w:val="22"/>
          <w:szCs w:val="22"/>
        </w:rPr>
        <w:t xml:space="preserve">IV. </w:t>
      </w:r>
      <w:r>
        <w:rPr>
          <w:noProof/>
          <w:color w:val="000000" w:themeColor="text1"/>
          <w:sz w:val="22"/>
          <w:szCs w:val="22"/>
        </w:rPr>
        <w:t>HORIZONTAL MEASURES</w:t>
      </w:r>
      <w:r>
        <w:rPr>
          <w:noProof/>
          <w:color w:val="000000" w:themeColor="text1"/>
          <w:sz w:val="22"/>
          <w:szCs w:val="22"/>
        </w:rPr>
        <w:tab/>
        <w:t>PART 3/3</w:t>
      </w:r>
    </w:p>
    <w:p>
      <w:pPr>
        <w:tabs>
          <w:tab w:val="right" w:leader="dot" w:pos="9639"/>
        </w:tabs>
        <w:spacing w:after="240"/>
        <w:ind w:left="709" w:right="991" w:firstLine="0"/>
        <w:rPr>
          <w:noProof/>
          <w:color w:val="000000" w:themeColor="text1"/>
          <w:sz w:val="22"/>
          <w:szCs w:val="22"/>
        </w:rPr>
      </w:pPr>
      <w:r>
        <w:rPr>
          <w:noProof/>
          <w:color w:val="000000" w:themeColor="text1"/>
          <w:sz w:val="22"/>
          <w:szCs w:val="22"/>
        </w:rPr>
        <w:t>Mobilising resources to support biodiversity</w:t>
      </w:r>
      <w:r>
        <w:rPr>
          <w:noProof/>
          <w:color w:val="000000" w:themeColor="text1"/>
          <w:sz w:val="22"/>
          <w:szCs w:val="22"/>
        </w:rPr>
        <w:tab/>
        <w:t>PART 3/3</w:t>
      </w:r>
    </w:p>
    <w:p>
      <w:pPr>
        <w:tabs>
          <w:tab w:val="right" w:leader="dot" w:pos="9639"/>
        </w:tabs>
        <w:spacing w:after="240"/>
        <w:ind w:left="709" w:right="991" w:firstLine="0"/>
        <w:rPr>
          <w:noProof/>
          <w:color w:val="000000" w:themeColor="text1"/>
          <w:sz w:val="22"/>
          <w:szCs w:val="22"/>
        </w:rPr>
      </w:pPr>
      <w:r>
        <w:rPr>
          <w:noProof/>
          <w:color w:val="000000" w:themeColor="text1"/>
          <w:sz w:val="22"/>
          <w:szCs w:val="22"/>
        </w:rPr>
        <w:t>Partnerships for Biodiversity</w:t>
      </w:r>
      <w:r>
        <w:rPr>
          <w:noProof/>
          <w:color w:val="000000" w:themeColor="text1"/>
          <w:sz w:val="22"/>
          <w:szCs w:val="22"/>
        </w:rPr>
        <w:tab/>
        <w:t>PART 3/3</w:t>
      </w:r>
    </w:p>
    <w:p>
      <w:pPr>
        <w:tabs>
          <w:tab w:val="right" w:leader="dot" w:pos="9639"/>
        </w:tabs>
        <w:spacing w:after="240"/>
        <w:ind w:left="709" w:right="991" w:firstLine="0"/>
        <w:rPr>
          <w:noProof/>
          <w:color w:val="000000" w:themeColor="text1"/>
          <w:sz w:val="22"/>
          <w:szCs w:val="22"/>
        </w:rPr>
      </w:pPr>
      <w:r>
        <w:rPr>
          <w:noProof/>
          <w:color w:val="000000" w:themeColor="text1"/>
          <w:sz w:val="22"/>
          <w:szCs w:val="22"/>
        </w:rPr>
        <w:t>Building on the biodiversity knowledge</w:t>
      </w:r>
      <w:r>
        <w:rPr>
          <w:noProof/>
          <w:color w:val="000000" w:themeColor="text1"/>
          <w:sz w:val="22"/>
          <w:szCs w:val="22"/>
        </w:rPr>
        <w:tab/>
        <w:t>PART 3/3</w:t>
      </w:r>
    </w:p>
    <w:p>
      <w:pPr>
        <w:pStyle w:val="TOC1"/>
        <w:rPr>
          <w:rStyle w:val="Hyperlink"/>
          <w:noProof/>
          <w:color w:val="000000" w:themeColor="text1"/>
          <w:u w:val="none"/>
        </w:rPr>
      </w:pPr>
      <w:hyperlink w:anchor="_Toc426300705" w:history="1">
        <w:r>
          <w:rPr>
            <w:rStyle w:val="Hyperlink"/>
            <w:noProof/>
            <w:color w:val="000000" w:themeColor="text1"/>
            <w:u w:val="none"/>
          </w:rPr>
          <w:t>Annex I: 'Dashboard'</w:t>
        </w:r>
        <w:r>
          <w:rPr>
            <w:rStyle w:val="Hyperlink"/>
            <w:noProof/>
            <w:webHidden/>
            <w:color w:val="000000" w:themeColor="text1"/>
            <w:u w:val="none"/>
          </w:rPr>
          <w:tab/>
          <w:t>Part 3/3</w:t>
        </w:r>
        <w:r>
          <w:rPr>
            <w:rStyle w:val="Hyperlink"/>
            <w:noProof/>
            <w:color w:val="000000" w:themeColor="text1"/>
            <w:u w:val="none"/>
          </w:rPr>
          <w:br/>
        </w:r>
        <w:r>
          <w:rPr>
            <w:rStyle w:val="Hyperlink"/>
            <w:noProof/>
            <w:color w:val="000000" w:themeColor="text1"/>
            <w:u w:val="none"/>
          </w:rPr>
          <w:br/>
          <w:t>ANNEX II: Indicative list of research projects</w:t>
        </w:r>
        <w:r>
          <w:rPr>
            <w:rStyle w:val="Hyperlink"/>
            <w:noProof/>
            <w:webHidden/>
            <w:color w:val="000000" w:themeColor="text1"/>
            <w:u w:val="none"/>
          </w:rPr>
          <w:tab/>
          <w:t>PART 3/3</w:t>
        </w:r>
      </w:hyperlink>
    </w:p>
    <w:p>
      <w:pPr>
        <w:pStyle w:val="TOC1"/>
        <w:rPr>
          <w:rStyle w:val="Hyperlink"/>
          <w:noProof/>
          <w:color w:val="auto"/>
          <w:u w:val="none"/>
        </w:rPr>
      </w:pPr>
      <w:hyperlink w:anchor="_Toc426300706" w:history="1">
        <w:r>
          <w:rPr>
            <w:rStyle w:val="Hyperlink"/>
            <w:noProof/>
            <w:color w:val="000000" w:themeColor="text1"/>
            <w:u w:val="none"/>
          </w:rPr>
          <w:t>Annex II: Indicative list of development cooperation projects</w:t>
        </w:r>
        <w:r>
          <w:rPr>
            <w:rStyle w:val="Hyperlink"/>
            <w:noProof/>
            <w:webHidden/>
            <w:color w:val="000000" w:themeColor="text1"/>
            <w:u w:val="none"/>
          </w:rPr>
          <w:tab/>
          <w:t>PART 3/3</w:t>
        </w:r>
      </w:hyperlink>
    </w:p>
    <w:p>
      <w:pPr>
        <w:suppressAutoHyphens w:val="0"/>
        <w:ind w:firstLine="0"/>
        <w:jc w:val="left"/>
        <w:rPr>
          <w:noProof/>
        </w:rPr>
      </w:pPr>
      <w:r>
        <w:rPr>
          <w:noProof/>
        </w:rPr>
        <w:br w:type="page"/>
      </w:r>
    </w:p>
    <w:p>
      <w:pPr>
        <w:pStyle w:val="TOCHeading"/>
        <w:keepLines/>
        <w:spacing w:before="360" w:line="360" w:lineRule="auto"/>
        <w:jc w:val="left"/>
        <w:rPr>
          <w:noProof/>
          <w:sz w:val="22"/>
          <w:szCs w:val="22"/>
        </w:rPr>
      </w:pPr>
    </w:p>
    <w:p>
      <w:pPr>
        <w:pStyle w:val="TOCHeading"/>
        <w:keepLines/>
        <w:spacing w:before="360" w:line="360" w:lineRule="auto"/>
        <w:jc w:val="left"/>
        <w:rPr>
          <w:noProof/>
          <w:sz w:val="22"/>
          <w:szCs w:val="22"/>
        </w:rPr>
      </w:pPr>
    </w:p>
    <w:p>
      <w:pPr>
        <w:pStyle w:val="TOCHeading"/>
        <w:keepLines/>
        <w:spacing w:before="360" w:line="360" w:lineRule="auto"/>
        <w:jc w:val="left"/>
        <w:rPr>
          <w:noProof/>
          <w:szCs w:val="24"/>
        </w:rPr>
      </w:pPr>
      <w:r>
        <w:rPr>
          <w:noProof/>
          <w:szCs w:val="24"/>
        </w:rPr>
        <w:t>Table of Contents of PART 1/3</w:t>
      </w:r>
    </w:p>
    <w:p>
      <w:pPr>
        <w:rPr>
          <w:noProof/>
          <w:sz w:val="22"/>
          <w:szCs w:val="22"/>
        </w:rPr>
      </w:pPr>
    </w:p>
    <w:p>
      <w:pPr>
        <w:rPr>
          <w:noProof/>
          <w:sz w:val="22"/>
          <w:szCs w:val="22"/>
        </w:rPr>
      </w:pPr>
    </w:p>
    <w:p>
      <w:pPr>
        <w:pStyle w:val="TOC1"/>
        <w:tabs>
          <w:tab w:val="left" w:pos="510"/>
        </w:tabs>
        <w:rPr>
          <w:rFonts w:asciiTheme="minorHAnsi" w:eastAsiaTheme="minorEastAsia" w:hAnsiTheme="minorHAnsi" w:cstheme="minorBidi"/>
          <w:caps w:val="0"/>
          <w:noProof/>
          <w:sz w:val="22"/>
          <w:szCs w:val="22"/>
          <w:lang w:eastAsia="zh-CN"/>
        </w:rPr>
      </w:pPr>
      <w:r>
        <w:rPr>
          <w:noProof/>
          <w:sz w:val="22"/>
          <w:szCs w:val="22"/>
        </w:rPr>
        <w:fldChar w:fldCharType="begin"/>
      </w:r>
      <w:r>
        <w:rPr>
          <w:noProof/>
          <w:sz w:val="22"/>
          <w:szCs w:val="22"/>
        </w:rPr>
        <w:instrText xml:space="preserve"> TOC \o "1-3" \h \z \u </w:instrText>
      </w:r>
      <w:r>
        <w:rPr>
          <w:noProof/>
          <w:sz w:val="22"/>
          <w:szCs w:val="22"/>
        </w:rPr>
        <w:fldChar w:fldCharType="separate"/>
      </w:r>
      <w:hyperlink w:anchor="_Toc426295975" w:history="1">
        <w:r>
          <w:rPr>
            <w:rStyle w:val="Hyperlink"/>
            <w:noProof/>
          </w:rPr>
          <w:t>I.</w:t>
        </w:r>
        <w:r>
          <w:rPr>
            <w:rFonts w:asciiTheme="minorHAnsi" w:eastAsiaTheme="minorEastAsia" w:hAnsiTheme="minorHAnsi" w:cstheme="minorBidi"/>
            <w:caps w:val="0"/>
            <w:noProof/>
            <w:sz w:val="22"/>
            <w:szCs w:val="22"/>
            <w:lang w:eastAsia="zh-CN"/>
          </w:rPr>
          <w:tab/>
        </w:r>
        <w:r>
          <w:rPr>
            <w:rStyle w:val="Hyperlink"/>
            <w:noProof/>
          </w:rPr>
          <w:t>INTRODUCTION</w:t>
        </w:r>
        <w:r>
          <w:rPr>
            <w:noProof/>
            <w:webHidden/>
          </w:rPr>
          <w:tab/>
        </w:r>
        <w:r>
          <w:rPr>
            <w:noProof/>
            <w:webHidden/>
          </w:rPr>
          <w:fldChar w:fldCharType="begin"/>
        </w:r>
        <w:r>
          <w:rPr>
            <w:noProof/>
            <w:webHidden/>
          </w:rPr>
          <w:instrText xml:space="preserve"> PAGEREF _Toc426295975 \h </w:instrText>
        </w:r>
        <w:r>
          <w:rPr>
            <w:noProof/>
            <w:webHidden/>
          </w:rPr>
        </w:r>
        <w:r>
          <w:rPr>
            <w:noProof/>
            <w:webHidden/>
          </w:rPr>
          <w:fldChar w:fldCharType="separate"/>
        </w:r>
        <w:r>
          <w:rPr>
            <w:noProof/>
            <w:webHidden/>
          </w:rPr>
          <w:t>4</w:t>
        </w:r>
        <w:r>
          <w:rPr>
            <w:noProof/>
            <w:webHidden/>
          </w:rPr>
          <w:fldChar w:fldCharType="end"/>
        </w:r>
      </w:hyperlink>
    </w:p>
    <w:p>
      <w:pPr>
        <w:pStyle w:val="TOC1"/>
        <w:tabs>
          <w:tab w:val="left" w:pos="510"/>
        </w:tabs>
        <w:rPr>
          <w:rFonts w:asciiTheme="minorHAnsi" w:eastAsiaTheme="minorEastAsia" w:hAnsiTheme="minorHAnsi" w:cstheme="minorBidi"/>
          <w:caps w:val="0"/>
          <w:noProof/>
          <w:sz w:val="22"/>
          <w:szCs w:val="22"/>
          <w:lang w:eastAsia="zh-CN"/>
        </w:rPr>
      </w:pPr>
      <w:hyperlink w:anchor="_Toc426295976" w:history="1">
        <w:r>
          <w:rPr>
            <w:rStyle w:val="Hyperlink"/>
            <w:noProof/>
          </w:rPr>
          <w:t>II.</w:t>
        </w:r>
        <w:r>
          <w:rPr>
            <w:rFonts w:asciiTheme="minorHAnsi" w:eastAsiaTheme="minorEastAsia" w:hAnsiTheme="minorHAnsi" w:cstheme="minorBidi"/>
            <w:caps w:val="0"/>
            <w:noProof/>
            <w:sz w:val="22"/>
            <w:szCs w:val="22"/>
            <w:lang w:eastAsia="zh-CN"/>
          </w:rPr>
          <w:tab/>
        </w:r>
        <w:r>
          <w:rPr>
            <w:rStyle w:val="Hyperlink"/>
            <w:noProof/>
          </w:rPr>
          <w:t>BIODIVERSITY IN THE EU</w:t>
        </w:r>
        <w:r>
          <w:rPr>
            <w:noProof/>
            <w:webHidden/>
          </w:rPr>
          <w:tab/>
        </w:r>
        <w:r>
          <w:rPr>
            <w:noProof/>
            <w:webHidden/>
          </w:rPr>
          <w:fldChar w:fldCharType="begin"/>
        </w:r>
        <w:r>
          <w:rPr>
            <w:noProof/>
            <w:webHidden/>
          </w:rPr>
          <w:instrText xml:space="preserve"> PAGEREF _Toc426295976 \h </w:instrText>
        </w:r>
        <w:r>
          <w:rPr>
            <w:noProof/>
            <w:webHidden/>
          </w:rPr>
        </w:r>
        <w:r>
          <w:rPr>
            <w:noProof/>
            <w:webHidden/>
          </w:rPr>
          <w:fldChar w:fldCharType="separate"/>
        </w:r>
        <w:r>
          <w:rPr>
            <w:noProof/>
            <w:webHidden/>
          </w:rPr>
          <w:t>7</w:t>
        </w:r>
        <w:r>
          <w:rPr>
            <w:noProof/>
            <w:webHidden/>
          </w:rPr>
          <w:fldChar w:fldCharType="end"/>
        </w:r>
      </w:hyperlink>
    </w:p>
    <w:p>
      <w:pPr>
        <w:pStyle w:val="TOC1"/>
        <w:tabs>
          <w:tab w:val="left" w:pos="510"/>
        </w:tabs>
        <w:rPr>
          <w:rFonts w:asciiTheme="minorHAnsi" w:eastAsiaTheme="minorEastAsia" w:hAnsiTheme="minorHAnsi" w:cstheme="minorBidi"/>
          <w:caps w:val="0"/>
          <w:noProof/>
          <w:sz w:val="22"/>
          <w:szCs w:val="22"/>
          <w:lang w:eastAsia="zh-CN"/>
        </w:rPr>
      </w:pPr>
      <w:hyperlink w:anchor="_Toc426295977" w:history="1">
        <w:r>
          <w:rPr>
            <w:rStyle w:val="Hyperlink"/>
            <w:noProof/>
          </w:rPr>
          <w:t>III.</w:t>
        </w:r>
        <w:r>
          <w:rPr>
            <w:rFonts w:asciiTheme="minorHAnsi" w:eastAsiaTheme="minorEastAsia" w:hAnsiTheme="minorHAnsi" w:cstheme="minorBidi"/>
            <w:caps w:val="0"/>
            <w:noProof/>
            <w:sz w:val="22"/>
            <w:szCs w:val="22"/>
            <w:lang w:eastAsia="zh-CN"/>
          </w:rPr>
          <w:tab/>
        </w:r>
        <w:r>
          <w:rPr>
            <w:rStyle w:val="Hyperlink"/>
            <w:noProof/>
          </w:rPr>
          <w:t>Progress since 2011</w:t>
        </w:r>
        <w:r>
          <w:rPr>
            <w:noProof/>
            <w:webHidden/>
          </w:rPr>
          <w:tab/>
        </w:r>
        <w:r>
          <w:rPr>
            <w:noProof/>
            <w:webHidden/>
          </w:rPr>
          <w:fldChar w:fldCharType="begin"/>
        </w:r>
        <w:r>
          <w:rPr>
            <w:noProof/>
            <w:webHidden/>
          </w:rPr>
          <w:instrText xml:space="preserve"> PAGEREF _Toc426295977 \h </w:instrText>
        </w:r>
        <w:r>
          <w:rPr>
            <w:noProof/>
            <w:webHidden/>
          </w:rPr>
        </w:r>
        <w:r>
          <w:rPr>
            <w:noProof/>
            <w:webHidden/>
          </w:rPr>
          <w:fldChar w:fldCharType="separate"/>
        </w:r>
        <w:r>
          <w:rPr>
            <w:noProof/>
            <w:webHidden/>
          </w:rPr>
          <w:t>8</w:t>
        </w:r>
        <w:r>
          <w:rPr>
            <w:noProof/>
            <w:webHidden/>
          </w:rPr>
          <w:fldChar w:fldCharType="end"/>
        </w:r>
      </w:hyperlink>
    </w:p>
    <w:p>
      <w:pPr>
        <w:pStyle w:val="TOC2"/>
        <w:rPr>
          <w:rFonts w:asciiTheme="minorHAnsi" w:eastAsiaTheme="minorEastAsia" w:hAnsiTheme="minorHAnsi" w:cstheme="minorBidi"/>
          <w:noProof/>
          <w:sz w:val="22"/>
          <w:szCs w:val="22"/>
          <w:lang w:eastAsia="zh-CN"/>
        </w:rPr>
      </w:pPr>
      <w:hyperlink w:anchor="_Toc426295978" w:history="1">
        <w:r>
          <w:rPr>
            <w:rStyle w:val="Hyperlink"/>
            <w:noProof/>
          </w:rPr>
          <w:t>2020 Biodiversity Headline Target</w:t>
        </w:r>
        <w:r>
          <w:rPr>
            <w:noProof/>
            <w:webHidden/>
          </w:rPr>
          <w:tab/>
        </w:r>
        <w:r>
          <w:rPr>
            <w:noProof/>
            <w:webHidden/>
          </w:rPr>
          <w:fldChar w:fldCharType="begin"/>
        </w:r>
        <w:r>
          <w:rPr>
            <w:noProof/>
            <w:webHidden/>
          </w:rPr>
          <w:instrText xml:space="preserve"> PAGEREF _Toc426295978 \h </w:instrText>
        </w:r>
        <w:r>
          <w:rPr>
            <w:noProof/>
            <w:webHidden/>
          </w:rPr>
        </w:r>
        <w:r>
          <w:rPr>
            <w:noProof/>
            <w:webHidden/>
          </w:rPr>
          <w:fldChar w:fldCharType="separate"/>
        </w:r>
        <w:r>
          <w:rPr>
            <w:noProof/>
            <w:webHidden/>
          </w:rPr>
          <w:t>8</w:t>
        </w:r>
        <w:r>
          <w:rPr>
            <w:noProof/>
            <w:webHidden/>
          </w:rPr>
          <w:fldChar w:fldCharType="end"/>
        </w:r>
      </w:hyperlink>
    </w:p>
    <w:p>
      <w:pPr>
        <w:pStyle w:val="TOC2"/>
        <w:rPr>
          <w:rFonts w:asciiTheme="minorHAnsi" w:eastAsiaTheme="minorEastAsia" w:hAnsiTheme="minorHAnsi" w:cstheme="minorBidi"/>
          <w:noProof/>
          <w:sz w:val="22"/>
          <w:szCs w:val="22"/>
          <w:lang w:eastAsia="zh-CN"/>
        </w:rPr>
      </w:pPr>
      <w:hyperlink w:anchor="_Toc426295979" w:history="1">
        <w:r>
          <w:rPr>
            <w:rStyle w:val="Hyperlink"/>
            <w:noProof/>
          </w:rPr>
          <w:t>Target 1 – Fully Implement the Birds and Habitats Directives</w:t>
        </w:r>
        <w:r>
          <w:rPr>
            <w:noProof/>
            <w:webHidden/>
          </w:rPr>
          <w:tab/>
        </w:r>
        <w:r>
          <w:rPr>
            <w:noProof/>
            <w:webHidden/>
          </w:rPr>
          <w:fldChar w:fldCharType="begin"/>
        </w:r>
        <w:r>
          <w:rPr>
            <w:noProof/>
            <w:webHidden/>
          </w:rPr>
          <w:instrText xml:space="preserve"> PAGEREF _Toc426295979 \h </w:instrText>
        </w:r>
        <w:r>
          <w:rPr>
            <w:noProof/>
            <w:webHidden/>
          </w:rPr>
        </w:r>
        <w:r>
          <w:rPr>
            <w:noProof/>
            <w:webHidden/>
          </w:rPr>
          <w:fldChar w:fldCharType="separate"/>
        </w:r>
        <w:r>
          <w:rPr>
            <w:noProof/>
            <w:webHidden/>
          </w:rPr>
          <w:t>15</w:t>
        </w:r>
        <w:r>
          <w:rPr>
            <w:noProof/>
            <w:webHidden/>
          </w:rPr>
          <w:fldChar w:fldCharType="end"/>
        </w:r>
      </w:hyperlink>
    </w:p>
    <w:p>
      <w:pPr>
        <w:pStyle w:val="TOC3"/>
        <w:tabs>
          <w:tab w:val="clear" w:pos="8640"/>
          <w:tab w:val="right" w:leader="dot" w:pos="9639"/>
        </w:tabs>
        <w:ind w:right="0"/>
        <w:rPr>
          <w:rFonts w:asciiTheme="minorHAnsi" w:eastAsiaTheme="minorEastAsia" w:hAnsiTheme="minorHAnsi" w:cstheme="minorBidi"/>
          <w:noProof/>
          <w:sz w:val="22"/>
          <w:szCs w:val="22"/>
          <w:lang w:eastAsia="zh-CN"/>
        </w:rPr>
      </w:pPr>
      <w:hyperlink w:anchor="_Toc426295980" w:history="1">
        <w:r>
          <w:rPr>
            <w:rStyle w:val="Hyperlink"/>
            <w:noProof/>
          </w:rPr>
          <w:t>PROGRESS IN IMPLEMENTING ACTIONS</w:t>
        </w:r>
        <w:r>
          <w:rPr>
            <w:noProof/>
            <w:webHidden/>
          </w:rPr>
          <w:tab/>
        </w:r>
        <w:r>
          <w:rPr>
            <w:noProof/>
            <w:webHidden/>
          </w:rPr>
          <w:fldChar w:fldCharType="begin"/>
        </w:r>
        <w:r>
          <w:rPr>
            <w:noProof/>
            <w:webHidden/>
          </w:rPr>
          <w:instrText xml:space="preserve"> PAGEREF _Toc426295980 \h </w:instrText>
        </w:r>
        <w:r>
          <w:rPr>
            <w:noProof/>
            <w:webHidden/>
          </w:rPr>
        </w:r>
        <w:r>
          <w:rPr>
            <w:noProof/>
            <w:webHidden/>
          </w:rPr>
          <w:fldChar w:fldCharType="separate"/>
        </w:r>
        <w:r>
          <w:rPr>
            <w:noProof/>
            <w:webHidden/>
          </w:rPr>
          <w:t>19</w:t>
        </w:r>
        <w:r>
          <w:rPr>
            <w:noProof/>
            <w:webHidden/>
          </w:rPr>
          <w:fldChar w:fldCharType="end"/>
        </w:r>
      </w:hyperlink>
    </w:p>
    <w:p>
      <w:pPr>
        <w:pStyle w:val="TOC1"/>
        <w:tabs>
          <w:tab w:val="left" w:pos="426"/>
          <w:tab w:val="left" w:pos="709"/>
        </w:tabs>
        <w:spacing w:after="240" w:line="360" w:lineRule="auto"/>
        <w:ind w:left="709" w:right="424" w:hanging="709"/>
        <w:rPr>
          <w:noProof/>
          <w:sz w:val="22"/>
          <w:szCs w:val="22"/>
        </w:rPr>
      </w:pPr>
      <w:r>
        <w:rPr>
          <w:noProof/>
          <w:sz w:val="22"/>
          <w:szCs w:val="22"/>
        </w:rPr>
        <w:fldChar w:fldCharType="end"/>
      </w:r>
    </w:p>
    <w:p>
      <w:pPr>
        <w:rPr>
          <w:noProof/>
        </w:rPr>
      </w:pPr>
      <w:r>
        <w:rPr>
          <w:noProof/>
        </w:rPr>
        <w:br w:type="page"/>
      </w:r>
    </w:p>
    <w:p>
      <w:pPr>
        <w:pStyle w:val="ManualHeading1"/>
        <w:rPr>
          <w:noProof/>
        </w:rPr>
      </w:pPr>
      <w:bookmarkStart w:id="2" w:name="_Toc426295975"/>
      <w:r>
        <w:t xml:space="preserve">I. </w:t>
      </w:r>
      <w:r>
        <w:tab/>
      </w:r>
      <w:r>
        <w:rPr>
          <w:noProof/>
        </w:rPr>
        <w:t>INTRODUCTION</w:t>
      </w:r>
      <w:bookmarkEnd w:id="2"/>
    </w:p>
    <w:p>
      <w:pPr>
        <w:spacing w:line="360" w:lineRule="auto"/>
        <w:rPr>
          <w:noProof/>
          <w:sz w:val="22"/>
          <w:szCs w:val="22"/>
        </w:rPr>
      </w:pPr>
      <w:r>
        <w:rPr>
          <w:noProof/>
          <w:sz w:val="22"/>
          <w:szCs w:val="22"/>
        </w:rPr>
        <w:t>Biodiversity – the variety of life on the planet – underpins our economy and wellbeing. It is our life insurance and our natural capital. It delivers a wide range of essential benefits to human society such as food, materials, clean water, clean air and medicines as well as protecting us from the consequences of extreme weather events and mitigating the impacts of climate change. Up to 50% of our prescription medicines use naturally occurring substances from plants.  The value of insect pollination services alone has been estimated at €15 billion per year in the EU</w:t>
      </w:r>
      <w:r>
        <w:rPr>
          <w:noProof/>
          <w:sz w:val="22"/>
          <w:szCs w:val="22"/>
          <w:vertAlign w:val="superscript"/>
        </w:rPr>
        <w:footnoteReference w:id="2"/>
      </w:r>
      <w:r>
        <w:rPr>
          <w:noProof/>
          <w:sz w:val="22"/>
          <w:szCs w:val="22"/>
        </w:rPr>
        <w:t>. One in six jobs in the EU depends to some extent on nature and biodiversity</w:t>
      </w:r>
      <w:r>
        <w:rPr>
          <w:rStyle w:val="FootnoteReference"/>
          <w:noProof/>
          <w:sz w:val="22"/>
          <w:szCs w:val="22"/>
        </w:rPr>
        <w:footnoteReference w:id="3"/>
      </w:r>
      <w:r>
        <w:rPr>
          <w:noProof/>
          <w:sz w:val="22"/>
          <w:szCs w:val="22"/>
        </w:rPr>
        <w:t>.</w:t>
      </w:r>
    </w:p>
    <w:p>
      <w:pPr>
        <w:suppressAutoHyphens w:val="0"/>
        <w:spacing w:after="300" w:line="360" w:lineRule="atLeast"/>
        <w:ind w:firstLine="0"/>
        <w:rPr>
          <w:noProof/>
          <w:sz w:val="22"/>
          <w:szCs w:val="22"/>
        </w:rPr>
      </w:pPr>
      <w:r>
        <w:rPr>
          <w:noProof/>
          <w:sz w:val="22"/>
          <w:szCs w:val="22"/>
        </w:rPr>
        <w:t>The World Economic Forum listed 'biodiversity loss and ecosystem collapse' among the top 10 risks in the Global Risks Perception Survey 2014</w:t>
      </w:r>
      <w:r>
        <w:rPr>
          <w:rStyle w:val="FootnoteReference"/>
          <w:noProof/>
          <w:sz w:val="22"/>
          <w:szCs w:val="22"/>
        </w:rPr>
        <w:footnoteReference w:id="4"/>
      </w:r>
      <w:r>
        <w:rPr>
          <w:noProof/>
          <w:sz w:val="22"/>
          <w:szCs w:val="22"/>
        </w:rPr>
        <w:t>. Scientists further identify biodiversity loss and climate change as the two core planetary boundaries that have already been crossed by humanity</w:t>
      </w:r>
      <w:r>
        <w:rPr>
          <w:rStyle w:val="FootnoteReference"/>
          <w:noProof/>
          <w:sz w:val="22"/>
          <w:szCs w:val="22"/>
        </w:rPr>
        <w:footnoteReference w:id="5"/>
      </w:r>
      <w:r>
        <w:rPr>
          <w:noProof/>
          <w:sz w:val="22"/>
          <w:szCs w:val="22"/>
        </w:rPr>
        <w:t>. Together with climate change - another major global challenge - it increases the risk of irreversible changes</w:t>
      </w:r>
      <w:r>
        <w:rPr>
          <w:noProof/>
          <w:sz w:val="22"/>
          <w:szCs w:val="22"/>
          <w:vertAlign w:val="superscript"/>
        </w:rPr>
        <w:footnoteReference w:id="6"/>
      </w:r>
      <w:r>
        <w:rPr>
          <w:noProof/>
          <w:sz w:val="22"/>
          <w:szCs w:val="22"/>
        </w:rPr>
        <w:t xml:space="preserve">, undermining economic development and societies' resilience in the face of new challenges. Furthermore, the risk of extensive global biodiversity loss could increase if action is not taken to limit climate change to below </w:t>
      </w:r>
      <w:r>
        <w:rPr>
          <w:iCs/>
          <w:noProof/>
        </w:rPr>
        <w:t>2°C</w:t>
      </w:r>
      <w:r>
        <w:rPr>
          <w:rFonts w:ascii="Source Sans Pro" w:hAnsi="Source Sans Pro" w:cs="Arial"/>
          <w:noProof/>
          <w:sz w:val="22"/>
          <w:szCs w:val="22"/>
          <w:lang w:val="en"/>
        </w:rPr>
        <w:t xml:space="preserve">. The most recent scientific research into species extinction rates concludes that </w:t>
      </w:r>
      <w:r>
        <w:rPr>
          <w:rFonts w:ascii="Source Sans Pro" w:hAnsi="Source Sans Pro" w:cs="Arial"/>
          <w:noProof/>
          <w:sz w:val="22"/>
          <w:szCs w:val="22"/>
          <w:lang w:val="en" w:eastAsia="en-GB"/>
        </w:rPr>
        <w:t>even when the most conservative estimates are applied, species are found to be disappearing about 100 times faster than the 'normal' rate between mass extinctions, known as the background rate. It also finds that this is mainly the result of human activity and confirms</w:t>
      </w:r>
      <w:r>
        <w:rPr>
          <w:rFonts w:ascii="Source Sans Pro" w:hAnsi="Source Sans Pro" w:cs="Arial"/>
          <w:noProof/>
          <w:sz w:val="22"/>
          <w:szCs w:val="22"/>
          <w:lang w:val="en"/>
        </w:rPr>
        <w:t xml:space="preserve"> that if current rates of extinction continue unchecked, the social and economic consequences for humanity will be </w:t>
      </w:r>
      <w:r>
        <w:rPr>
          <w:noProof/>
          <w:sz w:val="22"/>
          <w:szCs w:val="22"/>
        </w:rPr>
        <w:t>enormous</w:t>
      </w:r>
      <w:r>
        <w:rPr>
          <w:rStyle w:val="FootnoteReference"/>
          <w:rFonts w:ascii="Source Sans Pro" w:hAnsi="Source Sans Pro" w:cs="Arial"/>
          <w:noProof/>
          <w:sz w:val="22"/>
          <w:szCs w:val="22"/>
          <w:lang w:val="en"/>
        </w:rPr>
        <w:footnoteReference w:id="7"/>
      </w:r>
      <w:r>
        <w:rPr>
          <w:noProof/>
          <w:sz w:val="22"/>
          <w:szCs w:val="22"/>
        </w:rPr>
        <w:t xml:space="preserve">. </w:t>
      </w:r>
      <w:r>
        <w:rPr>
          <w:rFonts w:ascii="Source Sans Pro" w:hAnsi="Source Sans Pro" w:cs="Arial"/>
          <w:noProof/>
          <w:sz w:val="22"/>
          <w:szCs w:val="22"/>
          <w:lang w:val="en"/>
        </w:rPr>
        <w:t>For the EU, t</w:t>
      </w:r>
      <w:r>
        <w:rPr>
          <w:noProof/>
          <w:sz w:val="22"/>
          <w:szCs w:val="22"/>
        </w:rPr>
        <w:t>he opportunity cost of not reaching the 2020 EU biodiversity headline target of halting the loss of biodiversity and ecosystem services by 2020 has been estimated at 50 billion EUR per year</w:t>
      </w:r>
      <w:r>
        <w:rPr>
          <w:rStyle w:val="FootnoteReference"/>
          <w:noProof/>
          <w:sz w:val="22"/>
          <w:szCs w:val="22"/>
        </w:rPr>
        <w:footnoteReference w:id="8"/>
      </w:r>
      <w:r>
        <w:rPr>
          <w:noProof/>
          <w:sz w:val="22"/>
          <w:szCs w:val="22"/>
        </w:rPr>
        <w:t>. In addition to undermining these economic benefits, loss of biodiversity means that ecosystems and societies that rely upon them are more fragile and less resilient in the face of challenges such as climate change, pollution and habitat destruction. For example, economic losses from natural disasters, such as floods and droughts, amounted to around €100 billion in the period 2002-2014 in the EU and caused over 80,000 deaths</w:t>
      </w:r>
      <w:r>
        <w:rPr>
          <w:rStyle w:val="FootnoteReference"/>
          <w:noProof/>
          <w:sz w:val="22"/>
          <w:szCs w:val="22"/>
        </w:rPr>
        <w:footnoteReference w:id="9"/>
      </w:r>
      <w:r>
        <w:rPr>
          <w:noProof/>
          <w:sz w:val="22"/>
          <w:szCs w:val="22"/>
        </w:rPr>
        <w:t>, and are likely to increase due to demographic trends and the impacts of climate change. In many situations, healthy wetland and forest ecosystems can provide effective and cost-efficient protection against extreme weather events.</w:t>
      </w:r>
    </w:p>
    <w:p>
      <w:pPr>
        <w:suppressAutoHyphens w:val="0"/>
        <w:spacing w:after="300" w:line="360" w:lineRule="atLeast"/>
        <w:ind w:firstLine="0"/>
        <w:rPr>
          <w:rFonts w:ascii="Source Sans Pro" w:hAnsi="Source Sans Pro" w:cs="Arial"/>
          <w:noProof/>
          <w:sz w:val="22"/>
          <w:szCs w:val="22"/>
          <w:lang w:eastAsia="en-GB"/>
        </w:rPr>
      </w:pPr>
    </w:p>
    <w:p>
      <w:pPr>
        <w:suppressAutoHyphens w:val="0"/>
        <w:ind w:firstLine="0"/>
        <w:jc w:val="left"/>
        <w:rPr>
          <w:b/>
          <w:noProof/>
          <w:sz w:val="22"/>
          <w:szCs w:val="22"/>
          <w:highlight w:val="yellow"/>
          <w:lang w:val="en"/>
        </w:rPr>
      </w:pPr>
    </w:p>
    <w:p>
      <w:pPr>
        <w:pStyle w:val="Caption"/>
        <w:keepNext/>
        <w:jc w:val="center"/>
        <w:rPr>
          <w:noProof/>
          <w:sz w:val="22"/>
          <w:szCs w:val="22"/>
        </w:rPr>
      </w:pPr>
      <w:bookmarkStart w:id="3" w:name="_Ref423600589"/>
      <w:bookmarkStart w:id="4" w:name="_Toc422819441"/>
      <w:bookmarkStart w:id="5" w:name="_Toc423600131"/>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w:t>
      </w:r>
      <w:r>
        <w:rPr>
          <w:noProof/>
          <w:sz w:val="22"/>
          <w:szCs w:val="22"/>
        </w:rPr>
        <w:fldChar w:fldCharType="end"/>
      </w:r>
      <w:bookmarkEnd w:id="3"/>
      <w:r>
        <w:rPr>
          <w:noProof/>
          <w:sz w:val="22"/>
          <w:szCs w:val="22"/>
        </w:rPr>
        <w:t xml:space="preserve"> – Number of exctinct species over time at global level </w:t>
      </w:r>
      <w:bookmarkEnd w:id="4"/>
      <w:bookmarkEnd w:id="5"/>
    </w:p>
    <w:p>
      <w:pPr>
        <w:spacing w:line="360" w:lineRule="auto"/>
        <w:jc w:val="center"/>
        <w:rPr>
          <w:noProof/>
          <w:sz w:val="22"/>
          <w:szCs w:val="22"/>
          <w:lang w:val="en"/>
        </w:rPr>
      </w:pPr>
      <w:r>
        <w:rPr>
          <w:noProof/>
          <w:sz w:val="22"/>
          <w:szCs w:val="22"/>
          <w:lang w:val="en-US" w:eastAsia="en-US"/>
        </w:rPr>
        <w:drawing>
          <wp:inline distT="0" distB="0" distL="0" distR="0">
            <wp:extent cx="6116326" cy="6743700"/>
            <wp:effectExtent l="0" t="0" r="0" b="0"/>
            <wp:docPr id="1" name="Picture 1" descr="C:\Users\tellean\AppData\Local\Local Documents - no backup\Pictures\MTR\extinction-chart-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llean\AppData\Local\Local Documents - no backup\Pictures\MTR\extinction-chart-v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120130" cy="6747894"/>
                    </a:xfrm>
                    <a:prstGeom prst="rect">
                      <a:avLst/>
                    </a:prstGeom>
                    <a:noFill/>
                    <a:ln>
                      <a:noFill/>
                    </a:ln>
                    <a:extLst>
                      <a:ext uri="{53640926-AAD7-44D8-BBD7-CCE9431645EC}">
                        <a14:shadowObscured xmlns:a14="http://schemas.microsoft.com/office/drawing/2010/main"/>
                      </a:ext>
                    </a:extLst>
                  </pic:spPr>
                </pic:pic>
              </a:graphicData>
            </a:graphic>
          </wp:inline>
        </w:drawing>
      </w:r>
    </w:p>
    <w:p>
      <w:pPr>
        <w:suppressAutoHyphens w:val="0"/>
        <w:spacing w:after="300" w:line="360" w:lineRule="atLeast"/>
        <w:ind w:firstLine="0"/>
        <w:jc w:val="center"/>
        <w:rPr>
          <w:rFonts w:ascii="Source Sans Pro" w:hAnsi="Source Sans Pro" w:cs="Arial"/>
          <w:noProof/>
          <w:color w:val="696969"/>
          <w:szCs w:val="24"/>
          <w:lang w:val="en" w:eastAsia="en-GB"/>
        </w:rPr>
      </w:pPr>
      <w:r>
        <w:rPr>
          <w:rFonts w:ascii="Source Sans Pro" w:hAnsi="Source Sans Pro" w:cs="Arial"/>
          <w:noProof/>
          <w:color w:val="696969"/>
          <w:szCs w:val="24"/>
          <w:lang w:val="en" w:eastAsia="en-GB"/>
        </w:rPr>
        <w:t>.</w:t>
      </w:r>
    </w:p>
    <w:p>
      <w:pPr>
        <w:suppressAutoHyphens w:val="0"/>
        <w:ind w:firstLine="0"/>
        <w:jc w:val="left"/>
        <w:rPr>
          <w:rFonts w:ascii="Source Sans Pro" w:hAnsi="Source Sans Pro" w:cs="Arial"/>
          <w:noProof/>
          <w:sz w:val="22"/>
          <w:szCs w:val="22"/>
        </w:rPr>
      </w:pPr>
      <w:r>
        <w:rPr>
          <w:rFonts w:ascii="Source Sans Pro" w:hAnsi="Source Sans Pro" w:cs="Arial"/>
          <w:noProof/>
          <w:sz w:val="22"/>
          <w:szCs w:val="22"/>
          <w:lang w:val="en"/>
        </w:rPr>
        <w:br w:type="page"/>
      </w:r>
    </w:p>
    <w:p>
      <w:pPr>
        <w:suppressAutoHyphens w:val="0"/>
        <w:spacing w:after="300" w:line="360" w:lineRule="atLeast"/>
        <w:ind w:firstLine="0"/>
        <w:rPr>
          <w:rFonts w:ascii="Source Sans Pro" w:hAnsi="Source Sans Pro" w:cs="Arial"/>
          <w:noProof/>
          <w:sz w:val="22"/>
          <w:szCs w:val="22"/>
          <w:lang w:val="en" w:eastAsia="en-GB"/>
        </w:rPr>
      </w:pPr>
      <w:r>
        <w:rPr>
          <w:rFonts w:ascii="Source Sans Pro" w:hAnsi="Source Sans Pro" w:cs="Arial"/>
          <w:noProof/>
          <w:sz w:val="22"/>
          <w:szCs w:val="22"/>
          <w:lang w:val="en"/>
        </w:rPr>
        <w:t xml:space="preserve">The window of opportunity for halting and reversing biodiversity loss is rapidly closing. </w:t>
      </w:r>
      <w:r>
        <w:rPr>
          <w:rFonts w:ascii="Source Sans Pro" w:hAnsi="Source Sans Pro" w:cs="Arial"/>
          <w:noProof/>
          <w:sz w:val="22"/>
          <w:szCs w:val="22"/>
          <w:lang w:val="en" w:eastAsia="en-GB"/>
        </w:rPr>
        <w:t>Human-induced impacts and pressures on biodiversity such as land clearing for farming, logging and settlement, introduction of invasive species, carbon emissions that drive climate change and ocean acidification, and toxins that alter and poison ecosystems are exacerbated by world population growth, rising per capita consumption and economic inequity</w:t>
      </w:r>
      <w:r>
        <w:rPr>
          <w:rStyle w:val="FootnoteReference"/>
          <w:rFonts w:ascii="Source Sans Pro" w:hAnsi="Source Sans Pro" w:cs="Arial"/>
          <w:noProof/>
          <w:sz w:val="22"/>
          <w:szCs w:val="22"/>
          <w:lang w:val="en" w:eastAsia="en-GB"/>
        </w:rPr>
        <w:footnoteReference w:id="10"/>
      </w:r>
      <w:r>
        <w:rPr>
          <w:rFonts w:ascii="Source Sans Pro" w:hAnsi="Source Sans Pro" w:cs="Arial"/>
          <w:noProof/>
          <w:sz w:val="22"/>
          <w:szCs w:val="22"/>
          <w:lang w:val="en" w:eastAsia="en-GB"/>
        </w:rPr>
        <w:t>.</w:t>
      </w:r>
      <w:r>
        <w:rPr>
          <w:rFonts w:ascii="Source Sans Pro" w:hAnsi="Source Sans Pro" w:cs="Arial"/>
          <w:i/>
          <w:iCs/>
          <w:noProof/>
          <w:sz w:val="22"/>
          <w:szCs w:val="22"/>
          <w:lang w:val="en" w:eastAsia="en-GB"/>
        </w:rPr>
        <w:t xml:space="preserve"> </w:t>
      </w:r>
    </w:p>
    <w:p>
      <w:pPr>
        <w:spacing w:line="360" w:lineRule="auto"/>
        <w:rPr>
          <w:noProof/>
          <w:sz w:val="22"/>
          <w:szCs w:val="22"/>
        </w:rPr>
      </w:pPr>
      <w:r>
        <w:rPr>
          <w:noProof/>
          <w:sz w:val="22"/>
          <w:szCs w:val="22"/>
        </w:rPr>
        <w:t>Recognising this challenge, in 2011, the Commission adopted the EU Biodiversity Strategy to 2020</w:t>
      </w:r>
      <w:r>
        <w:rPr>
          <w:noProof/>
          <w:sz w:val="22"/>
          <w:szCs w:val="22"/>
          <w:vertAlign w:val="superscript"/>
        </w:rPr>
        <w:footnoteReference w:id="11"/>
      </w:r>
      <w:r>
        <w:rPr>
          <w:noProof/>
          <w:sz w:val="22"/>
          <w:szCs w:val="22"/>
        </w:rPr>
        <w:t xml:space="preserve"> with the headline target set by EU Heads of State and Government in 2010 to </w:t>
      </w:r>
      <w:r>
        <w:rPr>
          <w:b/>
          <w:noProof/>
          <w:sz w:val="22"/>
          <w:szCs w:val="22"/>
        </w:rPr>
        <w:t>'halt the loss of biodiversity and ecosystem services by 2020, to restore ecosystems in so far as is feasible, and to step up the EU contribution to averting global biodiversity loss</w:t>
      </w:r>
      <w:r>
        <w:rPr>
          <w:noProof/>
          <w:sz w:val="22"/>
          <w:szCs w:val="22"/>
        </w:rPr>
        <w:t>’. The strategy is built around six operational targets addressing the implementation of EU nature legislation as well as the main pressures on biodiversity in the EU and beyond, with 20 associated supporting actions over the period 2011-2020. The EU Strategy also emphasises the need to take full account of the economic and social benefits provided by nature contribution and to integrate these benefits into reporting and accounting systems.</w:t>
      </w:r>
    </w:p>
    <w:p>
      <w:pPr>
        <w:spacing w:line="360" w:lineRule="auto"/>
        <w:rPr>
          <w:noProof/>
          <w:sz w:val="22"/>
          <w:szCs w:val="22"/>
        </w:rPr>
      </w:pPr>
    </w:p>
    <w:p>
      <w:pPr>
        <w:spacing w:line="360" w:lineRule="auto"/>
        <w:rPr>
          <w:noProof/>
          <w:sz w:val="22"/>
          <w:szCs w:val="22"/>
        </w:rPr>
      </w:pPr>
      <w:r>
        <w:rPr>
          <w:noProof/>
          <w:sz w:val="22"/>
          <w:szCs w:val="22"/>
        </w:rPr>
        <w:t>The EU Biodiversity Strategy to 2020 is an integral part of the Europe 2020 Strategy</w:t>
      </w:r>
      <w:r>
        <w:rPr>
          <w:noProof/>
          <w:sz w:val="22"/>
          <w:szCs w:val="22"/>
          <w:vertAlign w:val="superscript"/>
        </w:rPr>
        <w:footnoteReference w:id="12"/>
      </w:r>
      <w:r>
        <w:rPr>
          <w:noProof/>
          <w:sz w:val="22"/>
          <w:szCs w:val="22"/>
        </w:rPr>
        <w:t>, and in particular the resource efficient Europe flagship initiative</w:t>
      </w:r>
      <w:r>
        <w:rPr>
          <w:noProof/>
          <w:sz w:val="22"/>
          <w:szCs w:val="22"/>
          <w:vertAlign w:val="superscript"/>
        </w:rPr>
        <w:footnoteReference w:id="13"/>
      </w:r>
      <w:r>
        <w:rPr>
          <w:noProof/>
          <w:sz w:val="22"/>
          <w:szCs w:val="22"/>
        </w:rPr>
        <w:t>, and contributes to the implementation of the 7</w:t>
      </w:r>
      <w:r>
        <w:rPr>
          <w:noProof/>
          <w:sz w:val="22"/>
          <w:szCs w:val="22"/>
          <w:vertAlign w:val="superscript"/>
        </w:rPr>
        <w:t>th</w:t>
      </w:r>
      <w:r>
        <w:rPr>
          <w:noProof/>
          <w:sz w:val="22"/>
          <w:szCs w:val="22"/>
        </w:rPr>
        <w:t xml:space="preserve"> Environmental Action Programme</w:t>
      </w:r>
      <w:r>
        <w:rPr>
          <w:rStyle w:val="FootnoteReference"/>
          <w:noProof/>
          <w:sz w:val="22"/>
          <w:szCs w:val="22"/>
        </w:rPr>
        <w:footnoteReference w:id="14"/>
      </w:r>
      <w:r>
        <w:rPr>
          <w:noProof/>
          <w:sz w:val="22"/>
          <w:szCs w:val="22"/>
        </w:rPr>
        <w:t>. The Strategy is a crucial instrument to secure and sustain the natural resource base which our economy needs to thrive, and is therefore fully relevant in the context of the circular economy debate. The Strategy is also designed to deliver on the EU international commitments under the Convention on Biological Diversity. It is linked to policy objectives which are a prerequisite for delivery on the EU Biodiversity Strategy, notably related to climate policies, legislation in the field of air and chemicals, the Water Framework Directive, the Marine Strategy Framework Directive, and the EU Thematic Strategy for Soil Protection.</w:t>
      </w:r>
    </w:p>
    <w:p>
      <w:pPr>
        <w:spacing w:line="360" w:lineRule="auto"/>
        <w:rPr>
          <w:noProof/>
          <w:sz w:val="22"/>
          <w:szCs w:val="22"/>
        </w:rPr>
      </w:pPr>
      <w:r>
        <w:rPr>
          <w:noProof/>
          <w:sz w:val="22"/>
          <w:szCs w:val="22"/>
        </w:rPr>
        <w:t>The preliminary results from the 2015 Biodiversity Eurobarometer survey indicate that three out of four Europeans "agree totally" that it is important to stop biodiversity loss because it is our responsibility to look after nature., which gives a clear public support to pursue the implementation of the EU 2020 Biodiversity Strategy.</w:t>
      </w:r>
    </w:p>
    <w:p>
      <w:pPr>
        <w:spacing w:before="100" w:beforeAutospacing="1" w:after="100" w:afterAutospacing="1" w:line="360" w:lineRule="auto"/>
        <w:rPr>
          <w:noProof/>
          <w:sz w:val="22"/>
          <w:szCs w:val="22"/>
        </w:rPr>
      </w:pPr>
      <w:r>
        <w:rPr>
          <w:noProof/>
          <w:sz w:val="22"/>
          <w:szCs w:val="22"/>
        </w:rPr>
        <w:t xml:space="preserve">The EU Biodiversity Strategy to 2020 foresees that a mid-term review will be undertaken to take stock of progress under the strategy targets and actions, drawing on the best set of information sources. Identifying gaps in implementation is necessary in order to inform decision-makers of areas in which increased efforts are needed to ensure that the EU meets its biodiversity commitments by 2020.  </w:t>
      </w:r>
    </w:p>
    <w:p>
      <w:pPr>
        <w:pStyle w:val="ManualHeading1"/>
        <w:rPr>
          <w:noProof/>
        </w:rPr>
      </w:pPr>
      <w:bookmarkStart w:id="6" w:name="_Toc426295976"/>
      <w:r>
        <w:t xml:space="preserve">II. </w:t>
      </w:r>
      <w:r>
        <w:tab/>
      </w:r>
      <w:r>
        <w:rPr>
          <w:noProof/>
        </w:rPr>
        <w:t>BIODIVERSITY IN THE EU</w:t>
      </w:r>
      <w:bookmarkEnd w:id="6"/>
    </w:p>
    <w:p>
      <w:pPr>
        <w:spacing w:line="360" w:lineRule="auto"/>
        <w:rPr>
          <w:noProof/>
          <w:sz w:val="22"/>
          <w:szCs w:val="22"/>
        </w:rPr>
      </w:pPr>
      <w:r>
        <w:rPr>
          <w:noProof/>
          <w:sz w:val="22"/>
          <w:szCs w:val="22"/>
        </w:rPr>
        <w:t>The countries of the EU are extremely diverse in terms of their climate, geology and topography and centuries of diverse farming and forestry traditions have shaped a wealth of multifunctional landscapes and contributed significantly to Europe’s biodiversity and cultural diversity However, developments, particularly during the 20th century, have also resulted in large-scale destruction of Europe's natural heritage, including the loss of two thirds of its wetlands, and of almost three-quarters of its sand dunes and heaths, through a combination of land-use change, over-exploitation of biodiversity, infrastructure developments, pollution, the spread of invasive alien species and climate change.</w:t>
      </w:r>
      <w:r>
        <w:rPr>
          <w:noProof/>
          <w:sz w:val="22"/>
          <w:szCs w:val="22"/>
          <w:vertAlign w:val="superscript"/>
        </w:rPr>
        <w:footnoteReference w:id="15"/>
      </w:r>
      <w:r>
        <w:rPr>
          <w:noProof/>
          <w:sz w:val="22"/>
          <w:szCs w:val="22"/>
        </w:rPr>
        <w:t xml:space="preserve"> </w:t>
      </w:r>
    </w:p>
    <w:p>
      <w:pPr>
        <w:spacing w:line="360" w:lineRule="auto"/>
        <w:rPr>
          <w:noProof/>
          <w:sz w:val="22"/>
          <w:szCs w:val="22"/>
        </w:rPr>
      </w:pPr>
    </w:p>
    <w:p>
      <w:pPr>
        <w:spacing w:line="360" w:lineRule="auto"/>
        <w:rPr>
          <w:noProof/>
          <w:sz w:val="22"/>
          <w:szCs w:val="22"/>
        </w:rPr>
      </w:pPr>
      <w:r>
        <w:rPr>
          <w:noProof/>
          <w:sz w:val="22"/>
          <w:szCs w:val="22"/>
        </w:rPr>
        <w:t xml:space="preserve">The </w:t>
      </w:r>
      <w:r>
        <w:rPr>
          <w:b/>
          <w:noProof/>
          <w:sz w:val="22"/>
          <w:szCs w:val="22"/>
        </w:rPr>
        <w:t>EU 2010 Biodiversity Baseline</w:t>
      </w:r>
      <w:r>
        <w:rPr>
          <w:rStyle w:val="FootnoteReference"/>
          <w:b/>
          <w:noProof/>
          <w:sz w:val="22"/>
          <w:szCs w:val="22"/>
        </w:rPr>
        <w:footnoteReference w:id="16"/>
      </w:r>
      <w:r>
        <w:rPr>
          <w:noProof/>
          <w:sz w:val="22"/>
          <w:szCs w:val="22"/>
        </w:rPr>
        <w:t xml:space="preserve"> provides a reference point against which to assess changes in biodiversity over time. The 2010 baseline suggested that, although species extinction in the EU is not occurring nearly as rapidly as in other regions and continents, the percentage of species threatened with extinction is a matter of concern. </w:t>
      </w:r>
    </w:p>
    <w:p>
      <w:pPr>
        <w:spacing w:line="360" w:lineRule="auto"/>
        <w:rPr>
          <w:noProof/>
          <w:sz w:val="22"/>
          <w:szCs w:val="22"/>
        </w:rPr>
      </w:pPr>
    </w:p>
    <w:p>
      <w:pPr>
        <w:spacing w:line="360" w:lineRule="auto"/>
        <w:rPr>
          <w:noProof/>
          <w:sz w:val="22"/>
          <w:szCs w:val="22"/>
        </w:rPr>
      </w:pPr>
      <w:r>
        <w:rPr>
          <w:noProof/>
          <w:sz w:val="22"/>
          <w:szCs w:val="22"/>
        </w:rPr>
        <w:t xml:space="preserve">The </w:t>
      </w:r>
      <w:r>
        <w:rPr>
          <w:b/>
          <w:noProof/>
          <w:sz w:val="22"/>
          <w:szCs w:val="22"/>
        </w:rPr>
        <w:t>main ecosystems in Europe</w:t>
      </w:r>
      <w:r>
        <w:rPr>
          <w:rStyle w:val="Caractresdenotedebasdepage"/>
          <w:bCs/>
          <w:noProof/>
          <w:sz w:val="22"/>
          <w:szCs w:val="22"/>
        </w:rPr>
        <w:footnoteReference w:id="17"/>
      </w:r>
      <w:r>
        <w:rPr>
          <w:noProof/>
          <w:sz w:val="22"/>
          <w:szCs w:val="22"/>
        </w:rPr>
        <w:t xml:space="preserve"> are forest and woodland (covering 41</w:t>
      </w:r>
      <w:r>
        <w:rPr>
          <w:noProof/>
          <w:w w:val="50"/>
          <w:sz w:val="22"/>
          <w:szCs w:val="22"/>
        </w:rPr>
        <w:t> </w:t>
      </w:r>
      <w:r>
        <w:rPr>
          <w:noProof/>
          <w:sz w:val="22"/>
          <w:szCs w:val="22"/>
        </w:rPr>
        <w:t>% of the territory), cropland (25</w:t>
      </w:r>
      <w:r>
        <w:rPr>
          <w:noProof/>
          <w:w w:val="50"/>
          <w:sz w:val="22"/>
          <w:szCs w:val="22"/>
        </w:rPr>
        <w:t> </w:t>
      </w:r>
      <w:r>
        <w:rPr>
          <w:noProof/>
          <w:sz w:val="22"/>
          <w:szCs w:val="22"/>
        </w:rPr>
        <w:t>%), and grassland (19</w:t>
      </w:r>
      <w:r>
        <w:rPr>
          <w:noProof/>
          <w:w w:val="50"/>
          <w:sz w:val="22"/>
          <w:szCs w:val="22"/>
        </w:rPr>
        <w:t> </w:t>
      </w:r>
      <w:r>
        <w:rPr>
          <w:noProof/>
          <w:sz w:val="22"/>
          <w:szCs w:val="22"/>
        </w:rPr>
        <w:t>%). Freshwater ecosystems (open water and wetlands) cover only less than 5% of EU28 area but hold a higher number of species per unit area than land or sea, and provide a number of key ecosystem services.</w:t>
      </w:r>
    </w:p>
    <w:p>
      <w:pPr>
        <w:pStyle w:val="Caption"/>
        <w:keepNext/>
        <w:jc w:val="center"/>
        <w:rPr>
          <w:noProof/>
          <w:sz w:val="22"/>
          <w:szCs w:val="22"/>
        </w:rPr>
      </w:pPr>
      <w:bookmarkStart w:id="7" w:name="_Toc422819442"/>
      <w:bookmarkStart w:id="8" w:name="_Toc423600132"/>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2</w:t>
      </w:r>
      <w:r>
        <w:rPr>
          <w:noProof/>
          <w:sz w:val="22"/>
          <w:szCs w:val="22"/>
        </w:rPr>
        <w:fldChar w:fldCharType="end"/>
      </w:r>
      <w:r>
        <w:rPr>
          <w:noProof/>
          <w:sz w:val="22"/>
          <w:szCs w:val="22"/>
        </w:rPr>
        <w:t xml:space="preserve"> – Land cover in the EU-27</w:t>
      </w:r>
      <w:bookmarkEnd w:id="7"/>
      <w:bookmarkEnd w:id="8"/>
    </w:p>
    <w:p>
      <w:pPr>
        <w:spacing w:line="360" w:lineRule="auto"/>
        <w:jc w:val="center"/>
        <w:rPr>
          <w:noProof/>
          <w:sz w:val="22"/>
          <w:szCs w:val="22"/>
        </w:rPr>
      </w:pPr>
      <w:r>
        <w:rPr>
          <w:noProof/>
          <w:lang w:val="en-US" w:eastAsia="en-US"/>
        </w:rPr>
        <w:drawing>
          <wp:inline distT="0" distB="0" distL="0" distR="0">
            <wp:extent cx="2844801" cy="1847850"/>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368" t="23096" r="50342" b="32687"/>
                    <a:stretch/>
                  </pic:blipFill>
                  <pic:spPr bwMode="auto">
                    <a:xfrm>
                      <a:off x="0" y="0"/>
                      <a:ext cx="2856534" cy="1855471"/>
                    </a:xfrm>
                    <a:prstGeom prst="rect">
                      <a:avLst/>
                    </a:prstGeom>
                    <a:ln>
                      <a:noFill/>
                    </a:ln>
                    <a:extLst>
                      <a:ext uri="{53640926-AAD7-44D8-BBD7-CCE9431645EC}">
                        <a14:shadowObscured xmlns:a14="http://schemas.microsoft.com/office/drawing/2010/main"/>
                      </a:ext>
                    </a:extLst>
                  </pic:spPr>
                </pic:pic>
              </a:graphicData>
            </a:graphic>
          </wp:inline>
        </w:drawing>
      </w:r>
    </w:p>
    <w:p>
      <w:pPr>
        <w:spacing w:line="360" w:lineRule="auto"/>
        <w:rPr>
          <w:noProof/>
          <w:sz w:val="22"/>
          <w:szCs w:val="22"/>
        </w:rPr>
      </w:pPr>
      <w:r>
        <w:rPr>
          <w:noProof/>
          <w:sz w:val="22"/>
          <w:szCs w:val="22"/>
        </w:rPr>
        <w:t xml:space="preserve">Europe is also home to a considerable diversity of </w:t>
      </w:r>
      <w:r>
        <w:rPr>
          <w:b/>
          <w:noProof/>
          <w:sz w:val="22"/>
          <w:szCs w:val="22"/>
        </w:rPr>
        <w:t>species</w:t>
      </w:r>
      <w:r>
        <w:rPr>
          <w:noProof/>
          <w:sz w:val="22"/>
          <w:szCs w:val="22"/>
        </w:rPr>
        <w:t>: there are 260 species of mammals (of which 40 are marine mammals), 500 species of fish, 500 of breeding birds, 150 of reptiles, 84 of amphibians and 90</w:t>
      </w:r>
      <w:r>
        <w:rPr>
          <w:noProof/>
          <w:w w:val="50"/>
          <w:sz w:val="22"/>
          <w:szCs w:val="22"/>
        </w:rPr>
        <w:t> </w:t>
      </w:r>
      <w:r>
        <w:rPr>
          <w:noProof/>
          <w:sz w:val="22"/>
          <w:szCs w:val="22"/>
        </w:rPr>
        <w:t>000 species of insects, including 10</w:t>
      </w:r>
      <w:r>
        <w:rPr>
          <w:noProof/>
          <w:w w:val="50"/>
          <w:sz w:val="22"/>
          <w:szCs w:val="22"/>
        </w:rPr>
        <w:t> </w:t>
      </w:r>
      <w:r>
        <w:rPr>
          <w:noProof/>
          <w:sz w:val="22"/>
          <w:szCs w:val="22"/>
        </w:rPr>
        <w:t>000 of butterflies and moths, 30</w:t>
      </w:r>
      <w:r>
        <w:rPr>
          <w:noProof/>
          <w:w w:val="50"/>
          <w:sz w:val="22"/>
          <w:szCs w:val="22"/>
        </w:rPr>
        <w:t> </w:t>
      </w:r>
      <w:r>
        <w:rPr>
          <w:noProof/>
          <w:sz w:val="22"/>
          <w:szCs w:val="22"/>
        </w:rPr>
        <w:t>000 of beetles and 20</w:t>
      </w:r>
      <w:r>
        <w:rPr>
          <w:noProof/>
          <w:w w:val="50"/>
          <w:sz w:val="22"/>
          <w:szCs w:val="22"/>
        </w:rPr>
        <w:t> </w:t>
      </w:r>
      <w:r>
        <w:rPr>
          <w:noProof/>
          <w:sz w:val="22"/>
          <w:szCs w:val="22"/>
        </w:rPr>
        <w:t>000 species of vascular plants. These figures do not include the EU’s Outermost Regions and Europe’s Overseas Countries and Territories, which host more than twice the number of species present in continental Europe.</w:t>
      </w:r>
      <w:r>
        <w:rPr>
          <w:rFonts w:ascii="ECSquareSansProMedium" w:hAnsi="ECSquareSansProMedium" w:cs="ECSquareSansProMedium"/>
          <w:noProof/>
          <w:color w:val="FFFFFF"/>
          <w:sz w:val="22"/>
          <w:szCs w:val="22"/>
          <w:lang w:eastAsia="en-GB"/>
        </w:rPr>
        <w:t>..</w:t>
      </w:r>
    </w:p>
    <w:p>
      <w:pPr>
        <w:pStyle w:val="ManualHeading1"/>
        <w:rPr>
          <w:noProof/>
        </w:rPr>
      </w:pPr>
      <w:bookmarkStart w:id="9" w:name="__RefHeading___Toc412641483"/>
      <w:bookmarkStart w:id="10" w:name="_Toc420738454"/>
      <w:bookmarkStart w:id="11" w:name="_Toc420738455"/>
      <w:bookmarkStart w:id="12" w:name="_Toc420738456"/>
      <w:bookmarkStart w:id="13" w:name="_Toc420738457"/>
      <w:bookmarkStart w:id="14" w:name="_Toc420738458"/>
      <w:bookmarkStart w:id="15" w:name="_Toc420738459"/>
      <w:bookmarkStart w:id="16" w:name="_Toc420738460"/>
      <w:bookmarkStart w:id="17" w:name="_Toc420738461"/>
      <w:bookmarkStart w:id="18" w:name="_Toc420738462"/>
      <w:bookmarkStart w:id="19" w:name="_Toc420738463"/>
      <w:bookmarkStart w:id="20" w:name="_Toc420738464"/>
      <w:bookmarkStart w:id="21" w:name="_Toc419441196"/>
      <w:bookmarkStart w:id="22" w:name="_Toc426295977"/>
      <w:bookmarkEnd w:id="9"/>
      <w:bookmarkEnd w:id="10"/>
      <w:bookmarkEnd w:id="11"/>
      <w:bookmarkEnd w:id="12"/>
      <w:bookmarkEnd w:id="13"/>
      <w:bookmarkEnd w:id="14"/>
      <w:bookmarkEnd w:id="15"/>
      <w:bookmarkEnd w:id="16"/>
      <w:bookmarkEnd w:id="17"/>
      <w:bookmarkEnd w:id="18"/>
      <w:bookmarkEnd w:id="19"/>
      <w:bookmarkEnd w:id="20"/>
      <w:r>
        <w:t xml:space="preserve">III. </w:t>
      </w:r>
      <w:r>
        <w:tab/>
      </w:r>
      <w:r>
        <w:rPr>
          <w:noProof/>
        </w:rPr>
        <w:t>Progress since 2011</w:t>
      </w:r>
      <w:bookmarkEnd w:id="21"/>
      <w:bookmarkEnd w:id="22"/>
    </w:p>
    <w:p>
      <w:pPr>
        <w:pStyle w:val="ManualHeading2"/>
        <w:rPr>
          <w:rFonts w:eastAsia="MS Mincho"/>
          <w:noProof/>
        </w:rPr>
      </w:pPr>
      <w:bookmarkStart w:id="23" w:name="_Toc419441197"/>
      <w:bookmarkStart w:id="24" w:name="_Toc426295978"/>
      <w:r>
        <w:tab/>
      </w:r>
      <w:r>
        <w:rPr>
          <w:noProof/>
          <w:lang w:val="en-US" w:eastAsia="en-US"/>
        </w:rPr>
        <mc:AlternateContent>
          <mc:Choice Requires="wps">
            <w:drawing>
              <wp:anchor distT="0" distB="0" distL="114935" distR="114935" simplePos="0" relativeHeight="251656704" behindDoc="0" locked="0" layoutInCell="1" allowOverlap="1">
                <wp:simplePos x="0" y="0"/>
                <wp:positionH relativeFrom="column">
                  <wp:posOffset>8162925</wp:posOffset>
                </wp:positionH>
                <wp:positionV relativeFrom="paragraph">
                  <wp:posOffset>3597910</wp:posOffset>
                </wp:positionV>
                <wp:extent cx="1342390" cy="513715"/>
                <wp:effectExtent l="0" t="0" r="0" b="0"/>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51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Comic Sans MS" w:hAnsi="Comic Sans MS" w:cs="BrowalliaUPC"/>
                                <w:sz w:val="56"/>
                                <w:szCs w:val="56"/>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42.75pt;margin-top:283.3pt;width:105.7pt;height:40.4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9kIewIAAAA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" stroked="f">
                <v:textbox inset="0,0,0,0">
                  <w:txbxContent>
                    <w:p>
                      <w:pPr>
                        <w:jc w:val="center"/>
                        <w:rPr>
                          <w:rFonts w:ascii="Comic Sans MS" w:hAnsi="Comic Sans MS" w:cs="BrowalliaUPC"/>
                          <w:sz w:val="56"/>
                          <w:szCs w:val="56"/>
                          <w:lang w:val="fr-BE"/>
                        </w:rPr>
                      </w:pPr>
                    </w:p>
                  </w:txbxContent>
                </v:textbox>
              </v:shape>
            </w:pict>
          </mc:Fallback>
        </mc:AlternateContent>
      </w:r>
      <w:bookmarkStart w:id="25" w:name="__RefHeading___Toc412641484"/>
      <w:bookmarkEnd w:id="25"/>
      <w:r>
        <w:rPr>
          <w:noProof/>
        </w:rPr>
        <w:t>2020 Biodiversity Headline Target</w:t>
      </w:r>
      <w:bookmarkEnd w:id="23"/>
      <w:bookmarkEnd w:id="24"/>
    </w:p>
    <w:p>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i/>
          <w:noProof/>
          <w:sz w:val="22"/>
          <w:szCs w:val="22"/>
        </w:rPr>
      </w:pPr>
      <w:r>
        <w:rPr>
          <w:rFonts w:eastAsia="MS Mincho"/>
          <w:b/>
          <w:noProof/>
          <w:sz w:val="22"/>
          <w:szCs w:val="22"/>
        </w:rPr>
        <w:t>Halt the loss of biodiversity and the degradation of ecosystem services in the EU by 2020, and restore them in so far as feasible, while stepping up the EU contribution to averting global biodiversity loss.</w:t>
      </w:r>
    </w:p>
    <w:p>
      <w:pPr>
        <w:spacing w:line="360" w:lineRule="auto"/>
        <w:rPr>
          <w:i/>
          <w:noProof/>
          <w:sz w:val="22"/>
          <w:szCs w:val="22"/>
        </w:rPr>
      </w:pPr>
    </w:p>
    <w:p>
      <w:pPr>
        <w:spacing w:line="360" w:lineRule="auto"/>
        <w:rPr>
          <w:b/>
          <w:noProof/>
          <w:sz w:val="22"/>
          <w:szCs w:val="22"/>
        </w:rPr>
      </w:pPr>
      <w:r>
        <w:rPr>
          <w:b/>
          <w:noProof/>
          <w:sz w:val="22"/>
          <w:szCs w:val="22"/>
        </w:rPr>
        <w:t>State of Nature in the EU</w:t>
      </w:r>
    </w:p>
    <w:p>
      <w:pPr>
        <w:spacing w:line="360" w:lineRule="auto"/>
        <w:rPr>
          <w:noProof/>
          <w:sz w:val="22"/>
          <w:szCs w:val="22"/>
        </w:rPr>
      </w:pPr>
    </w:p>
    <w:p>
      <w:pPr>
        <w:spacing w:line="360" w:lineRule="auto"/>
        <w:rPr>
          <w:noProof/>
          <w:sz w:val="22"/>
          <w:szCs w:val="22"/>
        </w:rPr>
      </w:pPr>
      <w:r>
        <w:rPr>
          <w:noProof/>
          <w:sz w:val="22"/>
          <w:szCs w:val="22"/>
        </w:rPr>
        <w:t xml:space="preserve">Compared to the findings as illustrated in the EU 2010 Biodiversity Baseline, the most recent assessment of </w:t>
      </w:r>
      <w:r>
        <w:rPr>
          <w:b/>
          <w:noProof/>
          <w:sz w:val="22"/>
          <w:szCs w:val="22"/>
        </w:rPr>
        <w:t>conservation status of species of Community interest</w:t>
      </w:r>
      <w:r>
        <w:rPr>
          <w:rStyle w:val="FootnoteReference"/>
          <w:noProof/>
          <w:sz w:val="22"/>
          <w:szCs w:val="22"/>
        </w:rPr>
        <w:footnoteReference w:id="18"/>
      </w:r>
      <w:r>
        <w:rPr>
          <w:noProof/>
          <w:sz w:val="22"/>
          <w:szCs w:val="22"/>
        </w:rPr>
        <w:t xml:space="preserve"> shows that overall 23% of species assessments are favourable and 4% are improving, 20% are stable 22% are deteriorating and 14% are without a known trend.</w:t>
      </w:r>
    </w:p>
    <w:p>
      <w:pPr>
        <w:spacing w:line="360" w:lineRule="auto"/>
        <w:rPr>
          <w:noProof/>
          <w:sz w:val="22"/>
          <w:szCs w:val="22"/>
        </w:rPr>
      </w:pPr>
    </w:p>
    <w:p>
      <w:pPr>
        <w:pBdr>
          <w:top w:val="single" w:sz="4" w:space="1" w:color="auto"/>
          <w:left w:val="single" w:sz="4" w:space="4" w:color="auto"/>
          <w:bottom w:val="single" w:sz="4" w:space="1" w:color="auto"/>
          <w:right w:val="single" w:sz="4" w:space="4" w:color="auto"/>
        </w:pBdr>
        <w:spacing w:line="360" w:lineRule="auto"/>
        <w:rPr>
          <w:b/>
          <w:noProof/>
          <w:sz w:val="22"/>
          <w:szCs w:val="22"/>
        </w:rPr>
      </w:pPr>
      <w:r>
        <w:rPr>
          <w:b/>
          <w:noProof/>
          <w:sz w:val="22"/>
          <w:szCs w:val="22"/>
        </w:rPr>
        <w:t xml:space="preserve">The proportion of assessments which are unfavourable and deteriorating is particularly high for fish, molluscs and amphibians, all associated with wetlands and freshwater (rivers, lakes). </w:t>
      </w:r>
    </w:p>
    <w:p>
      <w:pPr>
        <w:pBdr>
          <w:top w:val="single" w:sz="4" w:space="1" w:color="auto"/>
          <w:left w:val="single" w:sz="4" w:space="4" w:color="auto"/>
          <w:bottom w:val="single" w:sz="4" w:space="1" w:color="auto"/>
          <w:right w:val="single" w:sz="4" w:space="4" w:color="auto"/>
        </w:pBdr>
        <w:spacing w:line="360" w:lineRule="auto"/>
        <w:rPr>
          <w:b/>
          <w:noProof/>
          <w:sz w:val="22"/>
          <w:szCs w:val="22"/>
        </w:rPr>
      </w:pPr>
      <w:r>
        <w:rPr>
          <w:noProof/>
          <w:sz w:val="22"/>
          <w:szCs w:val="22"/>
        </w:rPr>
        <w:t>O</w:t>
      </w:r>
      <w:r>
        <w:rPr>
          <w:bCs/>
          <w:noProof/>
          <w:sz w:val="22"/>
          <w:szCs w:val="22"/>
        </w:rPr>
        <w:t>nly 16% of the fish species protected under the Habitats Directive are assessed as having a favourable status, while over a quarter of vascular plants are considered favourable. Looking at the conservation status trends, fish molluscs and amphibians appear to have a particularly high proportion of species with a deteriorating trend. These species are depending on aquatic environments, such as rivers, lakes and wetlands, which mostly have an unfavourable-inadequate conservation status. The main identified threats are human-induced changes to hydrologic functioning, loss of connectivity, canalisation, removed of sediment, and eutrophication and pollution.</w:t>
      </w:r>
    </w:p>
    <w:p>
      <w:pPr>
        <w:spacing w:line="360" w:lineRule="auto"/>
        <w:rPr>
          <w:noProof/>
          <w:sz w:val="22"/>
          <w:szCs w:val="22"/>
        </w:rPr>
      </w:pPr>
    </w:p>
    <w:p>
      <w:pPr>
        <w:spacing w:line="360" w:lineRule="auto"/>
        <w:rPr>
          <w:bCs/>
          <w:noProof/>
          <w:sz w:val="22"/>
          <w:szCs w:val="22"/>
        </w:rPr>
      </w:pPr>
      <w:r>
        <w:rPr>
          <w:bCs/>
          <w:noProof/>
          <w:sz w:val="22"/>
          <w:szCs w:val="22"/>
        </w:rPr>
        <w:t xml:space="preserve">On the positive side, </w:t>
      </w:r>
      <w:r>
        <w:rPr>
          <w:noProof/>
          <w:sz w:val="22"/>
          <w:szCs w:val="22"/>
        </w:rPr>
        <w:t>6% of assessments for mammal species are unfavourable but improving and only 12% show a deteriorating trend.</w:t>
      </w:r>
      <w:r>
        <w:rPr>
          <w:b/>
          <w:noProof/>
          <w:sz w:val="22"/>
          <w:szCs w:val="22"/>
        </w:rPr>
        <w:t xml:space="preserve"> S</w:t>
      </w:r>
      <w:r>
        <w:rPr>
          <w:bCs/>
          <w:noProof/>
          <w:sz w:val="22"/>
          <w:szCs w:val="22"/>
        </w:rPr>
        <w:t xml:space="preserve">ome species like the Otter, </w:t>
      </w:r>
      <w:r>
        <w:rPr>
          <w:bCs/>
          <w:i/>
          <w:noProof/>
          <w:sz w:val="22"/>
          <w:szCs w:val="22"/>
        </w:rPr>
        <w:t>Lutra lutra</w:t>
      </w:r>
      <w:r>
        <w:rPr>
          <w:bCs/>
          <w:noProof/>
          <w:sz w:val="22"/>
          <w:szCs w:val="22"/>
        </w:rPr>
        <w:t>, are showing signs of improvement. In the Atlantic region, it has made a steady recovery over the last 20 years thanks to a decrease in certain waterborne pollutants such as PCBs and mercury, protection from hunting and improvements in aquatic habitats.</w:t>
      </w:r>
    </w:p>
    <w:p>
      <w:pPr>
        <w:spacing w:line="360" w:lineRule="auto"/>
        <w:rPr>
          <w:b/>
          <w:noProof/>
          <w:sz w:val="22"/>
          <w:szCs w:val="22"/>
        </w:rPr>
      </w:pPr>
    </w:p>
    <w:p>
      <w:pPr>
        <w:pStyle w:val="Caption"/>
        <w:keepNext/>
        <w:jc w:val="center"/>
        <w:rPr>
          <w:noProof/>
          <w:sz w:val="22"/>
          <w:szCs w:val="22"/>
        </w:rPr>
      </w:pPr>
      <w:bookmarkStart w:id="26" w:name="_Toc422819446"/>
      <w:bookmarkStart w:id="27" w:name="_Toc423600133"/>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3</w:t>
      </w:r>
      <w:r>
        <w:rPr>
          <w:noProof/>
          <w:sz w:val="22"/>
          <w:szCs w:val="22"/>
        </w:rPr>
        <w:fldChar w:fldCharType="end"/>
      </w:r>
      <w:r>
        <w:rPr>
          <w:noProof/>
          <w:sz w:val="22"/>
          <w:szCs w:val="22"/>
        </w:rPr>
        <w:t xml:space="preserve"> - C</w:t>
      </w:r>
      <w:r>
        <w:rPr>
          <w:bCs/>
          <w:noProof/>
          <w:sz w:val="22"/>
          <w:szCs w:val="22"/>
        </w:rPr>
        <w:t xml:space="preserve">onservation status of and trends for species </w:t>
      </w:r>
      <w:bookmarkEnd w:id="26"/>
      <w:bookmarkEnd w:id="27"/>
    </w:p>
    <w:p>
      <w:pPr>
        <w:autoSpaceDE w:val="0"/>
        <w:autoSpaceDN w:val="0"/>
        <w:adjustRightInd w:val="0"/>
        <w:spacing w:line="360" w:lineRule="auto"/>
        <w:jc w:val="center"/>
        <w:rPr>
          <w:noProof/>
          <w:sz w:val="22"/>
          <w:szCs w:val="22"/>
        </w:rPr>
      </w:pPr>
      <w:r>
        <w:rPr>
          <w:noProof/>
          <w:lang w:val="en-US" w:eastAsia="en-US"/>
        </w:rPr>
        <w:drawing>
          <wp:inline distT="0" distB="0" distL="0" distR="0">
            <wp:extent cx="2971800" cy="38957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sz w:val="22"/>
          <w:szCs w:val="22"/>
          <w:lang w:eastAsia="en-GB"/>
        </w:rPr>
        <w:t xml:space="preserve"> </w:t>
      </w:r>
    </w:p>
    <w:p>
      <w:pPr>
        <w:autoSpaceDE w:val="0"/>
        <w:autoSpaceDN w:val="0"/>
        <w:adjustRightInd w:val="0"/>
        <w:spacing w:line="360" w:lineRule="auto"/>
        <w:jc w:val="center"/>
        <w:rPr>
          <w:noProof/>
          <w:sz w:val="22"/>
          <w:szCs w:val="22"/>
        </w:rPr>
      </w:pPr>
    </w:p>
    <w:p>
      <w:pPr>
        <w:spacing w:line="360" w:lineRule="auto"/>
        <w:rPr>
          <w:noProof/>
          <w:sz w:val="22"/>
          <w:szCs w:val="22"/>
        </w:rPr>
      </w:pPr>
      <w:r>
        <w:rPr>
          <w:noProof/>
          <w:sz w:val="22"/>
          <w:szCs w:val="22"/>
        </w:rPr>
        <w:t xml:space="preserve">Results of the </w:t>
      </w:r>
      <w:r>
        <w:rPr>
          <w:b/>
          <w:noProof/>
          <w:sz w:val="22"/>
          <w:szCs w:val="22"/>
        </w:rPr>
        <w:t>assessments of habitats' conservation status</w:t>
      </w:r>
      <w:r>
        <w:rPr>
          <w:noProof/>
          <w:sz w:val="22"/>
          <w:szCs w:val="22"/>
        </w:rPr>
        <w:t xml:space="preserve"> indicate that in total, 16% of the habitat assessments are favourable and 4% are improving and 33% are unfavourable but stable. However, a further 30% are still deteriorating, which is a serious cause for concern. Only 7% of the assessments are unknown. </w:t>
      </w:r>
    </w:p>
    <w:p>
      <w:pPr>
        <w:spacing w:line="360" w:lineRule="auto"/>
        <w:rPr>
          <w:noProof/>
          <w:sz w:val="22"/>
          <w:szCs w:val="22"/>
        </w:rPr>
      </w:pPr>
    </w:p>
    <w:p>
      <w:pPr>
        <w:pBdr>
          <w:top w:val="single" w:sz="4" w:space="1" w:color="auto"/>
          <w:left w:val="single" w:sz="4" w:space="4" w:color="auto"/>
          <w:bottom w:val="single" w:sz="4" w:space="1" w:color="auto"/>
          <w:right w:val="single" w:sz="4" w:space="4" w:color="auto"/>
        </w:pBdr>
        <w:spacing w:line="360" w:lineRule="auto"/>
        <w:rPr>
          <w:b/>
          <w:noProof/>
          <w:sz w:val="22"/>
          <w:szCs w:val="22"/>
        </w:rPr>
      </w:pPr>
      <w:r>
        <w:rPr>
          <w:b/>
          <w:noProof/>
          <w:sz w:val="22"/>
          <w:szCs w:val="22"/>
        </w:rPr>
        <w:t xml:space="preserve">The proportion of assessments which are unfavourable and deteriorating is particularly high for bogs, mires and fens, but also dune habitats and grassland, all associated with wetlands, coastal and agricultural ecosystems. </w:t>
      </w:r>
    </w:p>
    <w:p>
      <w:pPr>
        <w:spacing w:line="360" w:lineRule="auto"/>
        <w:rPr>
          <w:b/>
          <w:noProof/>
          <w:sz w:val="22"/>
          <w:szCs w:val="22"/>
        </w:rPr>
      </w:pPr>
    </w:p>
    <w:p>
      <w:pPr>
        <w:suppressAutoHyphens w:val="0"/>
        <w:ind w:firstLine="0"/>
        <w:jc w:val="left"/>
        <w:rPr>
          <w:b/>
          <w:noProof/>
          <w:sz w:val="22"/>
          <w:szCs w:val="22"/>
        </w:rPr>
      </w:pPr>
      <w:bookmarkStart w:id="28" w:name="_Toc422819447"/>
      <w:bookmarkStart w:id="29" w:name="_Toc423600134"/>
      <w:r>
        <w:rPr>
          <w:noProof/>
          <w:sz w:val="22"/>
          <w:szCs w:val="22"/>
        </w:rPr>
        <w:br w:type="page"/>
      </w:r>
    </w:p>
    <w:p>
      <w:pPr>
        <w:pStyle w:val="Caption"/>
        <w:keepNext/>
        <w:jc w:val="center"/>
        <w:rPr>
          <w:noProof/>
          <w:sz w:val="22"/>
          <w:szCs w:val="22"/>
        </w:rPr>
      </w:pPr>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4</w:t>
      </w:r>
      <w:r>
        <w:rPr>
          <w:noProof/>
          <w:sz w:val="22"/>
          <w:szCs w:val="22"/>
        </w:rPr>
        <w:fldChar w:fldCharType="end"/>
      </w:r>
      <w:r>
        <w:rPr>
          <w:noProof/>
          <w:sz w:val="22"/>
          <w:szCs w:val="22"/>
        </w:rPr>
        <w:t xml:space="preserve"> - </w:t>
      </w:r>
      <w:r>
        <w:rPr>
          <w:bCs/>
          <w:noProof/>
          <w:sz w:val="22"/>
          <w:szCs w:val="22"/>
        </w:rPr>
        <w:t xml:space="preserve">Conservations status of and trends for habitats </w:t>
      </w:r>
      <w:bookmarkEnd w:id="28"/>
      <w:bookmarkEnd w:id="29"/>
    </w:p>
    <w:p>
      <w:pPr>
        <w:autoSpaceDE w:val="0"/>
        <w:autoSpaceDN w:val="0"/>
        <w:adjustRightInd w:val="0"/>
        <w:spacing w:line="360" w:lineRule="auto"/>
        <w:jc w:val="center"/>
        <w:rPr>
          <w:b/>
          <w:noProof/>
          <w:sz w:val="22"/>
          <w:szCs w:val="22"/>
        </w:rPr>
      </w:pPr>
    </w:p>
    <w:p>
      <w:pPr>
        <w:autoSpaceDE w:val="0"/>
        <w:autoSpaceDN w:val="0"/>
        <w:adjustRightInd w:val="0"/>
        <w:spacing w:line="360" w:lineRule="auto"/>
        <w:jc w:val="center"/>
        <w:rPr>
          <w:noProof/>
          <w:sz w:val="22"/>
          <w:szCs w:val="22"/>
          <w:highlight w:val="green"/>
        </w:rPr>
      </w:pPr>
      <w:r>
        <w:rPr>
          <w:noProof/>
          <w:lang w:val="en-US" w:eastAsia="en-US"/>
        </w:rPr>
        <w:drawing>
          <wp:inline distT="0" distB="0" distL="0" distR="0">
            <wp:extent cx="2505075" cy="3476626"/>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line="360" w:lineRule="auto"/>
        <w:rPr>
          <w:noProof/>
          <w:sz w:val="22"/>
          <w:szCs w:val="22"/>
        </w:rPr>
      </w:pPr>
      <w:r>
        <w:rPr>
          <w:noProof/>
          <w:sz w:val="22"/>
          <w:szCs w:val="22"/>
        </w:rPr>
        <w:t xml:space="preserve">In the </w:t>
      </w:r>
      <w:r>
        <w:rPr>
          <w:b/>
          <w:noProof/>
          <w:sz w:val="22"/>
          <w:szCs w:val="22"/>
        </w:rPr>
        <w:t>marine environment</w:t>
      </w:r>
      <w:r>
        <w:rPr>
          <w:noProof/>
          <w:sz w:val="22"/>
          <w:szCs w:val="22"/>
        </w:rPr>
        <w:t>, the highest share of unfavourable-bad species assessments is in the Baltic Sea (60%) but the number of species assessed was rather low compared to terrestrial and the share of unknown assessments is also very high (ranging from 33% to 88%). There are only a few habitat types covered by the Habitats Directive. The two regions reporting favourable habitat assessments are the Macaronesian (33.3%) and the Black Sea regions (14.3%). However, the share of unknown assessments is still far higher than for terrestrial regions.</w:t>
      </w:r>
    </w:p>
    <w:p>
      <w:pPr>
        <w:spacing w:line="360" w:lineRule="auto"/>
        <w:rPr>
          <w:noProof/>
          <w:sz w:val="22"/>
          <w:szCs w:val="22"/>
        </w:rPr>
      </w:pPr>
    </w:p>
    <w:p>
      <w:pPr>
        <w:pBdr>
          <w:top w:val="single" w:sz="4" w:space="1" w:color="auto"/>
          <w:left w:val="single" w:sz="4" w:space="4" w:color="auto"/>
          <w:bottom w:val="single" w:sz="4" w:space="1" w:color="auto"/>
          <w:right w:val="single" w:sz="4" w:space="4" w:color="auto"/>
        </w:pBdr>
        <w:spacing w:line="360" w:lineRule="auto"/>
        <w:rPr>
          <w:b/>
          <w:noProof/>
          <w:sz w:val="22"/>
          <w:szCs w:val="22"/>
        </w:rPr>
      </w:pPr>
      <w:r>
        <w:rPr>
          <w:b/>
          <w:noProof/>
          <w:sz w:val="22"/>
          <w:szCs w:val="22"/>
        </w:rPr>
        <w:t xml:space="preserve">For the marine habitats, the Atlantic and Baltic region have shown a particularly high proportion of unfavourable assessments (71.4% and 42.9% respectively). </w:t>
      </w:r>
    </w:p>
    <w:p>
      <w:pPr>
        <w:spacing w:line="360" w:lineRule="auto"/>
        <w:rPr>
          <w:b/>
          <w:noProof/>
          <w:sz w:val="22"/>
          <w:szCs w:val="22"/>
        </w:rPr>
      </w:pPr>
    </w:p>
    <w:p>
      <w:pPr>
        <w:spacing w:line="360" w:lineRule="auto"/>
        <w:rPr>
          <w:b/>
          <w:noProof/>
          <w:sz w:val="22"/>
          <w:szCs w:val="22"/>
        </w:rPr>
      </w:pPr>
      <w:r>
        <w:rPr>
          <w:b/>
          <w:noProof/>
          <w:sz w:val="22"/>
          <w:szCs w:val="22"/>
        </w:rPr>
        <w:t>Species threatened with extinction in the EU</w:t>
      </w:r>
    </w:p>
    <w:p>
      <w:pPr>
        <w:spacing w:line="360" w:lineRule="auto"/>
        <w:rPr>
          <w:b/>
          <w:noProof/>
          <w:sz w:val="22"/>
          <w:szCs w:val="22"/>
        </w:rPr>
      </w:pPr>
    </w:p>
    <w:p>
      <w:pPr>
        <w:spacing w:line="360" w:lineRule="auto"/>
        <w:rPr>
          <w:noProof/>
          <w:sz w:val="22"/>
          <w:szCs w:val="22"/>
        </w:rPr>
      </w:pPr>
      <w:r>
        <w:rPr>
          <w:noProof/>
          <w:sz w:val="22"/>
          <w:szCs w:val="22"/>
        </w:rPr>
        <w:t xml:space="preserve">The overview of the latest results of the IUCN Red List assessments, show that </w:t>
      </w:r>
      <w:r>
        <w:rPr>
          <w:b/>
          <w:noProof/>
          <w:sz w:val="22"/>
          <w:szCs w:val="22"/>
        </w:rPr>
        <w:t>freshwater species</w:t>
      </w:r>
      <w:r>
        <w:rPr>
          <w:noProof/>
          <w:sz w:val="22"/>
          <w:szCs w:val="22"/>
        </w:rPr>
        <w:t xml:space="preserve"> - molluscs (55%) and freshwater fish (43%) - are the groups with the </w:t>
      </w:r>
      <w:r>
        <w:rPr>
          <w:b/>
          <w:noProof/>
          <w:sz w:val="22"/>
          <w:szCs w:val="22"/>
        </w:rPr>
        <w:t>highest proportion of threatened species</w:t>
      </w:r>
      <w:r>
        <w:rPr>
          <w:noProof/>
          <w:sz w:val="22"/>
          <w:szCs w:val="22"/>
        </w:rPr>
        <w:t xml:space="preserve">, together with marine mammals (43%), followed by </w:t>
      </w:r>
      <w:r>
        <w:rPr>
          <w:b/>
          <w:noProof/>
          <w:sz w:val="22"/>
          <w:szCs w:val="22"/>
        </w:rPr>
        <w:t>amphibians</w:t>
      </w:r>
      <w:r>
        <w:rPr>
          <w:noProof/>
          <w:sz w:val="22"/>
          <w:szCs w:val="22"/>
        </w:rPr>
        <w:t xml:space="preserve"> (22%), </w:t>
      </w:r>
      <w:r>
        <w:rPr>
          <w:b/>
          <w:noProof/>
          <w:sz w:val="22"/>
          <w:szCs w:val="22"/>
        </w:rPr>
        <w:t>reptiles</w:t>
      </w:r>
      <w:r>
        <w:rPr>
          <w:noProof/>
          <w:sz w:val="22"/>
          <w:szCs w:val="22"/>
        </w:rPr>
        <w:t xml:space="preserve"> (21%) and </w:t>
      </w:r>
      <w:r>
        <w:rPr>
          <w:b/>
          <w:noProof/>
          <w:sz w:val="22"/>
          <w:szCs w:val="22"/>
        </w:rPr>
        <w:t>birds</w:t>
      </w:r>
      <w:r>
        <w:rPr>
          <w:noProof/>
          <w:sz w:val="22"/>
          <w:szCs w:val="22"/>
        </w:rPr>
        <w:t xml:space="preserve"> (18%).</w:t>
      </w:r>
    </w:p>
    <w:p>
      <w:pPr>
        <w:rPr>
          <w:noProof/>
        </w:rPr>
      </w:pPr>
      <w:r>
        <w:rPr>
          <w:noProof/>
        </w:rPr>
        <w:br w:type="page"/>
      </w:r>
    </w:p>
    <w:p>
      <w:pPr>
        <w:pStyle w:val="Caption"/>
        <w:keepNext/>
        <w:spacing w:line="360" w:lineRule="auto"/>
        <w:jc w:val="center"/>
        <w:rPr>
          <w:noProof/>
          <w:sz w:val="22"/>
          <w:szCs w:val="22"/>
        </w:rPr>
      </w:pPr>
      <w:bookmarkStart w:id="30" w:name="_Toc422819448"/>
      <w:bookmarkStart w:id="31" w:name="_Toc423600135"/>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5</w:t>
      </w:r>
      <w:r>
        <w:rPr>
          <w:noProof/>
          <w:sz w:val="22"/>
          <w:szCs w:val="22"/>
        </w:rPr>
        <w:fldChar w:fldCharType="end"/>
      </w:r>
      <w:r>
        <w:rPr>
          <w:noProof/>
          <w:sz w:val="22"/>
          <w:szCs w:val="22"/>
        </w:rPr>
        <w:t xml:space="preserve"> - </w:t>
      </w:r>
      <w:r>
        <w:rPr>
          <w:bCs/>
          <w:noProof/>
          <w:sz w:val="22"/>
          <w:szCs w:val="22"/>
        </w:rPr>
        <w:t xml:space="preserve">Species facing the risk of extinction </w:t>
      </w:r>
      <w:r>
        <w:rPr>
          <w:noProof/>
          <w:sz w:val="22"/>
          <w:szCs w:val="22"/>
        </w:rPr>
        <w:t>for the ten taxonomic groups which have had a complete assessment at EU level between 2007 and 2015 (IUCN, 2015)</w:t>
      </w:r>
      <w:bookmarkEnd w:id="30"/>
      <w:bookmarkEnd w:id="31"/>
    </w:p>
    <w:p>
      <w:pPr>
        <w:rPr>
          <w:noProof/>
        </w:rPr>
      </w:pPr>
    </w:p>
    <w:p>
      <w:pPr>
        <w:autoSpaceDE w:val="0"/>
        <w:autoSpaceDN w:val="0"/>
        <w:adjustRightInd w:val="0"/>
        <w:spacing w:line="360" w:lineRule="auto"/>
        <w:jc w:val="center"/>
        <w:rPr>
          <w:bCs/>
          <w:noProof/>
          <w:sz w:val="22"/>
          <w:szCs w:val="22"/>
        </w:rPr>
      </w:pPr>
      <w:r>
        <w:rPr>
          <w:noProof/>
          <w:lang w:val="en-US" w:eastAsia="en-US"/>
        </w:rPr>
        <w:drawing>
          <wp:inline distT="0" distB="0" distL="0" distR="0">
            <wp:extent cx="6200775" cy="4171950"/>
            <wp:effectExtent l="0" t="0" r="9525" b="19050"/>
            <wp:docPr id="11" name="Chart 11" title="For taxonomic groups mentioned with an * , only a selection of species were asssss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Caption"/>
        <w:keepNext/>
        <w:rPr>
          <w:noProof/>
        </w:rPr>
      </w:pPr>
    </w:p>
    <w:tbl>
      <w:tblPr>
        <w:tblStyle w:val="TableGrid"/>
        <w:tblW w:w="0" w:type="auto"/>
        <w:tblLook w:val="04A0" w:firstRow="1" w:lastRow="0" w:firstColumn="1" w:lastColumn="0" w:noHBand="0" w:noVBand="1"/>
      </w:tblPr>
      <w:tblGrid>
        <w:gridCol w:w="9854"/>
      </w:tblGrid>
      <w:tr>
        <w:tc>
          <w:tcPr>
            <w:tcW w:w="9854" w:type="dxa"/>
          </w:tcPr>
          <w:p>
            <w:pPr>
              <w:spacing w:before="120" w:line="360" w:lineRule="auto"/>
              <w:rPr>
                <w:b/>
                <w:noProof/>
                <w:sz w:val="22"/>
                <w:szCs w:val="22"/>
              </w:rPr>
            </w:pPr>
            <w:r>
              <w:rPr>
                <w:b/>
                <w:noProof/>
                <w:sz w:val="22"/>
                <w:szCs w:val="22"/>
              </w:rPr>
              <w:t xml:space="preserve">Box </w:t>
            </w:r>
            <w:r>
              <w:rPr>
                <w:b/>
                <w:noProof/>
                <w:sz w:val="22"/>
                <w:szCs w:val="22"/>
              </w:rPr>
              <w:fldChar w:fldCharType="begin"/>
            </w:r>
            <w:r>
              <w:rPr>
                <w:b/>
                <w:noProof/>
                <w:sz w:val="22"/>
                <w:szCs w:val="22"/>
              </w:rPr>
              <w:instrText xml:space="preserve"> SEQ Box \* ARABIC </w:instrText>
            </w:r>
            <w:r>
              <w:rPr>
                <w:b/>
                <w:noProof/>
                <w:sz w:val="22"/>
                <w:szCs w:val="22"/>
              </w:rPr>
              <w:fldChar w:fldCharType="separate"/>
            </w:r>
            <w:r>
              <w:rPr>
                <w:b/>
                <w:noProof/>
                <w:sz w:val="22"/>
                <w:szCs w:val="22"/>
              </w:rPr>
              <w:t>1</w:t>
            </w:r>
            <w:r>
              <w:rPr>
                <w:b/>
                <w:noProof/>
                <w:sz w:val="22"/>
                <w:szCs w:val="22"/>
              </w:rPr>
              <w:fldChar w:fldCharType="end"/>
            </w:r>
            <w:r>
              <w:rPr>
                <w:b/>
                <w:noProof/>
                <w:sz w:val="22"/>
                <w:szCs w:val="22"/>
              </w:rPr>
              <w:t>: Threatened marine fishes</w:t>
            </w:r>
          </w:p>
          <w:p>
            <w:pPr>
              <w:spacing w:after="120" w:line="360" w:lineRule="auto"/>
              <w:rPr>
                <w:noProof/>
                <w:sz w:val="22"/>
                <w:szCs w:val="22"/>
              </w:rPr>
            </w:pPr>
            <w:r>
              <w:rPr>
                <w:noProof/>
                <w:sz w:val="22"/>
                <w:szCs w:val="22"/>
              </w:rPr>
              <w:t>The European Red List of Threatened Species published by IUCN on 3 June 2015 shows that 7.5% of all European marine fish species are threatened with extinction in European waters. While some fishes are recovering, marine management has been less successful for many other commercial species. 40.4% of European sharks, rays and chimaeras face an elevated risk of extinction. The population trend for 68.4% of the species is unknown, while 8.4% of the populations are declining, 21.5% are considered stable and 1.7% are increasing. The report, financed by the European Commission, is the first ever complete assessment of marine fishes native to Europe, assessing all of the 1,220 species present in the Mediterranean Sea, Black Sea, Baltic Sea, North Sea, and the Northeast Atlantic Ocean, including many highly exploited species that support large commercial, recreational, and artisanal fisheries. Most of these species are not covered by the nature legislation. The highest number of threatened species can be found in the Mediterranean Sea, the western coast of the Iberian Peninsula and the Macaronesian islands. The report identified overfishing as the main threat to marine fishes in Europe, both in targeted fisheries and as by-catch. Other major threats include coastal development, energy production and mining, pollution and climate change.</w:t>
            </w:r>
          </w:p>
        </w:tc>
      </w:tr>
    </w:tbl>
    <w:p>
      <w:pPr>
        <w:autoSpaceDE w:val="0"/>
        <w:autoSpaceDN w:val="0"/>
        <w:adjustRightInd w:val="0"/>
        <w:spacing w:line="360" w:lineRule="auto"/>
        <w:rPr>
          <w:b/>
          <w:noProof/>
          <w:sz w:val="22"/>
          <w:szCs w:val="22"/>
        </w:rPr>
      </w:pPr>
    </w:p>
    <w:p>
      <w:pPr>
        <w:autoSpaceDE w:val="0"/>
        <w:autoSpaceDN w:val="0"/>
        <w:adjustRightInd w:val="0"/>
        <w:spacing w:line="360" w:lineRule="auto"/>
        <w:rPr>
          <w:b/>
          <w:noProof/>
          <w:sz w:val="22"/>
          <w:szCs w:val="22"/>
        </w:rPr>
      </w:pPr>
      <w:r>
        <w:rPr>
          <w:b/>
          <w:noProof/>
          <w:sz w:val="22"/>
          <w:szCs w:val="22"/>
        </w:rPr>
        <w:t>Trends in common species in the EU</w:t>
      </w:r>
    </w:p>
    <w:p>
      <w:pPr>
        <w:autoSpaceDE w:val="0"/>
        <w:autoSpaceDN w:val="0"/>
        <w:adjustRightInd w:val="0"/>
        <w:spacing w:line="360" w:lineRule="auto"/>
        <w:rPr>
          <w:b/>
          <w:noProof/>
          <w:sz w:val="22"/>
          <w:szCs w:val="22"/>
        </w:rPr>
      </w:pPr>
    </w:p>
    <w:p>
      <w:pPr>
        <w:spacing w:line="360" w:lineRule="auto"/>
        <w:rPr>
          <w:noProof/>
          <w:sz w:val="22"/>
          <w:szCs w:val="22"/>
          <w:lang w:val="en-US"/>
        </w:rPr>
      </w:pPr>
      <w:r>
        <w:rPr>
          <w:noProof/>
          <w:sz w:val="22"/>
          <w:szCs w:val="22"/>
          <w:lang w:val="en-US"/>
        </w:rPr>
        <w:t xml:space="preserve">Since 1990, </w:t>
      </w:r>
      <w:r>
        <w:rPr>
          <w:b/>
          <w:noProof/>
          <w:sz w:val="22"/>
          <w:szCs w:val="22"/>
          <w:lang w:val="en-US"/>
        </w:rPr>
        <w:t xml:space="preserve">common bird </w:t>
      </w:r>
      <w:r>
        <w:rPr>
          <w:noProof/>
          <w:sz w:val="22"/>
          <w:szCs w:val="22"/>
          <w:lang w:val="en-US"/>
        </w:rPr>
        <w:t xml:space="preserve">populations have decreased by around 11%; more recently and as compared to the EU 2010 Biodiversity Baseline, populations have been stabilised. However, the decline of common farmland birds, which was more pronounced at nearly 30% since 1990, is not reversed yet and populations are still declining as compared to the EU 2010 Biodiversity Baseline. </w:t>
      </w:r>
    </w:p>
    <w:p>
      <w:pPr>
        <w:autoSpaceDE w:val="0"/>
        <w:autoSpaceDN w:val="0"/>
        <w:adjustRightInd w:val="0"/>
        <w:spacing w:line="360" w:lineRule="auto"/>
        <w:jc w:val="left"/>
        <w:rPr>
          <w:bCs/>
          <w:noProof/>
          <w:sz w:val="22"/>
          <w:szCs w:val="22"/>
        </w:rPr>
      </w:pPr>
    </w:p>
    <w:p>
      <w:pPr>
        <w:pStyle w:val="Caption"/>
        <w:keepNext/>
        <w:spacing w:line="360" w:lineRule="auto"/>
        <w:jc w:val="center"/>
        <w:rPr>
          <w:noProof/>
          <w:sz w:val="22"/>
          <w:szCs w:val="22"/>
        </w:rPr>
      </w:pPr>
      <w:bookmarkStart w:id="32" w:name="_Toc422819449"/>
      <w:bookmarkStart w:id="33" w:name="_Toc423600136"/>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6</w:t>
      </w:r>
      <w:r>
        <w:rPr>
          <w:noProof/>
          <w:sz w:val="22"/>
          <w:szCs w:val="22"/>
        </w:rPr>
        <w:fldChar w:fldCharType="end"/>
      </w:r>
      <w:r>
        <w:rPr>
          <w:noProof/>
          <w:sz w:val="22"/>
          <w:szCs w:val="22"/>
        </w:rPr>
        <w:t xml:space="preserve"> - Common bird indices, EU, 1990-2012 (*)</w:t>
      </w:r>
      <w:r>
        <w:rPr>
          <w:noProof/>
          <w:sz w:val="22"/>
          <w:szCs w:val="22"/>
        </w:rPr>
        <w:br/>
        <w:t>(index 1990 = 100)</w:t>
      </w:r>
      <w:bookmarkEnd w:id="32"/>
      <w:bookmarkEnd w:id="33"/>
    </w:p>
    <w:p>
      <w:pPr>
        <w:autoSpaceDE w:val="0"/>
        <w:autoSpaceDN w:val="0"/>
        <w:adjustRightInd w:val="0"/>
        <w:spacing w:line="360" w:lineRule="auto"/>
        <w:jc w:val="center"/>
        <w:rPr>
          <w:b/>
          <w:bCs/>
          <w:noProof/>
          <w:sz w:val="22"/>
          <w:szCs w:val="22"/>
        </w:rPr>
      </w:pPr>
      <w:r>
        <w:rPr>
          <w:noProof/>
          <w:lang w:val="en-US" w:eastAsia="en-US"/>
        </w:rPr>
        <w:drawing>
          <wp:inline distT="0" distB="0" distL="0" distR="0">
            <wp:extent cx="5943600" cy="200723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source"/>
        <w:spacing w:line="360" w:lineRule="auto"/>
        <w:rPr>
          <w:rFonts w:ascii="Times New Roman" w:hAnsi="Times New Roman"/>
          <w:i w:val="0"/>
          <w:noProof/>
          <w:sz w:val="20"/>
          <w:szCs w:val="20"/>
          <w:lang w:val="en-GB"/>
        </w:rPr>
      </w:pPr>
      <w:r>
        <w:rPr>
          <w:rFonts w:ascii="Times New Roman" w:hAnsi="Times New Roman"/>
          <w:i w:val="0"/>
          <w:noProof/>
          <w:sz w:val="20"/>
          <w:szCs w:val="20"/>
          <w:lang w:val="en-GB"/>
        </w:rPr>
        <w:t>(*) Estimates. EU: aggregate changing according to the context. All common species covers information on 163 different bird species. Common farmland species covers 39 bird species. Common forest species covers 33 bird species.</w:t>
      </w:r>
    </w:p>
    <w:p>
      <w:pPr>
        <w:suppressAutoHyphens w:val="0"/>
        <w:ind w:firstLine="0"/>
        <w:jc w:val="left"/>
        <w:rPr>
          <w:i/>
          <w:iCs/>
          <w:noProof/>
          <w:sz w:val="20"/>
          <w:lang w:eastAsia="en-GB"/>
        </w:rPr>
      </w:pPr>
      <w:r>
        <w:rPr>
          <w:i/>
          <w:iCs/>
          <w:noProof/>
          <w:sz w:val="20"/>
          <w:lang w:eastAsia="en-GB"/>
        </w:rPr>
        <w:t>Source:</w:t>
      </w:r>
      <w:r>
        <w:rPr>
          <w:i/>
          <w:noProof/>
          <w:sz w:val="20"/>
          <w:lang w:eastAsia="en-GB"/>
        </w:rPr>
        <w:t xml:space="preserve"> EBCC / RSPB / BirdLife / Statistics Netherlands; Eurostat (online data code: env_bio3)</w:t>
      </w:r>
    </w:p>
    <w:p>
      <w:pPr>
        <w:autoSpaceDE w:val="0"/>
        <w:autoSpaceDN w:val="0"/>
        <w:adjustRightInd w:val="0"/>
        <w:spacing w:line="360" w:lineRule="auto"/>
        <w:rPr>
          <w:noProof/>
          <w:sz w:val="22"/>
          <w:szCs w:val="22"/>
          <w:lang w:val="en-US"/>
        </w:rPr>
      </w:pPr>
    </w:p>
    <w:p>
      <w:pPr>
        <w:spacing w:line="360" w:lineRule="auto"/>
        <w:rPr>
          <w:b/>
          <w:noProof/>
          <w:sz w:val="22"/>
          <w:szCs w:val="22"/>
        </w:rPr>
      </w:pPr>
      <w:r>
        <w:rPr>
          <w:b/>
          <w:noProof/>
          <w:sz w:val="22"/>
          <w:szCs w:val="22"/>
        </w:rPr>
        <w:t>Status and trends of ecosystem and their services in the EU</w:t>
      </w:r>
    </w:p>
    <w:p>
      <w:pPr>
        <w:spacing w:line="360" w:lineRule="auto"/>
        <w:rPr>
          <w:b/>
          <w:noProof/>
          <w:sz w:val="22"/>
          <w:szCs w:val="22"/>
        </w:rPr>
      </w:pPr>
    </w:p>
    <w:p>
      <w:pPr>
        <w:spacing w:line="360" w:lineRule="auto"/>
        <w:rPr>
          <w:noProof/>
          <w:sz w:val="22"/>
          <w:szCs w:val="22"/>
        </w:rPr>
      </w:pPr>
      <w:r>
        <w:rPr>
          <w:noProof/>
          <w:sz w:val="22"/>
          <w:szCs w:val="22"/>
        </w:rPr>
        <w:t xml:space="preserve">The long-term well-being of Europe’s economies and societies is underpinned by its natural capital. Its genetic resources, species and ecosystems provide essential goods and services. These include fertile soils, multi-functional forests and productive seas, fresh water and air, biomass for multiple uses and ecosystem-based climate mitigation and adaptation. Unfortunately, many of Europe’s </w:t>
      </w:r>
      <w:r>
        <w:rPr>
          <w:b/>
          <w:noProof/>
          <w:sz w:val="22"/>
          <w:szCs w:val="22"/>
        </w:rPr>
        <w:t xml:space="preserve">ecosystems </w:t>
      </w:r>
      <w:r>
        <w:rPr>
          <w:noProof/>
          <w:sz w:val="22"/>
          <w:szCs w:val="22"/>
        </w:rPr>
        <w:t>are now being degraded and their ability to deliver these valuable services is being reduced.</w:t>
      </w:r>
      <w:r>
        <w:rPr>
          <w:iCs/>
          <w:noProof/>
          <w:sz w:val="22"/>
          <w:szCs w:val="22"/>
        </w:rPr>
        <w:t xml:space="preserve"> One issue alone </w:t>
      </w:r>
      <w:r>
        <w:rPr>
          <w:noProof/>
          <w:sz w:val="22"/>
          <w:szCs w:val="22"/>
        </w:rPr>
        <w:t>—</w:t>
      </w:r>
      <w:r>
        <w:rPr>
          <w:iCs/>
          <w:noProof/>
          <w:sz w:val="22"/>
          <w:szCs w:val="22"/>
        </w:rPr>
        <w:t xml:space="preserve"> insect pollination, which is being heavily degraded in Europe </w:t>
      </w:r>
      <w:r>
        <w:rPr>
          <w:noProof/>
          <w:sz w:val="22"/>
          <w:szCs w:val="22"/>
        </w:rPr>
        <w:t>—</w:t>
      </w:r>
      <w:r>
        <w:rPr>
          <w:iCs/>
          <w:noProof/>
          <w:sz w:val="22"/>
          <w:szCs w:val="22"/>
        </w:rPr>
        <w:t xml:space="preserve"> has an estimated economic value of EUR</w:t>
      </w:r>
      <w:r>
        <w:rPr>
          <w:iCs/>
          <w:noProof/>
          <w:w w:val="50"/>
          <w:sz w:val="22"/>
          <w:szCs w:val="22"/>
        </w:rPr>
        <w:t> </w:t>
      </w:r>
      <w:r>
        <w:rPr>
          <w:iCs/>
          <w:noProof/>
          <w:sz w:val="22"/>
          <w:szCs w:val="22"/>
        </w:rPr>
        <w:t>15</w:t>
      </w:r>
      <w:r>
        <w:rPr>
          <w:iCs/>
          <w:noProof/>
          <w:w w:val="50"/>
          <w:sz w:val="22"/>
          <w:szCs w:val="22"/>
        </w:rPr>
        <w:t> </w:t>
      </w:r>
      <w:r>
        <w:rPr>
          <w:iCs/>
          <w:noProof/>
          <w:sz w:val="22"/>
          <w:szCs w:val="22"/>
        </w:rPr>
        <w:t>billion a year in the EU</w:t>
      </w:r>
      <w:r>
        <w:rPr>
          <w:rStyle w:val="FootnoteReference"/>
          <w:noProof/>
          <w:sz w:val="22"/>
          <w:szCs w:val="22"/>
        </w:rPr>
        <w:footnoteReference w:id="19"/>
      </w:r>
      <w:r>
        <w:rPr>
          <w:iCs/>
          <w:noProof/>
          <w:sz w:val="22"/>
          <w:szCs w:val="22"/>
        </w:rPr>
        <w:t>. This presents an important problem that differs from</w:t>
      </w:r>
      <w:r>
        <w:rPr>
          <w:noProof/>
          <w:sz w:val="22"/>
          <w:szCs w:val="22"/>
        </w:rPr>
        <w:t xml:space="preserve"> the case of economic and human capital. The value of natural capital to our economies and societies, and the interdependencies of nature with other societal objectives, is often not reflected in private and public decisions, indicators, or accounting systems and economic signals in our market economies.</w:t>
      </w:r>
    </w:p>
    <w:p>
      <w:pPr>
        <w:spacing w:line="360" w:lineRule="auto"/>
        <w:rPr>
          <w:noProof/>
          <w:sz w:val="22"/>
          <w:szCs w:val="22"/>
        </w:rPr>
      </w:pPr>
    </w:p>
    <w:p>
      <w:pPr>
        <w:pStyle w:val="Caption"/>
        <w:keepNext/>
        <w:spacing w:line="360" w:lineRule="auto"/>
        <w:jc w:val="center"/>
        <w:rPr>
          <w:noProof/>
          <w:sz w:val="22"/>
          <w:szCs w:val="22"/>
        </w:rPr>
      </w:pPr>
      <w:bookmarkStart w:id="34" w:name="_Toc422819450"/>
      <w:bookmarkStart w:id="35" w:name="_Toc423600137"/>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7</w:t>
      </w:r>
      <w:r>
        <w:rPr>
          <w:noProof/>
          <w:sz w:val="22"/>
          <w:szCs w:val="22"/>
        </w:rPr>
        <w:fldChar w:fldCharType="end"/>
      </w:r>
      <w:r>
        <w:rPr>
          <w:noProof/>
          <w:sz w:val="22"/>
          <w:szCs w:val="22"/>
        </w:rPr>
        <w:t xml:space="preserve"> - Trends in pressures on ecosystems</w:t>
      </w:r>
      <w:bookmarkEnd w:id="34"/>
      <w:bookmarkEnd w:id="35"/>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335"/>
        <w:gridCol w:w="1335"/>
        <w:gridCol w:w="1335"/>
        <w:gridCol w:w="1335"/>
        <w:gridCol w:w="1332"/>
      </w:tblGrid>
      <w:tr>
        <w:trPr>
          <w:trHeight w:val="20"/>
        </w:trPr>
        <w:tc>
          <w:tcPr>
            <w:tcW w:w="1387" w:type="pct"/>
            <w:shd w:val="clear" w:color="auto" w:fill="BFBFBF" w:themeFill="background1" w:themeFillShade="BF"/>
            <w:vAlign w:val="center"/>
          </w:tcPr>
          <w:p>
            <w:pPr>
              <w:keepNext/>
              <w:overflowPunct w:val="0"/>
              <w:autoSpaceDE w:val="0"/>
              <w:autoSpaceDN w:val="0"/>
              <w:adjustRightInd w:val="0"/>
              <w:jc w:val="left"/>
              <w:textAlignment w:val="baseline"/>
              <w:rPr>
                <w:rFonts w:asciiTheme="minorHAnsi" w:eastAsiaTheme="minorHAnsi" w:hAnsiTheme="minorHAnsi" w:cstheme="minorHAnsi"/>
                <w:b/>
                <w:noProof/>
                <w:sz w:val="18"/>
                <w:szCs w:val="18"/>
                <w:lang w:eastAsia="en-GB"/>
              </w:rPr>
            </w:pPr>
            <w:r>
              <w:rPr>
                <w:rFonts w:asciiTheme="minorHAnsi" w:eastAsiaTheme="minorHAnsi" w:hAnsiTheme="minorHAnsi" w:cstheme="minorHAnsi"/>
                <w:b/>
                <w:noProof/>
                <w:sz w:val="18"/>
                <w:szCs w:val="18"/>
                <w:lang w:eastAsia="en-GB"/>
              </w:rPr>
              <w:t>Ecosystem type</w:t>
            </w:r>
          </w:p>
        </w:tc>
        <w:tc>
          <w:tcPr>
            <w:tcW w:w="723" w:type="pct"/>
            <w:shd w:val="clear" w:color="auto" w:fill="BFBFBF" w:themeFill="background1" w:themeFillShade="BF"/>
            <w:tcMar>
              <w:top w:w="57" w:type="dxa"/>
              <w:left w:w="57" w:type="dxa"/>
              <w:bottom w:w="57" w:type="dxa"/>
              <w:right w:w="57" w:type="dxa"/>
            </w:tcMar>
            <w:vAlign w:val="center"/>
          </w:tcPr>
          <w:p>
            <w:pPr>
              <w:keepNext/>
              <w:overflowPunct w:val="0"/>
              <w:autoSpaceDE w:val="0"/>
              <w:autoSpaceDN w:val="0"/>
              <w:adjustRightInd w:val="0"/>
              <w:jc w:val="center"/>
              <w:textAlignment w:val="baseline"/>
              <w:rPr>
                <w:rFonts w:asciiTheme="minorHAnsi" w:eastAsiaTheme="minorHAnsi" w:hAnsiTheme="minorHAnsi" w:cstheme="minorHAnsi"/>
                <w:b/>
                <w:noProof/>
                <w:sz w:val="18"/>
                <w:szCs w:val="18"/>
                <w:lang w:eastAsia="en-GB"/>
              </w:rPr>
            </w:pPr>
            <w:r>
              <w:rPr>
                <w:rFonts w:asciiTheme="minorHAnsi" w:eastAsiaTheme="minorHAnsi" w:hAnsiTheme="minorHAnsi" w:cstheme="minorHAnsi"/>
                <w:b/>
                <w:noProof/>
                <w:sz w:val="18"/>
                <w:szCs w:val="18"/>
                <w:lang w:eastAsia="en-GB"/>
              </w:rPr>
              <w:t>Habitat changes</w:t>
            </w:r>
          </w:p>
        </w:tc>
        <w:tc>
          <w:tcPr>
            <w:tcW w:w="723" w:type="pct"/>
            <w:shd w:val="clear" w:color="auto" w:fill="BFBFBF" w:themeFill="background1" w:themeFillShade="BF"/>
            <w:tcMar>
              <w:top w:w="57" w:type="dxa"/>
              <w:left w:w="57" w:type="dxa"/>
              <w:bottom w:w="57" w:type="dxa"/>
              <w:right w:w="57" w:type="dxa"/>
            </w:tcMar>
            <w:vAlign w:val="center"/>
          </w:tcPr>
          <w:p>
            <w:pPr>
              <w:keepNext/>
              <w:overflowPunct w:val="0"/>
              <w:autoSpaceDE w:val="0"/>
              <w:autoSpaceDN w:val="0"/>
              <w:adjustRightInd w:val="0"/>
              <w:jc w:val="center"/>
              <w:textAlignment w:val="baseline"/>
              <w:rPr>
                <w:rFonts w:asciiTheme="minorHAnsi" w:eastAsiaTheme="minorHAnsi" w:hAnsiTheme="minorHAnsi" w:cstheme="minorHAnsi"/>
                <w:b/>
                <w:noProof/>
                <w:sz w:val="18"/>
                <w:szCs w:val="18"/>
                <w:lang w:eastAsia="en-GB"/>
              </w:rPr>
            </w:pPr>
            <w:r>
              <w:rPr>
                <w:rFonts w:asciiTheme="minorHAnsi" w:eastAsiaTheme="minorHAnsi" w:hAnsiTheme="minorHAnsi" w:cstheme="minorHAnsi"/>
                <w:b/>
                <w:noProof/>
                <w:sz w:val="18"/>
                <w:szCs w:val="18"/>
                <w:lang w:eastAsia="en-GB"/>
              </w:rPr>
              <w:t>Climate change</w:t>
            </w:r>
          </w:p>
        </w:tc>
        <w:tc>
          <w:tcPr>
            <w:tcW w:w="723" w:type="pct"/>
            <w:shd w:val="clear" w:color="auto" w:fill="BFBFBF" w:themeFill="background1" w:themeFillShade="BF"/>
            <w:tcMar>
              <w:top w:w="57" w:type="dxa"/>
              <w:left w:w="57" w:type="dxa"/>
              <w:bottom w:w="57" w:type="dxa"/>
              <w:right w:w="57" w:type="dxa"/>
            </w:tcMar>
            <w:vAlign w:val="center"/>
          </w:tcPr>
          <w:p>
            <w:pPr>
              <w:keepNext/>
              <w:overflowPunct w:val="0"/>
              <w:autoSpaceDE w:val="0"/>
              <w:autoSpaceDN w:val="0"/>
              <w:adjustRightInd w:val="0"/>
              <w:jc w:val="center"/>
              <w:textAlignment w:val="baseline"/>
              <w:rPr>
                <w:rFonts w:asciiTheme="minorHAnsi" w:eastAsiaTheme="minorHAnsi" w:hAnsiTheme="minorHAnsi" w:cstheme="minorHAnsi"/>
                <w:b/>
                <w:noProof/>
                <w:sz w:val="18"/>
                <w:szCs w:val="18"/>
                <w:lang w:eastAsia="en-GB"/>
              </w:rPr>
            </w:pPr>
            <w:r>
              <w:rPr>
                <w:rFonts w:asciiTheme="minorHAnsi" w:eastAsiaTheme="minorHAnsi" w:hAnsiTheme="minorHAnsi" w:cstheme="minorHAnsi"/>
                <w:b/>
                <w:noProof/>
                <w:sz w:val="18"/>
                <w:szCs w:val="18"/>
                <w:lang w:eastAsia="en-GB"/>
              </w:rPr>
              <w:t>Exploitation</w:t>
            </w:r>
          </w:p>
        </w:tc>
        <w:tc>
          <w:tcPr>
            <w:tcW w:w="723" w:type="pct"/>
            <w:shd w:val="clear" w:color="auto" w:fill="BFBFBF" w:themeFill="background1" w:themeFillShade="BF"/>
            <w:tcMar>
              <w:top w:w="57" w:type="dxa"/>
              <w:left w:w="57" w:type="dxa"/>
              <w:bottom w:w="57" w:type="dxa"/>
              <w:right w:w="57" w:type="dxa"/>
            </w:tcMar>
            <w:vAlign w:val="center"/>
          </w:tcPr>
          <w:p>
            <w:pPr>
              <w:keepNext/>
              <w:overflowPunct w:val="0"/>
              <w:autoSpaceDE w:val="0"/>
              <w:autoSpaceDN w:val="0"/>
              <w:adjustRightInd w:val="0"/>
              <w:jc w:val="center"/>
              <w:textAlignment w:val="baseline"/>
              <w:rPr>
                <w:rFonts w:asciiTheme="minorHAnsi" w:eastAsiaTheme="minorHAnsi" w:hAnsiTheme="minorHAnsi" w:cstheme="minorHAnsi"/>
                <w:b/>
                <w:noProof/>
                <w:sz w:val="18"/>
                <w:szCs w:val="18"/>
                <w:lang w:eastAsia="en-GB"/>
              </w:rPr>
            </w:pPr>
            <w:r>
              <w:rPr>
                <w:rFonts w:asciiTheme="minorHAnsi" w:eastAsiaTheme="minorHAnsi" w:hAnsiTheme="minorHAnsi" w:cstheme="minorHAnsi"/>
                <w:b/>
                <w:noProof/>
                <w:sz w:val="18"/>
                <w:szCs w:val="18"/>
                <w:lang w:eastAsia="en-GB"/>
              </w:rPr>
              <w:t>Invasive species</w:t>
            </w:r>
          </w:p>
        </w:tc>
        <w:tc>
          <w:tcPr>
            <w:tcW w:w="721" w:type="pct"/>
            <w:shd w:val="clear" w:color="auto" w:fill="BFBFBF" w:themeFill="background1" w:themeFillShade="BF"/>
            <w:tcMar>
              <w:top w:w="57" w:type="dxa"/>
              <w:left w:w="57" w:type="dxa"/>
              <w:bottom w:w="57" w:type="dxa"/>
              <w:right w:w="57" w:type="dxa"/>
            </w:tcMar>
            <w:vAlign w:val="center"/>
          </w:tcPr>
          <w:p>
            <w:pPr>
              <w:keepNext/>
              <w:overflowPunct w:val="0"/>
              <w:autoSpaceDE w:val="0"/>
              <w:autoSpaceDN w:val="0"/>
              <w:adjustRightInd w:val="0"/>
              <w:jc w:val="center"/>
              <w:textAlignment w:val="baseline"/>
              <w:rPr>
                <w:rFonts w:asciiTheme="minorHAnsi" w:eastAsiaTheme="minorHAnsi" w:hAnsiTheme="minorHAnsi" w:cstheme="minorHAnsi"/>
                <w:b/>
                <w:noProof/>
                <w:sz w:val="18"/>
                <w:szCs w:val="18"/>
                <w:lang w:eastAsia="en-GB"/>
              </w:rPr>
            </w:pPr>
            <w:r>
              <w:rPr>
                <w:rFonts w:asciiTheme="minorHAnsi" w:eastAsiaTheme="minorHAnsi" w:hAnsiTheme="minorHAnsi" w:cstheme="minorHAnsi"/>
                <w:b/>
                <w:noProof/>
                <w:sz w:val="18"/>
                <w:szCs w:val="18"/>
                <w:lang w:eastAsia="en-GB"/>
              </w:rPr>
              <w:t>Pollution and nutrient enrichment</w:t>
            </w:r>
          </w:p>
        </w:tc>
      </w:tr>
      <w:tr>
        <w:trPr>
          <w:trHeight w:val="20"/>
        </w:trPr>
        <w:tc>
          <w:tcPr>
            <w:tcW w:w="1387" w:type="pct"/>
          </w:tcPr>
          <w:p>
            <w:pPr>
              <w:pStyle w:val="BodyText"/>
              <w:keepNext/>
              <w:keepLines/>
              <w:spacing w:after="0"/>
              <w:jc w:val="left"/>
              <w:rPr>
                <w:rFonts w:asciiTheme="minorHAnsi" w:hAnsiTheme="minorHAnsi" w:cstheme="minorHAnsi"/>
                <w:b/>
                <w:noProof/>
                <w:sz w:val="18"/>
                <w:szCs w:val="18"/>
              </w:rPr>
            </w:pPr>
            <w:r>
              <w:rPr>
                <w:rFonts w:asciiTheme="minorHAnsi" w:hAnsiTheme="minorHAnsi" w:cstheme="minorHAnsi"/>
                <w:b/>
                <w:noProof/>
                <w:sz w:val="18"/>
                <w:szCs w:val="18"/>
              </w:rPr>
              <w:t>Urban</w:t>
            </w:r>
          </w:p>
        </w:tc>
        <w:tc>
          <w:tcPr>
            <w:tcW w:w="723" w:type="pct"/>
            <w:shd w:val="clear" w:color="auto" w:fill="800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c>
          <w:tcPr>
            <w:tcW w:w="723" w:type="pct"/>
            <w:shd w:val="clear" w:color="auto" w:fill="FFC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1"/>
            </w:r>
          </w:p>
        </w:tc>
        <w:tc>
          <w:tcPr>
            <w:tcW w:w="723" w:type="pct"/>
            <w:shd w:val="clear" w:color="auto" w:fill="FFFF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c>
          <w:tcPr>
            <w:tcW w:w="723" w:type="pct"/>
            <w:shd w:val="clear" w:color="auto" w:fill="FF0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c>
          <w:tcPr>
            <w:tcW w:w="721" w:type="pct"/>
            <w:shd w:val="clear" w:color="auto" w:fill="800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1"/>
            </w:r>
          </w:p>
        </w:tc>
      </w:tr>
      <w:tr>
        <w:trPr>
          <w:trHeight w:val="20"/>
        </w:trPr>
        <w:tc>
          <w:tcPr>
            <w:tcW w:w="1387" w:type="pct"/>
          </w:tcPr>
          <w:p>
            <w:pPr>
              <w:pStyle w:val="BodyText"/>
              <w:keepNext/>
              <w:keepLines/>
              <w:spacing w:after="0"/>
              <w:jc w:val="left"/>
              <w:rPr>
                <w:rFonts w:asciiTheme="minorHAnsi" w:hAnsiTheme="minorHAnsi" w:cstheme="minorHAnsi"/>
                <w:b/>
                <w:noProof/>
                <w:sz w:val="18"/>
                <w:szCs w:val="18"/>
              </w:rPr>
            </w:pPr>
            <w:r>
              <w:rPr>
                <w:rFonts w:asciiTheme="minorHAnsi" w:hAnsiTheme="minorHAnsi" w:cstheme="minorHAnsi"/>
                <w:b/>
                <w:noProof/>
                <w:sz w:val="18"/>
                <w:szCs w:val="18"/>
              </w:rPr>
              <w:t xml:space="preserve">Cropland </w:t>
            </w:r>
          </w:p>
        </w:tc>
        <w:tc>
          <w:tcPr>
            <w:tcW w:w="723" w:type="pct"/>
            <w:shd w:val="clear" w:color="auto" w:fill="800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c>
          <w:tcPr>
            <w:tcW w:w="723" w:type="pct"/>
            <w:shd w:val="clear" w:color="auto" w:fill="FFC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1"/>
            </w:r>
          </w:p>
        </w:tc>
        <w:tc>
          <w:tcPr>
            <w:tcW w:w="723" w:type="pct"/>
            <w:shd w:val="clear" w:color="auto" w:fill="FF0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c>
          <w:tcPr>
            <w:tcW w:w="723" w:type="pct"/>
            <w:shd w:val="clear" w:color="auto" w:fill="FFC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c>
          <w:tcPr>
            <w:tcW w:w="721" w:type="pct"/>
            <w:shd w:val="clear" w:color="auto" w:fill="800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1"/>
            </w:r>
          </w:p>
        </w:tc>
      </w:tr>
      <w:tr>
        <w:trPr>
          <w:trHeight w:val="20"/>
        </w:trPr>
        <w:tc>
          <w:tcPr>
            <w:tcW w:w="1387" w:type="pct"/>
          </w:tcPr>
          <w:p>
            <w:pPr>
              <w:pStyle w:val="BodyText"/>
              <w:keepNext/>
              <w:keepLines/>
              <w:spacing w:after="0"/>
              <w:jc w:val="left"/>
              <w:rPr>
                <w:rFonts w:asciiTheme="minorHAnsi" w:hAnsiTheme="minorHAnsi" w:cstheme="minorHAnsi"/>
                <w:b/>
                <w:noProof/>
                <w:sz w:val="18"/>
                <w:szCs w:val="18"/>
              </w:rPr>
            </w:pPr>
            <w:r>
              <w:rPr>
                <w:rFonts w:asciiTheme="minorHAnsi" w:hAnsiTheme="minorHAnsi" w:cstheme="minorHAnsi"/>
                <w:b/>
                <w:noProof/>
                <w:sz w:val="18"/>
                <w:szCs w:val="18"/>
              </w:rPr>
              <w:t>Grassland</w:t>
            </w:r>
          </w:p>
        </w:tc>
        <w:tc>
          <w:tcPr>
            <w:tcW w:w="723" w:type="pct"/>
            <w:shd w:val="clear" w:color="auto" w:fill="FF0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4"/>
            </w:r>
          </w:p>
        </w:tc>
        <w:tc>
          <w:tcPr>
            <w:tcW w:w="723" w:type="pct"/>
            <w:shd w:val="clear" w:color="auto" w:fill="FFFF00"/>
            <w:tcMar>
              <w:top w:w="57" w:type="dxa"/>
              <w:left w:w="57" w:type="dxa"/>
              <w:bottom w:w="57" w:type="dxa"/>
              <w:right w:w="57" w:type="dxa"/>
            </w:tcMar>
            <w:vAlign w:val="center"/>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1"/>
            </w:r>
          </w:p>
        </w:tc>
        <w:tc>
          <w:tcPr>
            <w:tcW w:w="723" w:type="pct"/>
            <w:shd w:val="clear" w:color="auto" w:fill="FFC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c>
          <w:tcPr>
            <w:tcW w:w="723" w:type="pct"/>
            <w:shd w:val="clear" w:color="auto" w:fill="FFFF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c>
          <w:tcPr>
            <w:tcW w:w="721" w:type="pct"/>
            <w:shd w:val="clear" w:color="auto" w:fill="FFFF00"/>
            <w:tcMar>
              <w:top w:w="57" w:type="dxa"/>
              <w:left w:w="57" w:type="dxa"/>
              <w:bottom w:w="57" w:type="dxa"/>
              <w:right w:w="57" w:type="dxa"/>
            </w:tcMar>
            <w:vAlign w:val="center"/>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1"/>
            </w:r>
          </w:p>
        </w:tc>
      </w:tr>
      <w:tr>
        <w:trPr>
          <w:trHeight w:val="20"/>
        </w:trPr>
        <w:tc>
          <w:tcPr>
            <w:tcW w:w="1387" w:type="pct"/>
            <w:shd w:val="clear" w:color="auto" w:fill="auto"/>
            <w:hideMark/>
          </w:tcPr>
          <w:p>
            <w:pPr>
              <w:pStyle w:val="BodyText"/>
              <w:keepNext/>
              <w:keepLines/>
              <w:spacing w:after="0"/>
              <w:jc w:val="left"/>
              <w:rPr>
                <w:rFonts w:asciiTheme="minorHAnsi" w:hAnsiTheme="minorHAnsi" w:cstheme="minorHAnsi"/>
                <w:b/>
                <w:noProof/>
                <w:sz w:val="18"/>
                <w:szCs w:val="18"/>
              </w:rPr>
            </w:pPr>
            <w:r>
              <w:rPr>
                <w:rFonts w:asciiTheme="minorHAnsi" w:hAnsiTheme="minorHAnsi" w:cstheme="minorHAnsi"/>
                <w:b/>
                <w:noProof/>
                <w:sz w:val="18"/>
                <w:szCs w:val="18"/>
              </w:rPr>
              <w:t>Woodland and forest</w:t>
            </w:r>
          </w:p>
        </w:tc>
        <w:tc>
          <w:tcPr>
            <w:tcW w:w="723" w:type="pct"/>
            <w:shd w:val="clear" w:color="000000" w:fill="FF0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6"/>
            </w:r>
          </w:p>
        </w:tc>
        <w:tc>
          <w:tcPr>
            <w:tcW w:w="723" w:type="pct"/>
            <w:shd w:val="clear" w:color="000000" w:fill="FFFF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1"/>
            </w:r>
          </w:p>
        </w:tc>
        <w:tc>
          <w:tcPr>
            <w:tcW w:w="723" w:type="pct"/>
            <w:shd w:val="clear" w:color="000000" w:fill="FFC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0"/>
            </w:r>
          </w:p>
        </w:tc>
        <w:tc>
          <w:tcPr>
            <w:tcW w:w="723" w:type="pct"/>
            <w:shd w:val="clear" w:color="000000" w:fill="FFC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0"/>
            </w:r>
          </w:p>
        </w:tc>
        <w:tc>
          <w:tcPr>
            <w:tcW w:w="721" w:type="pct"/>
            <w:shd w:val="clear" w:color="000000" w:fill="FFC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4"/>
            </w:r>
          </w:p>
        </w:tc>
      </w:tr>
      <w:tr>
        <w:trPr>
          <w:trHeight w:val="20"/>
        </w:trPr>
        <w:tc>
          <w:tcPr>
            <w:tcW w:w="1387" w:type="pct"/>
          </w:tcPr>
          <w:p>
            <w:pPr>
              <w:pStyle w:val="BodyText"/>
              <w:keepNext/>
              <w:keepLines/>
              <w:spacing w:after="0"/>
              <w:jc w:val="left"/>
              <w:rPr>
                <w:rFonts w:asciiTheme="minorHAnsi" w:hAnsiTheme="minorHAnsi" w:cstheme="minorHAnsi"/>
                <w:b/>
                <w:noProof/>
                <w:sz w:val="18"/>
                <w:szCs w:val="18"/>
              </w:rPr>
            </w:pPr>
            <w:r>
              <w:rPr>
                <w:rFonts w:asciiTheme="minorHAnsi" w:hAnsiTheme="minorHAnsi" w:cstheme="minorHAnsi"/>
                <w:b/>
                <w:noProof/>
                <w:sz w:val="18"/>
                <w:szCs w:val="18"/>
              </w:rPr>
              <w:t>Heathland, shrub and sparsely vegetated land</w:t>
            </w:r>
          </w:p>
        </w:tc>
        <w:tc>
          <w:tcPr>
            <w:tcW w:w="723" w:type="pct"/>
            <w:shd w:val="clear" w:color="auto" w:fill="FFC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0"/>
            </w:r>
          </w:p>
        </w:tc>
        <w:tc>
          <w:tcPr>
            <w:tcW w:w="723" w:type="pct"/>
            <w:shd w:val="clear" w:color="auto" w:fill="FFC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1"/>
            </w:r>
          </w:p>
        </w:tc>
        <w:tc>
          <w:tcPr>
            <w:tcW w:w="723" w:type="pct"/>
            <w:shd w:val="clear" w:color="auto" w:fill="FFFF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0"/>
            </w:r>
          </w:p>
        </w:tc>
        <w:tc>
          <w:tcPr>
            <w:tcW w:w="723" w:type="pct"/>
            <w:shd w:val="clear" w:color="auto" w:fill="FFC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c>
          <w:tcPr>
            <w:tcW w:w="721" w:type="pct"/>
            <w:shd w:val="clear" w:color="auto" w:fill="FFFF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r>
      <w:tr>
        <w:trPr>
          <w:trHeight w:val="20"/>
        </w:trPr>
        <w:tc>
          <w:tcPr>
            <w:tcW w:w="1387" w:type="pct"/>
            <w:shd w:val="clear" w:color="auto" w:fill="auto"/>
            <w:hideMark/>
          </w:tcPr>
          <w:p>
            <w:pPr>
              <w:pStyle w:val="BodyText"/>
              <w:keepNext/>
              <w:keepLines/>
              <w:spacing w:after="0"/>
              <w:jc w:val="left"/>
              <w:rPr>
                <w:rFonts w:asciiTheme="minorHAnsi" w:hAnsiTheme="minorHAnsi" w:cstheme="minorHAnsi"/>
                <w:b/>
                <w:noProof/>
                <w:sz w:val="18"/>
                <w:szCs w:val="18"/>
              </w:rPr>
            </w:pPr>
            <w:r>
              <w:rPr>
                <w:rFonts w:asciiTheme="minorHAnsi" w:hAnsiTheme="minorHAnsi" w:cstheme="minorHAnsi"/>
                <w:b/>
                <w:noProof/>
                <w:sz w:val="18"/>
                <w:szCs w:val="18"/>
              </w:rPr>
              <w:t xml:space="preserve">Wetlands </w:t>
            </w:r>
          </w:p>
        </w:tc>
        <w:tc>
          <w:tcPr>
            <w:tcW w:w="723" w:type="pct"/>
            <w:shd w:val="clear" w:color="auto" w:fill="800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0"/>
            </w:r>
          </w:p>
        </w:tc>
        <w:tc>
          <w:tcPr>
            <w:tcW w:w="723" w:type="pct"/>
            <w:shd w:val="clear" w:color="auto" w:fill="FFC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1"/>
            </w:r>
          </w:p>
        </w:tc>
        <w:tc>
          <w:tcPr>
            <w:tcW w:w="723" w:type="pct"/>
            <w:shd w:val="clear" w:color="auto" w:fill="FF0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0"/>
            </w:r>
          </w:p>
        </w:tc>
        <w:tc>
          <w:tcPr>
            <w:tcW w:w="723" w:type="pct"/>
            <w:shd w:val="clear" w:color="000000" w:fill="FFC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4"/>
            </w:r>
          </w:p>
        </w:tc>
        <w:tc>
          <w:tcPr>
            <w:tcW w:w="721" w:type="pct"/>
            <w:shd w:val="clear" w:color="auto" w:fill="800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6"/>
            </w:r>
          </w:p>
        </w:tc>
      </w:tr>
      <w:tr>
        <w:trPr>
          <w:trHeight w:val="20"/>
        </w:trPr>
        <w:tc>
          <w:tcPr>
            <w:tcW w:w="1387" w:type="pct"/>
            <w:shd w:val="clear" w:color="auto" w:fill="auto"/>
            <w:hideMark/>
          </w:tcPr>
          <w:p>
            <w:pPr>
              <w:pStyle w:val="BodyText"/>
              <w:keepNext/>
              <w:keepLines/>
              <w:spacing w:after="0"/>
              <w:jc w:val="left"/>
              <w:rPr>
                <w:rFonts w:asciiTheme="minorHAnsi" w:hAnsiTheme="minorHAnsi" w:cstheme="minorHAnsi"/>
                <w:b/>
                <w:noProof/>
                <w:sz w:val="18"/>
                <w:szCs w:val="18"/>
              </w:rPr>
            </w:pPr>
            <w:r>
              <w:rPr>
                <w:rFonts w:asciiTheme="minorHAnsi" w:hAnsiTheme="minorHAnsi" w:cstheme="minorHAnsi"/>
                <w:b/>
                <w:noProof/>
                <w:sz w:val="18"/>
                <w:szCs w:val="18"/>
              </w:rPr>
              <w:t>Freshwater (rivers and lakes)</w:t>
            </w:r>
          </w:p>
        </w:tc>
        <w:tc>
          <w:tcPr>
            <w:tcW w:w="723" w:type="pct"/>
            <w:shd w:val="clear" w:color="auto" w:fill="800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0"/>
            </w:r>
          </w:p>
        </w:tc>
        <w:tc>
          <w:tcPr>
            <w:tcW w:w="723" w:type="pct"/>
            <w:shd w:val="clear" w:color="auto" w:fill="FFC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1"/>
            </w:r>
          </w:p>
        </w:tc>
        <w:tc>
          <w:tcPr>
            <w:tcW w:w="723" w:type="pct"/>
            <w:shd w:val="clear" w:color="auto" w:fill="FF0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0"/>
            </w:r>
          </w:p>
        </w:tc>
        <w:tc>
          <w:tcPr>
            <w:tcW w:w="723" w:type="pct"/>
            <w:shd w:val="clear" w:color="000000" w:fill="FFC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4"/>
            </w:r>
          </w:p>
        </w:tc>
        <w:tc>
          <w:tcPr>
            <w:tcW w:w="721" w:type="pct"/>
            <w:shd w:val="clear" w:color="auto" w:fill="800000"/>
            <w:noWrap/>
            <w:vAlign w:val="center"/>
            <w:hideMark/>
          </w:tcPr>
          <w:p>
            <w:pPr>
              <w:pStyle w:val="BodyText"/>
              <w:jc w:val="left"/>
              <w:rPr>
                <w:rFonts w:asciiTheme="minorHAnsi" w:hAnsiTheme="minorHAnsi" w:cstheme="minorHAnsi"/>
                <w:b/>
                <w:noProof/>
                <w:sz w:val="18"/>
                <w:szCs w:val="18"/>
                <w:lang w:val="en-US"/>
              </w:rPr>
            </w:pPr>
            <w:r>
              <w:rPr>
                <w:rFonts w:asciiTheme="minorHAnsi" w:hAnsiTheme="minorHAnsi" w:cstheme="minorHAnsi"/>
                <w:b/>
                <w:noProof/>
                <w:sz w:val="18"/>
                <w:szCs w:val="18"/>
                <w:lang w:val="en-US"/>
              </w:rPr>
              <w:sym w:font="Wingdings" w:char="F0E6"/>
            </w:r>
          </w:p>
        </w:tc>
      </w:tr>
      <w:tr>
        <w:trPr>
          <w:trHeight w:val="20"/>
        </w:trPr>
        <w:tc>
          <w:tcPr>
            <w:tcW w:w="1387" w:type="pct"/>
          </w:tcPr>
          <w:p>
            <w:pPr>
              <w:pStyle w:val="BodyText"/>
              <w:keepNext/>
              <w:keepLines/>
              <w:spacing w:after="0"/>
              <w:jc w:val="left"/>
              <w:rPr>
                <w:rFonts w:asciiTheme="minorHAnsi" w:hAnsiTheme="minorHAnsi" w:cstheme="minorHAnsi"/>
                <w:b/>
                <w:noProof/>
                <w:sz w:val="18"/>
                <w:szCs w:val="18"/>
              </w:rPr>
            </w:pPr>
            <w:r>
              <w:rPr>
                <w:rFonts w:asciiTheme="minorHAnsi" w:hAnsiTheme="minorHAnsi" w:cstheme="minorHAnsi"/>
                <w:b/>
                <w:noProof/>
                <w:sz w:val="18"/>
                <w:szCs w:val="18"/>
              </w:rPr>
              <w:t>Marine (transitional and marine waters, combined)*</w:t>
            </w:r>
          </w:p>
        </w:tc>
        <w:tc>
          <w:tcPr>
            <w:tcW w:w="723" w:type="pct"/>
            <w:shd w:val="clear" w:color="auto" w:fill="FFC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c>
          <w:tcPr>
            <w:tcW w:w="723" w:type="pct"/>
            <w:shd w:val="clear" w:color="auto" w:fill="FFC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1"/>
            </w:r>
          </w:p>
        </w:tc>
        <w:tc>
          <w:tcPr>
            <w:tcW w:w="723" w:type="pct"/>
            <w:shd w:val="clear" w:color="auto" w:fill="800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c>
          <w:tcPr>
            <w:tcW w:w="723" w:type="pct"/>
            <w:shd w:val="clear" w:color="auto" w:fill="FF0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c>
          <w:tcPr>
            <w:tcW w:w="721" w:type="pct"/>
            <w:shd w:val="clear" w:color="auto" w:fill="FF0000"/>
            <w:tcMar>
              <w:top w:w="57" w:type="dxa"/>
              <w:left w:w="57" w:type="dxa"/>
              <w:bottom w:w="57" w:type="dxa"/>
              <w:right w:w="57" w:type="dxa"/>
            </w:tcMar>
            <w:vAlign w:val="center"/>
          </w:tcPr>
          <w:p>
            <w:pPr>
              <w:pStyle w:val="BodyText"/>
              <w:jc w:val="left"/>
              <w:rPr>
                <w:rFonts w:asciiTheme="minorHAnsi" w:hAnsiTheme="minorHAnsi" w:cstheme="minorHAnsi"/>
                <w:b/>
                <w:noProof/>
                <w:sz w:val="18"/>
                <w:szCs w:val="18"/>
              </w:rPr>
            </w:pPr>
            <w:r>
              <w:rPr>
                <w:rFonts w:asciiTheme="minorHAnsi" w:hAnsiTheme="minorHAnsi" w:cstheme="minorHAnsi"/>
                <w:b/>
                <w:noProof/>
                <w:sz w:val="18"/>
                <w:szCs w:val="18"/>
                <w:lang w:val="en-US"/>
              </w:rPr>
              <w:sym w:font="Wingdings" w:char="F0E4"/>
            </w:r>
          </w:p>
        </w:tc>
      </w:tr>
    </w:tbl>
    <w:p>
      <w:pPr>
        <w:jc w:val="center"/>
        <w:rPr>
          <w:noProof/>
        </w:rPr>
      </w:pPr>
    </w:p>
    <w:p>
      <w:pPr>
        <w:autoSpaceDE w:val="0"/>
        <w:autoSpaceDN w:val="0"/>
        <w:adjustRightInd w:val="0"/>
        <w:spacing w:line="360" w:lineRule="auto"/>
        <w:jc w:val="center"/>
        <w:rPr>
          <w:bCs/>
          <w:noProof/>
          <w:sz w:val="20"/>
        </w:rPr>
      </w:pPr>
      <w:r>
        <w:rPr>
          <w:bCs/>
          <w:noProof/>
          <w:sz w:val="20"/>
        </w:rPr>
        <w:t>Source: adapted from ETC/SIA, 2014</w:t>
      </w:r>
    </w:p>
    <w:tbl>
      <w:tblPr>
        <w:tblStyle w:val="TableGrid"/>
        <w:tblW w:w="7116" w:type="dxa"/>
        <w:tblInd w:w="2042" w:type="dxa"/>
        <w:tblCellMar>
          <w:left w:w="57" w:type="dxa"/>
          <w:right w:w="57" w:type="dxa"/>
        </w:tblCellMar>
        <w:tblLook w:val="04A0" w:firstRow="1" w:lastRow="0" w:firstColumn="1" w:lastColumn="0" w:noHBand="0" w:noVBand="1"/>
      </w:tblPr>
      <w:tblGrid>
        <w:gridCol w:w="2438"/>
        <w:gridCol w:w="1223"/>
        <w:gridCol w:w="1223"/>
        <w:gridCol w:w="1223"/>
        <w:gridCol w:w="1009"/>
      </w:tblGrid>
      <w:tr>
        <w:tc>
          <w:tcPr>
            <w:tcW w:w="2438" w:type="dxa"/>
            <w:tcBorders>
              <w:top w:val="nil"/>
              <w:left w:val="nil"/>
              <w:bottom w:val="nil"/>
              <w:right w:val="single" w:sz="4" w:space="0" w:color="auto"/>
            </w:tcBorders>
          </w:tcPr>
          <w:p>
            <w:pPr>
              <w:spacing w:before="120" w:after="120"/>
              <w:jc w:val="center"/>
              <w:rPr>
                <w:rFonts w:ascii="Arial" w:hAnsi="Arial" w:cs="Arial"/>
                <w:b/>
                <w:bCs/>
                <w:iCs/>
                <w:noProof/>
                <w:sz w:val="16"/>
                <w:szCs w:val="16"/>
                <w:lang w:val="en-US"/>
              </w:rPr>
            </w:pPr>
            <w:r>
              <w:rPr>
                <w:rFonts w:ascii="Arial" w:hAnsi="Arial" w:cs="Arial"/>
                <w:b/>
                <w:bCs/>
                <w:iCs/>
                <w:noProof/>
                <w:sz w:val="20"/>
                <w:szCs w:val="16"/>
                <w:lang w:val="en-US"/>
              </w:rPr>
              <w:t>Key:</w:t>
            </w:r>
          </w:p>
        </w:tc>
        <w:tc>
          <w:tcPr>
            <w:tcW w:w="4678" w:type="dxa"/>
            <w:gridSpan w:val="4"/>
            <w:tcBorders>
              <w:left w:val="single" w:sz="4" w:space="0" w:color="auto"/>
            </w:tcBorders>
          </w:tcPr>
          <w:p>
            <w:pPr>
              <w:spacing w:before="120" w:after="120"/>
              <w:rPr>
                <w:b/>
                <w:noProof/>
              </w:rPr>
            </w:pPr>
            <w:r>
              <w:rPr>
                <w:rFonts w:ascii="Arial" w:hAnsi="Arial" w:cs="Arial"/>
                <w:b/>
                <w:bCs/>
                <w:iCs/>
                <w:noProof/>
                <w:sz w:val="16"/>
                <w:szCs w:val="16"/>
                <w:lang w:val="en-US"/>
              </w:rPr>
              <w:t xml:space="preserve">Projected future trends in pressure </w:t>
            </w:r>
          </w:p>
        </w:tc>
      </w:tr>
      <w:tr>
        <w:tc>
          <w:tcPr>
            <w:tcW w:w="2438" w:type="dxa"/>
            <w:tcBorders>
              <w:top w:val="nil"/>
              <w:left w:val="nil"/>
              <w:bottom w:val="nil"/>
              <w:right w:val="single" w:sz="4" w:space="0" w:color="auto"/>
            </w:tcBorders>
          </w:tcPr>
          <w:p>
            <w:pPr>
              <w:pStyle w:val="SourceNote"/>
              <w:spacing w:before="0" w:after="0"/>
              <w:ind w:left="0"/>
              <w:jc w:val="center"/>
              <w:rPr>
                <w:noProof/>
                <w:lang w:val="en-US"/>
              </w:rPr>
            </w:pPr>
          </w:p>
        </w:tc>
        <w:tc>
          <w:tcPr>
            <w:tcW w:w="1223" w:type="dxa"/>
            <w:tcBorders>
              <w:left w:val="single" w:sz="4" w:space="0" w:color="auto"/>
            </w:tcBorders>
          </w:tcPr>
          <w:p>
            <w:pPr>
              <w:pStyle w:val="SourceNote"/>
              <w:spacing w:before="0" w:after="0"/>
              <w:ind w:left="0"/>
              <w:jc w:val="center"/>
              <w:rPr>
                <w:b/>
                <w:noProof/>
              </w:rPr>
            </w:pPr>
            <w:r>
              <w:rPr>
                <w:noProof/>
                <w:lang w:val="en-US"/>
              </w:rPr>
              <w:sym w:font="Wingdings" w:char="F0E6"/>
            </w:r>
          </w:p>
        </w:tc>
        <w:tc>
          <w:tcPr>
            <w:tcW w:w="1223" w:type="dxa"/>
          </w:tcPr>
          <w:p>
            <w:pPr>
              <w:pStyle w:val="SourceNote"/>
              <w:spacing w:before="0" w:after="0"/>
              <w:ind w:left="0"/>
              <w:jc w:val="center"/>
              <w:rPr>
                <w:b/>
                <w:noProof/>
              </w:rPr>
            </w:pPr>
            <w:r>
              <w:rPr>
                <w:noProof/>
                <w:lang w:val="en-US"/>
              </w:rPr>
              <w:sym w:font="Wingdings" w:char="F0E0"/>
            </w:r>
          </w:p>
        </w:tc>
        <w:tc>
          <w:tcPr>
            <w:tcW w:w="1223" w:type="dxa"/>
          </w:tcPr>
          <w:p>
            <w:pPr>
              <w:pStyle w:val="SourceNote"/>
              <w:spacing w:before="0" w:after="0"/>
              <w:ind w:left="0"/>
              <w:jc w:val="center"/>
              <w:rPr>
                <w:b/>
                <w:noProof/>
              </w:rPr>
            </w:pPr>
            <w:r>
              <w:rPr>
                <w:noProof/>
                <w:lang w:val="en-US"/>
              </w:rPr>
              <w:sym w:font="Wingdings" w:char="F0E4"/>
            </w:r>
          </w:p>
        </w:tc>
        <w:tc>
          <w:tcPr>
            <w:tcW w:w="1009" w:type="dxa"/>
          </w:tcPr>
          <w:p>
            <w:pPr>
              <w:pStyle w:val="SourceNote"/>
              <w:spacing w:before="0" w:after="0"/>
              <w:ind w:left="0"/>
              <w:jc w:val="center"/>
              <w:rPr>
                <w:b/>
                <w:noProof/>
              </w:rPr>
            </w:pPr>
            <w:r>
              <w:rPr>
                <w:noProof/>
                <w:lang w:val="en-US"/>
              </w:rPr>
              <w:sym w:font="Wingdings" w:char="F0E1"/>
            </w:r>
          </w:p>
        </w:tc>
      </w:tr>
      <w:tr>
        <w:tc>
          <w:tcPr>
            <w:tcW w:w="2438" w:type="dxa"/>
            <w:tcBorders>
              <w:top w:val="nil"/>
              <w:left w:val="nil"/>
              <w:bottom w:val="nil"/>
              <w:right w:val="single" w:sz="4" w:space="0" w:color="auto"/>
            </w:tcBorders>
          </w:tcPr>
          <w:p>
            <w:pPr>
              <w:pStyle w:val="SourceNote"/>
              <w:spacing w:before="0" w:after="0"/>
              <w:ind w:left="0"/>
              <w:jc w:val="center"/>
              <w:rPr>
                <w:noProof/>
              </w:rPr>
            </w:pPr>
          </w:p>
        </w:tc>
        <w:tc>
          <w:tcPr>
            <w:tcW w:w="1223" w:type="dxa"/>
            <w:tcBorders>
              <w:left w:val="single" w:sz="4" w:space="0" w:color="auto"/>
            </w:tcBorders>
          </w:tcPr>
          <w:p>
            <w:pPr>
              <w:pStyle w:val="SourceNote"/>
              <w:spacing w:before="0" w:after="0"/>
              <w:ind w:left="0"/>
              <w:jc w:val="center"/>
              <w:rPr>
                <w:noProof/>
              </w:rPr>
            </w:pPr>
            <w:r>
              <w:rPr>
                <w:noProof/>
              </w:rPr>
              <w:t>Decreasing</w:t>
            </w:r>
          </w:p>
        </w:tc>
        <w:tc>
          <w:tcPr>
            <w:tcW w:w="1223" w:type="dxa"/>
          </w:tcPr>
          <w:p>
            <w:pPr>
              <w:pStyle w:val="SourceNote"/>
              <w:spacing w:before="0" w:after="0"/>
              <w:ind w:left="0"/>
              <w:jc w:val="center"/>
              <w:rPr>
                <w:noProof/>
              </w:rPr>
            </w:pPr>
            <w:r>
              <w:rPr>
                <w:noProof/>
              </w:rPr>
              <w:t>Continuing</w:t>
            </w:r>
          </w:p>
        </w:tc>
        <w:tc>
          <w:tcPr>
            <w:tcW w:w="1223" w:type="dxa"/>
          </w:tcPr>
          <w:p>
            <w:pPr>
              <w:pStyle w:val="SourceNote"/>
              <w:spacing w:before="0" w:after="0"/>
              <w:ind w:left="0"/>
              <w:jc w:val="center"/>
              <w:rPr>
                <w:noProof/>
              </w:rPr>
            </w:pPr>
            <w:r>
              <w:rPr>
                <w:noProof/>
              </w:rPr>
              <w:t>Increasing</w:t>
            </w:r>
          </w:p>
        </w:tc>
        <w:tc>
          <w:tcPr>
            <w:tcW w:w="1009" w:type="dxa"/>
          </w:tcPr>
          <w:p>
            <w:pPr>
              <w:pStyle w:val="SourceNote"/>
              <w:spacing w:before="0" w:after="0"/>
              <w:ind w:left="0"/>
              <w:jc w:val="center"/>
              <w:rPr>
                <w:noProof/>
              </w:rPr>
            </w:pPr>
            <w:r>
              <w:rPr>
                <w:noProof/>
              </w:rPr>
              <w:t>Very rapid increase</w:t>
            </w:r>
          </w:p>
        </w:tc>
      </w:tr>
      <w:tr>
        <w:tc>
          <w:tcPr>
            <w:tcW w:w="2438" w:type="dxa"/>
            <w:tcBorders>
              <w:top w:val="nil"/>
              <w:left w:val="nil"/>
              <w:bottom w:val="nil"/>
              <w:right w:val="single" w:sz="4" w:space="0" w:color="auto"/>
            </w:tcBorders>
          </w:tcPr>
          <w:p>
            <w:pPr>
              <w:pStyle w:val="SourceNote"/>
              <w:spacing w:before="0" w:after="0"/>
              <w:ind w:left="0"/>
              <w:rPr>
                <w:b/>
                <w:noProof/>
              </w:rPr>
            </w:pPr>
          </w:p>
        </w:tc>
        <w:tc>
          <w:tcPr>
            <w:tcW w:w="4678" w:type="dxa"/>
            <w:gridSpan w:val="4"/>
            <w:tcBorders>
              <w:left w:val="single" w:sz="4" w:space="0" w:color="auto"/>
            </w:tcBorders>
          </w:tcPr>
          <w:p>
            <w:pPr>
              <w:pStyle w:val="SourceNote"/>
              <w:spacing w:before="0" w:after="0"/>
              <w:ind w:left="0"/>
              <w:rPr>
                <w:b/>
                <w:noProof/>
              </w:rPr>
            </w:pPr>
            <w:r>
              <w:rPr>
                <w:b/>
                <w:noProof/>
              </w:rPr>
              <w:t>Observed impact on biodiversity to date</w:t>
            </w:r>
          </w:p>
        </w:tc>
      </w:tr>
      <w:tr>
        <w:trPr>
          <w:trHeight w:val="57"/>
        </w:trPr>
        <w:tc>
          <w:tcPr>
            <w:tcW w:w="2438" w:type="dxa"/>
            <w:tcBorders>
              <w:top w:val="nil"/>
              <w:left w:val="nil"/>
              <w:bottom w:val="nil"/>
              <w:right w:val="single" w:sz="4" w:space="0" w:color="auto"/>
            </w:tcBorders>
            <w:shd w:val="clear" w:color="auto" w:fill="FFFFFF" w:themeFill="background1"/>
          </w:tcPr>
          <w:p>
            <w:pPr>
              <w:pStyle w:val="SourceNote"/>
              <w:spacing w:before="0" w:after="0"/>
              <w:ind w:left="0"/>
              <w:rPr>
                <w:b/>
                <w:noProof/>
              </w:rPr>
            </w:pPr>
          </w:p>
        </w:tc>
        <w:tc>
          <w:tcPr>
            <w:tcW w:w="1223" w:type="dxa"/>
            <w:tcBorders>
              <w:left w:val="single" w:sz="4" w:space="0" w:color="auto"/>
            </w:tcBorders>
            <w:shd w:val="clear" w:color="auto" w:fill="FFFF00"/>
          </w:tcPr>
          <w:p>
            <w:pPr>
              <w:pStyle w:val="SourceNote"/>
              <w:spacing w:before="0" w:after="0"/>
              <w:ind w:left="0"/>
              <w:rPr>
                <w:b/>
                <w:noProof/>
              </w:rPr>
            </w:pPr>
          </w:p>
        </w:tc>
        <w:tc>
          <w:tcPr>
            <w:tcW w:w="1223" w:type="dxa"/>
            <w:shd w:val="clear" w:color="auto" w:fill="FFC000"/>
          </w:tcPr>
          <w:p>
            <w:pPr>
              <w:pStyle w:val="SourceNote"/>
              <w:spacing w:before="0" w:after="0"/>
              <w:ind w:left="0"/>
              <w:rPr>
                <w:b/>
                <w:noProof/>
              </w:rPr>
            </w:pPr>
          </w:p>
        </w:tc>
        <w:tc>
          <w:tcPr>
            <w:tcW w:w="1223" w:type="dxa"/>
            <w:shd w:val="clear" w:color="auto" w:fill="FF0000"/>
          </w:tcPr>
          <w:p>
            <w:pPr>
              <w:pStyle w:val="SourceNote"/>
              <w:spacing w:before="0" w:after="0"/>
              <w:ind w:left="0"/>
              <w:rPr>
                <w:b/>
                <w:noProof/>
              </w:rPr>
            </w:pPr>
          </w:p>
        </w:tc>
        <w:tc>
          <w:tcPr>
            <w:tcW w:w="1009" w:type="dxa"/>
            <w:shd w:val="clear" w:color="auto" w:fill="7E0000"/>
          </w:tcPr>
          <w:p>
            <w:pPr>
              <w:pStyle w:val="SourceNote"/>
              <w:spacing w:before="0" w:after="0"/>
              <w:ind w:left="0"/>
              <w:rPr>
                <w:b/>
                <w:noProof/>
              </w:rPr>
            </w:pPr>
          </w:p>
        </w:tc>
      </w:tr>
      <w:tr>
        <w:trPr>
          <w:trHeight w:val="113"/>
        </w:trPr>
        <w:tc>
          <w:tcPr>
            <w:tcW w:w="2438" w:type="dxa"/>
            <w:tcBorders>
              <w:top w:val="nil"/>
              <w:left w:val="nil"/>
              <w:bottom w:val="nil"/>
              <w:right w:val="single" w:sz="4" w:space="0" w:color="auto"/>
            </w:tcBorders>
          </w:tcPr>
          <w:p>
            <w:pPr>
              <w:pStyle w:val="SourceNote"/>
              <w:spacing w:before="0" w:after="0"/>
              <w:ind w:left="0"/>
              <w:rPr>
                <w:noProof/>
              </w:rPr>
            </w:pPr>
          </w:p>
        </w:tc>
        <w:tc>
          <w:tcPr>
            <w:tcW w:w="1223" w:type="dxa"/>
            <w:tcBorders>
              <w:left w:val="single" w:sz="4" w:space="0" w:color="auto"/>
            </w:tcBorders>
            <w:vAlign w:val="center"/>
          </w:tcPr>
          <w:p>
            <w:pPr>
              <w:pStyle w:val="SourceNote"/>
              <w:spacing w:before="0" w:after="0"/>
              <w:ind w:left="0"/>
              <w:rPr>
                <w:noProof/>
              </w:rPr>
            </w:pPr>
            <w:r>
              <w:rPr>
                <w:noProof/>
              </w:rPr>
              <w:t>Low</w:t>
            </w:r>
          </w:p>
        </w:tc>
        <w:tc>
          <w:tcPr>
            <w:tcW w:w="1223" w:type="dxa"/>
            <w:vAlign w:val="center"/>
          </w:tcPr>
          <w:p>
            <w:pPr>
              <w:pStyle w:val="SourceNote"/>
              <w:spacing w:before="0" w:after="0"/>
              <w:ind w:left="0"/>
              <w:rPr>
                <w:noProof/>
              </w:rPr>
            </w:pPr>
            <w:r>
              <w:rPr>
                <w:noProof/>
              </w:rPr>
              <w:t>Moderate</w:t>
            </w:r>
          </w:p>
        </w:tc>
        <w:tc>
          <w:tcPr>
            <w:tcW w:w="1223" w:type="dxa"/>
            <w:vAlign w:val="center"/>
          </w:tcPr>
          <w:p>
            <w:pPr>
              <w:pStyle w:val="SourceNote"/>
              <w:spacing w:before="0" w:after="0"/>
              <w:ind w:left="0"/>
              <w:rPr>
                <w:noProof/>
              </w:rPr>
            </w:pPr>
            <w:r>
              <w:rPr>
                <w:noProof/>
              </w:rPr>
              <w:t>High</w:t>
            </w:r>
          </w:p>
        </w:tc>
        <w:tc>
          <w:tcPr>
            <w:tcW w:w="1009" w:type="dxa"/>
            <w:vAlign w:val="center"/>
          </w:tcPr>
          <w:p>
            <w:pPr>
              <w:pStyle w:val="SourceNote"/>
              <w:spacing w:before="0" w:after="0"/>
              <w:ind w:left="0"/>
              <w:rPr>
                <w:noProof/>
              </w:rPr>
            </w:pPr>
            <w:r>
              <w:rPr>
                <w:noProof/>
              </w:rPr>
              <w:t>Very high</w:t>
            </w:r>
          </w:p>
        </w:tc>
      </w:tr>
    </w:tbl>
    <w:p>
      <w:pPr>
        <w:autoSpaceDE w:val="0"/>
        <w:autoSpaceDN w:val="0"/>
        <w:adjustRightInd w:val="0"/>
        <w:spacing w:line="360" w:lineRule="auto"/>
        <w:rPr>
          <w:bCs/>
          <w:noProof/>
          <w:sz w:val="22"/>
          <w:szCs w:val="22"/>
        </w:rPr>
      </w:pPr>
    </w:p>
    <w:p>
      <w:pPr>
        <w:spacing w:line="360" w:lineRule="auto"/>
        <w:rPr>
          <w:noProof/>
          <w:sz w:val="22"/>
          <w:szCs w:val="22"/>
        </w:rPr>
      </w:pPr>
      <w:r>
        <w:rPr>
          <w:noProof/>
          <w:sz w:val="22"/>
          <w:szCs w:val="22"/>
          <w:lang w:val="en-US"/>
        </w:rPr>
        <w:t xml:space="preserve">For the periods 1950-2010, the majority of </w:t>
      </w:r>
      <w:r>
        <w:rPr>
          <w:b/>
          <w:noProof/>
          <w:sz w:val="22"/>
          <w:szCs w:val="22"/>
          <w:lang w:val="en-US"/>
        </w:rPr>
        <w:t>ecosystem services</w:t>
      </w:r>
      <w:r>
        <w:rPr>
          <w:noProof/>
          <w:sz w:val="22"/>
          <w:szCs w:val="22"/>
          <w:lang w:val="en-US"/>
        </w:rPr>
        <w:t xml:space="preserve"> show either a degraded or mixed (i.e. degraded in some regions, enhanced in other) status across Europe. However, there are some positive exceptions such as timber production and climate regulation in forests (Source: EU2010 Baseline, EEA). A recent analysis confirms increasing trends between 2000 and 2010 for some provisioning services but decreasing of services directly related to biodiversity. Between 2000 and 2010, increasing extent of forests resulted in positive influences on erosion control, carbon storage, water retention, air quality regulation and recreation. But, pollination is the most degraded for Woodland and forest, Heathland and shrub, and grasslands. </w:t>
      </w:r>
      <w:r>
        <w:rPr>
          <w:rFonts w:eastAsia="MS Mincho"/>
          <w:noProof/>
          <w:color w:val="000000"/>
          <w:sz w:val="22"/>
          <w:szCs w:val="22"/>
          <w:lang w:val="en-US" w:eastAsia="ja-JP"/>
        </w:rPr>
        <w:t>(Source: Maes et al, 2015).</w:t>
      </w:r>
    </w:p>
    <w:p>
      <w:pPr>
        <w:spacing w:line="360" w:lineRule="auto"/>
        <w:rPr>
          <w:noProof/>
          <w:sz w:val="22"/>
          <w:szCs w:val="22"/>
        </w:rPr>
      </w:pPr>
    </w:p>
    <w:p>
      <w:pPr>
        <w:spacing w:line="360" w:lineRule="auto"/>
        <w:rPr>
          <w:b/>
          <w:noProof/>
          <w:sz w:val="22"/>
          <w:szCs w:val="22"/>
        </w:rPr>
      </w:pPr>
      <w:r>
        <w:rPr>
          <w:b/>
          <w:noProof/>
          <w:sz w:val="22"/>
          <w:szCs w:val="22"/>
        </w:rPr>
        <w:t>Main pressures on and drivers of change to biodiversity (direct and indirect)</w:t>
      </w:r>
    </w:p>
    <w:p>
      <w:pPr>
        <w:spacing w:line="360" w:lineRule="auto"/>
        <w:rPr>
          <w:i/>
          <w:noProof/>
          <w:sz w:val="22"/>
          <w:szCs w:val="22"/>
        </w:rPr>
      </w:pPr>
    </w:p>
    <w:p>
      <w:pPr>
        <w:spacing w:line="360" w:lineRule="auto"/>
        <w:rPr>
          <w:bCs/>
          <w:noProof/>
          <w:sz w:val="22"/>
          <w:szCs w:val="22"/>
        </w:rPr>
      </w:pPr>
      <w:r>
        <w:rPr>
          <w:b/>
          <w:noProof/>
          <w:sz w:val="22"/>
          <w:szCs w:val="22"/>
        </w:rPr>
        <w:t>Habitat fragmentation</w:t>
      </w:r>
      <w:r>
        <w:rPr>
          <w:noProof/>
          <w:sz w:val="22"/>
          <w:szCs w:val="22"/>
        </w:rPr>
        <w:t>, degradation and destruction due to land-use change, climate change and use of the seas</w:t>
      </w:r>
      <w:r>
        <w:rPr>
          <w:bCs/>
          <w:noProof/>
          <w:sz w:val="22"/>
          <w:szCs w:val="22"/>
        </w:rPr>
        <w:t xml:space="preserve"> are some of t</w:t>
      </w:r>
      <w:r>
        <w:rPr>
          <w:noProof/>
          <w:sz w:val="22"/>
          <w:szCs w:val="22"/>
        </w:rPr>
        <w:t>he main pressures and drivers causing biodiversity loss. Natural grasslands are still being turned into arable land and built-up areas; extensive agricultural land is being converted into forms of more intensive agriculture and, mainly as a result of abandonment, into forest. These are a major concern. They are</w:t>
      </w:r>
      <w:r>
        <w:rPr>
          <w:bCs/>
          <w:noProof/>
          <w:sz w:val="22"/>
          <w:szCs w:val="22"/>
        </w:rPr>
        <w:t xml:space="preserve"> leading to the loss of farming practices that support biodiversity and 70</w:t>
      </w:r>
      <w:r>
        <w:rPr>
          <w:bCs/>
          <w:noProof/>
          <w:w w:val="50"/>
          <w:sz w:val="22"/>
          <w:szCs w:val="22"/>
        </w:rPr>
        <w:t> </w:t>
      </w:r>
      <w:r>
        <w:rPr>
          <w:bCs/>
          <w:noProof/>
          <w:sz w:val="22"/>
          <w:szCs w:val="22"/>
        </w:rPr>
        <w:t>% of EU species (dragonflies, butterflies, mammals, amphibians, reptiles) are threatened by the loss of their habitat. Fragmentation due to urban sprawl and infrastructure development — nearly 30</w:t>
      </w:r>
      <w:r>
        <w:rPr>
          <w:bCs/>
          <w:noProof/>
          <w:w w:val="50"/>
          <w:sz w:val="22"/>
          <w:szCs w:val="22"/>
        </w:rPr>
        <w:t> </w:t>
      </w:r>
      <w:r>
        <w:rPr>
          <w:bCs/>
          <w:noProof/>
          <w:sz w:val="22"/>
          <w:szCs w:val="22"/>
        </w:rPr>
        <w:t xml:space="preserve">% of the EU land mass shows signs of moderately high to very high fragmentation — severely affects ecosystem connectivity and their health and ability to provide services.  </w:t>
      </w:r>
    </w:p>
    <w:p>
      <w:pPr>
        <w:spacing w:line="360" w:lineRule="auto"/>
        <w:rPr>
          <w:bCs/>
          <w:noProof/>
          <w:sz w:val="22"/>
          <w:szCs w:val="22"/>
        </w:rPr>
      </w:pPr>
    </w:p>
    <w:p>
      <w:pPr>
        <w:spacing w:line="360" w:lineRule="auto"/>
        <w:rPr>
          <w:noProof/>
          <w:sz w:val="22"/>
          <w:szCs w:val="22"/>
          <w:highlight w:val="green"/>
          <w:lang w:val="en-US"/>
        </w:rPr>
      </w:pPr>
    </w:p>
    <w:p>
      <w:pPr>
        <w:spacing w:line="360" w:lineRule="auto"/>
        <w:rPr>
          <w:noProof/>
          <w:sz w:val="22"/>
          <w:szCs w:val="22"/>
        </w:rPr>
      </w:pPr>
      <w:r>
        <w:rPr>
          <w:noProof/>
          <w:sz w:val="22"/>
          <w:szCs w:val="22"/>
        </w:rPr>
        <w:t>Some 30</w:t>
      </w:r>
      <w:r>
        <w:rPr>
          <w:noProof/>
          <w:w w:val="50"/>
          <w:sz w:val="22"/>
          <w:szCs w:val="22"/>
        </w:rPr>
        <w:t> </w:t>
      </w:r>
      <w:r>
        <w:rPr>
          <w:noProof/>
          <w:sz w:val="22"/>
          <w:szCs w:val="22"/>
        </w:rPr>
        <w:t>% of species are threatened by overexploitation of forests, oceans, rivers, lakes and soils. Pollution from pesticides and fertilisers, such as nitrates and phosphates, is threatening 26</w:t>
      </w:r>
      <w:r>
        <w:rPr>
          <w:noProof/>
          <w:w w:val="50"/>
          <w:sz w:val="22"/>
          <w:szCs w:val="22"/>
        </w:rPr>
        <w:t> </w:t>
      </w:r>
      <w:r>
        <w:rPr>
          <w:noProof/>
          <w:sz w:val="22"/>
          <w:szCs w:val="22"/>
        </w:rPr>
        <w:t>% of species. Agricultural nitrogen balance is generally declining but is still high in some countries, particularly in lowland Western Europe. It is estimated that some 50-80</w:t>
      </w:r>
      <w:r>
        <w:rPr>
          <w:noProof/>
          <w:w w:val="50"/>
          <w:sz w:val="22"/>
          <w:szCs w:val="22"/>
        </w:rPr>
        <w:t> </w:t>
      </w:r>
      <w:r>
        <w:rPr>
          <w:noProof/>
          <w:sz w:val="22"/>
          <w:szCs w:val="22"/>
        </w:rPr>
        <w:t>% of the total nitrogen load in freshwater originates from farming, contributing to biodiversity loss in freshwater ecosystems and coastal waters.</w:t>
      </w:r>
      <w:r>
        <w:rPr>
          <w:rStyle w:val="Caractresdenotedebasdepage"/>
          <w:bCs/>
          <w:noProof/>
          <w:sz w:val="22"/>
          <w:szCs w:val="22"/>
        </w:rPr>
        <w:footnoteReference w:id="20"/>
      </w:r>
      <w:r>
        <w:rPr>
          <w:noProof/>
          <w:sz w:val="22"/>
          <w:szCs w:val="22"/>
        </w:rPr>
        <w:t xml:space="preserve"> In particular, half of the geographical range of natural and semi-natural habitats across the European Union was exposed to atmospheric nitrogen deposits above the critical load in 2004.</w:t>
      </w:r>
    </w:p>
    <w:p>
      <w:pPr>
        <w:spacing w:line="360" w:lineRule="auto"/>
        <w:rPr>
          <w:noProof/>
          <w:sz w:val="22"/>
          <w:szCs w:val="22"/>
        </w:rPr>
      </w:pPr>
    </w:p>
    <w:p>
      <w:pPr>
        <w:spacing w:line="360" w:lineRule="auto"/>
        <w:rPr>
          <w:b/>
          <w:noProof/>
          <w:sz w:val="22"/>
          <w:szCs w:val="22"/>
          <w:lang w:val="en"/>
        </w:rPr>
      </w:pPr>
      <w:r>
        <w:rPr>
          <w:b/>
          <w:noProof/>
          <w:sz w:val="22"/>
          <w:szCs w:val="22"/>
        </w:rPr>
        <w:t>Invasive alien species</w:t>
      </w:r>
      <w:r>
        <w:rPr>
          <w:noProof/>
          <w:sz w:val="22"/>
          <w:szCs w:val="22"/>
        </w:rPr>
        <w:t xml:space="preserve"> represent an increasing threat to biodiversity with about 12</w:t>
      </w:r>
      <w:r>
        <w:rPr>
          <w:noProof/>
          <w:w w:val="50"/>
          <w:sz w:val="22"/>
          <w:szCs w:val="22"/>
        </w:rPr>
        <w:t> </w:t>
      </w:r>
      <w:r>
        <w:rPr>
          <w:noProof/>
          <w:sz w:val="22"/>
          <w:szCs w:val="22"/>
        </w:rPr>
        <w:t>000 alien species that have been found in the environment of the EU, 10-15</w:t>
      </w:r>
      <w:r>
        <w:rPr>
          <w:noProof/>
          <w:w w:val="50"/>
          <w:sz w:val="22"/>
          <w:szCs w:val="22"/>
        </w:rPr>
        <w:t> </w:t>
      </w:r>
      <w:r>
        <w:rPr>
          <w:noProof/>
          <w:sz w:val="22"/>
          <w:szCs w:val="22"/>
        </w:rPr>
        <w:t xml:space="preserve">% of them becoming invasive. Their number is steadily rising, in particular in marine and estuarine systems. </w:t>
      </w:r>
    </w:p>
    <w:p>
      <w:pPr>
        <w:pStyle w:val="Caption"/>
        <w:keepNext/>
        <w:spacing w:line="360" w:lineRule="auto"/>
        <w:jc w:val="center"/>
        <w:rPr>
          <w:noProof/>
          <w:sz w:val="22"/>
          <w:szCs w:val="22"/>
        </w:rPr>
      </w:pPr>
      <w:bookmarkStart w:id="36" w:name="_Ref421720384"/>
      <w:bookmarkStart w:id="37" w:name="_Toc422819452"/>
      <w:bookmarkStart w:id="38" w:name="_Toc423600139"/>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8</w:t>
      </w:r>
      <w:r>
        <w:rPr>
          <w:noProof/>
          <w:sz w:val="22"/>
          <w:szCs w:val="22"/>
        </w:rPr>
        <w:fldChar w:fldCharType="end"/>
      </w:r>
      <w:bookmarkEnd w:id="36"/>
      <w:r>
        <w:rPr>
          <w:noProof/>
          <w:sz w:val="22"/>
          <w:szCs w:val="22"/>
        </w:rPr>
        <w:t xml:space="preserve"> - </w:t>
      </w:r>
      <w:r>
        <w:rPr>
          <w:noProof/>
          <w:sz w:val="22"/>
          <w:szCs w:val="22"/>
          <w:lang w:val="en"/>
        </w:rPr>
        <w:t>Cumulative number of marine non-indigenous species</w:t>
      </w:r>
      <w:bookmarkEnd w:id="37"/>
      <w:bookmarkEnd w:id="38"/>
    </w:p>
    <w:p>
      <w:pPr>
        <w:spacing w:line="360" w:lineRule="auto"/>
        <w:jc w:val="center"/>
        <w:rPr>
          <w:b/>
          <w:noProof/>
          <w:sz w:val="22"/>
          <w:szCs w:val="22"/>
        </w:rPr>
      </w:pPr>
      <w:r>
        <w:rPr>
          <w:b/>
          <w:noProof/>
          <w:sz w:val="22"/>
          <w:szCs w:val="22"/>
          <w:lang w:val="en-US" w:eastAsia="en-US"/>
        </w:rPr>
        <w:drawing>
          <wp:inline distT="0" distB="0" distL="0" distR="0">
            <wp:extent cx="5943600" cy="3601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601085"/>
                    </a:xfrm>
                    <a:prstGeom prst="rect">
                      <a:avLst/>
                    </a:prstGeom>
                  </pic:spPr>
                </pic:pic>
              </a:graphicData>
            </a:graphic>
          </wp:inline>
        </w:drawing>
      </w:r>
    </w:p>
    <w:p>
      <w:pPr>
        <w:spacing w:line="360" w:lineRule="auto"/>
        <w:jc w:val="left"/>
        <w:rPr>
          <w:noProof/>
          <w:sz w:val="22"/>
          <w:szCs w:val="22"/>
          <w:lang w:val="en"/>
        </w:rPr>
      </w:pPr>
      <w:r>
        <w:rPr>
          <w:noProof/>
          <w:sz w:val="22"/>
          <w:szCs w:val="22"/>
          <w:lang w:val="en"/>
        </w:rPr>
        <w:fldChar w:fldCharType="begin"/>
      </w:r>
      <w:r>
        <w:rPr>
          <w:noProof/>
          <w:sz w:val="22"/>
          <w:szCs w:val="22"/>
          <w:lang w:val="en"/>
        </w:rPr>
        <w:instrText xml:space="preserve"> REF _Ref421720384 \h  \* MERGEFORMAT </w:instrText>
      </w:r>
      <w:r>
        <w:rPr>
          <w:noProof/>
          <w:sz w:val="22"/>
          <w:szCs w:val="22"/>
          <w:lang w:val="en"/>
        </w:rPr>
      </w:r>
      <w:r>
        <w:rPr>
          <w:noProof/>
          <w:sz w:val="22"/>
          <w:szCs w:val="22"/>
          <w:lang w:val="en"/>
        </w:rPr>
        <w:fldChar w:fldCharType="separate"/>
      </w:r>
      <w:r>
        <w:rPr>
          <w:noProof/>
        </w:rPr>
        <w:t>Figure 8</w:t>
      </w:r>
      <w:r>
        <w:rPr>
          <w:noProof/>
          <w:sz w:val="22"/>
          <w:szCs w:val="22"/>
          <w:lang w:val="en"/>
        </w:rPr>
        <w:fldChar w:fldCharType="end"/>
      </w:r>
      <w:r>
        <w:rPr>
          <w:noProof/>
          <w:sz w:val="22"/>
          <w:szCs w:val="22"/>
          <w:lang w:val="en"/>
        </w:rPr>
        <w:t xml:space="preserve"> shows the cumulative number of marine Non-Indigenous Species (NIS). Analysis is made at Pan-European level and shown per decade. The most recent period covers 2011 to 2014.</w:t>
      </w:r>
    </w:p>
    <w:p>
      <w:pPr>
        <w:spacing w:before="100" w:beforeAutospacing="1" w:after="100" w:afterAutospacing="1" w:line="360" w:lineRule="auto"/>
        <w:rPr>
          <w:noProof/>
        </w:rPr>
      </w:pPr>
      <w:r>
        <w:rPr>
          <w:b/>
          <w:noProof/>
          <w:sz w:val="22"/>
          <w:szCs w:val="22"/>
        </w:rPr>
        <w:t>Climate change</w:t>
      </w:r>
      <w:r>
        <w:rPr>
          <w:noProof/>
          <w:sz w:val="22"/>
          <w:szCs w:val="22"/>
        </w:rPr>
        <w:t xml:space="preserve"> represents another increasing threat to biodiversity; for instance negative impacts have been recorded already for a majority of widespread bird species</w:t>
      </w:r>
      <w:r>
        <w:rPr>
          <w:rStyle w:val="Caractresdenotedebasdepage"/>
          <w:bCs/>
          <w:noProof/>
          <w:sz w:val="22"/>
          <w:szCs w:val="22"/>
        </w:rPr>
        <w:footnoteReference w:id="21"/>
      </w:r>
      <w:r>
        <w:rPr>
          <w:noProof/>
          <w:sz w:val="22"/>
          <w:szCs w:val="22"/>
        </w:rPr>
        <w:t>.</w:t>
      </w:r>
    </w:p>
    <w:p>
      <w:pPr>
        <w:spacing w:line="360" w:lineRule="auto"/>
        <w:rPr>
          <w:noProof/>
          <w:sz w:val="22"/>
          <w:szCs w:val="22"/>
        </w:rPr>
      </w:pPr>
      <w:r>
        <w:rPr>
          <w:b/>
          <w:noProof/>
          <w:sz w:val="22"/>
          <w:szCs w:val="22"/>
          <w:lang w:val="en-US"/>
        </w:rPr>
        <w:t>Global biodiversity loss</w:t>
      </w:r>
      <w:r>
        <w:rPr>
          <w:noProof/>
          <w:sz w:val="22"/>
          <w:szCs w:val="22"/>
          <w:lang w:val="en-US"/>
        </w:rPr>
        <w:t xml:space="preserve"> is still a big concern. Europe is committed to reduce indirect drivers of biodiversity loss. The ecological footprint for the EU-28 countries increased rapidly during the 1960s and 70s, and has remained relatively constant since the 1980s. The region’s total biocapacity, however, has changed very little since 1961. The EU-28 region’s footprint in 2010 was over twice the size of its biocapacity as it was in 2000 (Source: SEBI026</w:t>
      </w:r>
      <w:r>
        <w:rPr>
          <w:rStyle w:val="FootnoteReference"/>
          <w:noProof/>
          <w:sz w:val="22"/>
          <w:szCs w:val="22"/>
          <w:lang w:val="en-US"/>
        </w:rPr>
        <w:footnoteReference w:id="22"/>
      </w:r>
      <w:r>
        <w:rPr>
          <w:noProof/>
          <w:sz w:val="22"/>
          <w:szCs w:val="22"/>
          <w:lang w:val="en-US"/>
        </w:rPr>
        <w:t>, EEA). Given that this ratio has hardly changed since the mid-seventies, it is very unlikely that any improvement will be made by 2020.</w:t>
      </w:r>
      <w:r>
        <w:rPr>
          <w:bCs/>
          <w:noProof/>
          <w:sz w:val="22"/>
          <w:szCs w:val="22"/>
          <w:lang w:val="en-US"/>
        </w:rPr>
        <w:t xml:space="preserve"> </w:t>
      </w:r>
    </w:p>
    <w:p>
      <w:pPr>
        <w:spacing w:line="360" w:lineRule="auto"/>
        <w:rPr>
          <w:noProof/>
          <w:sz w:val="22"/>
          <w:szCs w:val="22"/>
        </w:rPr>
      </w:pPr>
    </w:p>
    <w:p>
      <w:pPr>
        <w:pStyle w:val="CommentText"/>
        <w:spacing w:line="360" w:lineRule="auto"/>
        <w:rPr>
          <w:noProof/>
          <w:sz w:val="22"/>
          <w:szCs w:val="22"/>
          <w:lang w:val="en-GB"/>
        </w:rPr>
      </w:pPr>
      <w:r>
        <w:rPr>
          <w:bCs/>
          <w:noProof/>
          <w:sz w:val="22"/>
          <w:szCs w:val="22"/>
        </w:rPr>
        <w:t xml:space="preserve">Globally, </w:t>
      </w:r>
      <w:r>
        <w:rPr>
          <w:bCs/>
          <w:noProof/>
          <w:sz w:val="22"/>
          <w:szCs w:val="22"/>
          <w:lang w:val="en-GB"/>
        </w:rPr>
        <w:t>m</w:t>
      </w:r>
      <w:r>
        <w:rPr>
          <w:noProof/>
          <w:sz w:val="22"/>
          <w:szCs w:val="22"/>
        </w:rPr>
        <w:t xml:space="preserve">ultiple anthropogenic pressures on coral reefs and other vulnerable ecosystems (seagrass habitats, mangroves or mountains) impacted by </w:t>
      </w:r>
      <w:r>
        <w:rPr>
          <w:b/>
          <w:noProof/>
          <w:sz w:val="22"/>
          <w:szCs w:val="22"/>
        </w:rPr>
        <w:t>climate change or ocean acidification</w:t>
      </w:r>
      <w:r>
        <w:rPr>
          <w:noProof/>
          <w:sz w:val="22"/>
          <w:szCs w:val="22"/>
        </w:rPr>
        <w:t xml:space="preserve"> are</w:t>
      </w:r>
      <w:r>
        <w:rPr>
          <w:noProof/>
          <w:sz w:val="22"/>
          <w:szCs w:val="22"/>
          <w:lang w:val="en-GB"/>
        </w:rPr>
        <w:t xml:space="preserve"> still</w:t>
      </w:r>
      <w:r>
        <w:rPr>
          <w:noProof/>
          <w:sz w:val="22"/>
          <w:szCs w:val="22"/>
        </w:rPr>
        <w:t xml:space="preserve"> increasing</w:t>
      </w:r>
      <w:r>
        <w:rPr>
          <w:noProof/>
          <w:sz w:val="22"/>
          <w:szCs w:val="22"/>
          <w:lang w:val="en-GB"/>
        </w:rPr>
        <w:t xml:space="preserve"> (cf. 4</w:t>
      </w:r>
      <w:r>
        <w:rPr>
          <w:noProof/>
          <w:sz w:val="22"/>
          <w:szCs w:val="22"/>
          <w:vertAlign w:val="superscript"/>
          <w:lang w:val="en-GB"/>
        </w:rPr>
        <w:t>th</w:t>
      </w:r>
      <w:r>
        <w:rPr>
          <w:noProof/>
          <w:sz w:val="22"/>
          <w:szCs w:val="22"/>
          <w:lang w:val="en-GB"/>
        </w:rPr>
        <w:t xml:space="preserve"> Global Biodiversity Outlook, 2014 </w:t>
      </w:r>
      <w:hyperlink r:id="rId23" w:history="1">
        <w:r>
          <w:rPr>
            <w:rStyle w:val="Hyperlink"/>
            <w:noProof/>
            <w:sz w:val="22"/>
            <w:szCs w:val="22"/>
            <w:lang w:val="en-GB"/>
          </w:rPr>
          <w:t>https://www.cbd.int/gbo4/</w:t>
        </w:r>
      </w:hyperlink>
      <w:r>
        <w:rPr>
          <w:noProof/>
          <w:sz w:val="22"/>
          <w:szCs w:val="22"/>
          <w:lang w:val="en-GB"/>
        </w:rPr>
        <w:t>)</w:t>
      </w:r>
      <w:r>
        <w:rPr>
          <w:noProof/>
          <w:sz w:val="22"/>
          <w:szCs w:val="22"/>
        </w:rPr>
        <w:t>.</w:t>
      </w:r>
    </w:p>
    <w:p>
      <w:pPr>
        <w:pStyle w:val="Caption"/>
        <w:keepNext/>
        <w:jc w:val="center"/>
        <w:rPr>
          <w:noProof/>
          <w:sz w:val="22"/>
          <w:szCs w:val="22"/>
        </w:rPr>
      </w:pPr>
      <w:bookmarkStart w:id="39" w:name="_Toc423600140"/>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9</w:t>
      </w:r>
      <w:r>
        <w:rPr>
          <w:noProof/>
          <w:sz w:val="22"/>
          <w:szCs w:val="22"/>
        </w:rPr>
        <w:fldChar w:fldCharType="end"/>
      </w:r>
      <w:r>
        <w:rPr>
          <w:noProof/>
          <w:sz w:val="22"/>
          <w:szCs w:val="22"/>
        </w:rPr>
        <w:t xml:space="preserve"> – Target elements (by 2020)</w:t>
      </w:r>
      <w:bookmarkEnd w:id="39"/>
    </w:p>
    <w:p>
      <w:pPr>
        <w:spacing w:line="360" w:lineRule="auto"/>
        <w:jc w:val="center"/>
        <w:rPr>
          <w:b/>
          <w:noProof/>
          <w:lang w:val="x-none"/>
        </w:rPr>
      </w:pPr>
      <w:r>
        <w:rPr>
          <w:b/>
          <w:noProof/>
          <w:sz w:val="22"/>
          <w:szCs w:val="22"/>
          <w:lang w:val="en-US" w:eastAsia="en-US"/>
        </w:rPr>
        <w:drawing>
          <wp:inline distT="0" distB="0" distL="0" distR="0">
            <wp:extent cx="2926080" cy="1232535"/>
            <wp:effectExtent l="0" t="0" r="762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6080" cy="1232535"/>
                    </a:xfrm>
                    <a:prstGeom prst="rect">
                      <a:avLst/>
                    </a:prstGeom>
                    <a:noFill/>
                    <a:ln>
                      <a:noFill/>
                    </a:ln>
                    <a:effectLst/>
                  </pic:spPr>
                </pic:pic>
              </a:graphicData>
            </a:graphic>
          </wp:inline>
        </w:drawing>
      </w:r>
      <w:bookmarkStart w:id="40" w:name="__RefHeading___Toc412641485"/>
      <w:bookmarkStart w:id="41" w:name="_Toc419441198"/>
      <w:bookmarkEnd w:id="40"/>
    </w:p>
    <w:p>
      <w:pPr>
        <w:pStyle w:val="ManualHeading2"/>
        <w:rPr>
          <w:rFonts w:eastAsia="MS Mincho"/>
          <w:noProof/>
        </w:rPr>
      </w:pPr>
      <w:bookmarkStart w:id="42" w:name="_Toc426295979"/>
      <w:bookmarkStart w:id="43" w:name="__RefHeading___Toc412641486"/>
      <w:bookmarkEnd w:id="41"/>
      <w:r>
        <w:tab/>
      </w:r>
      <w:r>
        <w:rPr>
          <w:noProof/>
        </w:rPr>
        <w:t>Target 1 – Fully Implement the Birds and Habitats Directives</w:t>
      </w:r>
      <w:bookmarkEnd w:id="42"/>
    </w:p>
    <w:p>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before="120" w:after="120" w:line="360" w:lineRule="auto"/>
        <w:ind w:firstLine="0"/>
        <w:rPr>
          <w:i/>
          <w:noProof/>
          <w:sz w:val="22"/>
          <w:szCs w:val="22"/>
          <w:shd w:val="clear" w:color="auto" w:fill="FFFF00"/>
        </w:rPr>
      </w:pPr>
      <w:r>
        <w:rPr>
          <w:rFonts w:eastAsia="MS Mincho"/>
          <w:b/>
          <w:iCs/>
          <w:noProof/>
          <w:sz w:val="22"/>
          <w:szCs w:val="22"/>
        </w:rPr>
        <w:t>To halt the deterioration in the status of all species and habitats covered by EU nature legislation and achieve a significant and measurable improvement in their status so that, by 2020, compared to current assessments: (i) 100% more habitat assessments and 50% more species assessments under the Habitats Directive show an improved conservation status; and (ii) 50% more species assessments under the Birds Directive show a secure or improved status.</w:t>
      </w:r>
    </w:p>
    <w:p>
      <w:pPr>
        <w:pBdr>
          <w:top w:val="single" w:sz="4" w:space="1" w:color="auto"/>
          <w:left w:val="single" w:sz="4" w:space="4" w:color="auto"/>
          <w:bottom w:val="single" w:sz="4" w:space="1" w:color="auto"/>
          <w:right w:val="single" w:sz="4" w:space="4" w:color="auto"/>
        </w:pBdr>
        <w:spacing w:before="240" w:line="360" w:lineRule="auto"/>
        <w:rPr>
          <w:rFonts w:eastAsia="Calibri"/>
          <w:i/>
          <w:noProof/>
          <w:szCs w:val="24"/>
        </w:rPr>
      </w:pPr>
      <w:r>
        <w:rPr>
          <w:rFonts w:eastAsia="Calibri"/>
          <w:b/>
          <w:i/>
          <w:noProof/>
          <w:szCs w:val="24"/>
        </w:rPr>
        <w:t>Socio-economic benefits of reaching this target:</w:t>
      </w:r>
      <w:r>
        <w:rPr>
          <w:rFonts w:eastAsia="Calibri"/>
          <w:i/>
          <w:noProof/>
          <w:szCs w:val="24"/>
        </w:rPr>
        <w:t xml:space="preserve"> </w:t>
      </w:r>
      <w:r>
        <w:rPr>
          <w:i/>
          <w:noProof/>
          <w:sz w:val="22"/>
          <w:szCs w:val="22"/>
          <w:lang w:eastAsia="en-GB"/>
        </w:rPr>
        <w:t>Socio-economic benefits of reaching this target: the EU Natura 2000 network delivers economic benefits of the range of 200-300 billion EUR per year through the provision of ecosystem services such as carbon storage, flood mitigation, water purification, pollination and fish protection</w:t>
      </w:r>
      <w:r>
        <w:rPr>
          <w:rStyle w:val="FootnoteReference"/>
          <w:i/>
          <w:noProof/>
          <w:sz w:val="22"/>
          <w:szCs w:val="22"/>
          <w:lang w:eastAsia="en-GB"/>
        </w:rPr>
        <w:footnoteReference w:id="23"/>
      </w:r>
      <w:r>
        <w:rPr>
          <w:i/>
          <w:noProof/>
          <w:sz w:val="22"/>
          <w:szCs w:val="22"/>
          <w:lang w:eastAsia="en-GB"/>
        </w:rPr>
        <w:t>. A range of local socio-economic activities and almost 4.5 million jobs depend on the ecosystems that Natura 2000 protects. These benefits outweigh significantly the costs of managing and protecting Natura 2000, which are estimated at around €5.8 billion/year</w:t>
      </w:r>
      <w:r>
        <w:rPr>
          <w:rStyle w:val="FootnoteReference"/>
          <w:i/>
          <w:noProof/>
          <w:sz w:val="22"/>
          <w:szCs w:val="22"/>
          <w:lang w:eastAsia="en-GB"/>
        </w:rPr>
        <w:footnoteReference w:id="24"/>
      </w:r>
      <w:r>
        <w:rPr>
          <w:i/>
          <w:noProof/>
          <w:sz w:val="22"/>
          <w:szCs w:val="22"/>
          <w:lang w:eastAsia="en-GB"/>
        </w:rPr>
        <w:t xml:space="preserve"> - a tiny fraction of the network's worth to society. For example, the full implementation of Natura 2000 in Spain is expected to result in a GDP increase between 0.1 - 0.26%, and to generate over 12,000 new jobs</w:t>
      </w:r>
      <w:r>
        <w:rPr>
          <w:rStyle w:val="FootnoteReference"/>
          <w:i/>
          <w:noProof/>
          <w:sz w:val="22"/>
          <w:szCs w:val="22"/>
          <w:lang w:eastAsia="en-GB"/>
        </w:rPr>
        <w:footnoteReference w:id="25"/>
      </w:r>
      <w:r>
        <w:rPr>
          <w:i/>
          <w:noProof/>
          <w:sz w:val="22"/>
          <w:szCs w:val="22"/>
          <w:lang w:eastAsia="en-GB"/>
        </w:rPr>
        <w:t xml:space="preserve">. </w:t>
      </w:r>
    </w:p>
    <w:p>
      <w:pPr>
        <w:rPr>
          <w:noProof/>
          <w:sz w:val="22"/>
          <w:szCs w:val="22"/>
          <w:lang w:eastAsia="en-GB"/>
        </w:rPr>
      </w:pPr>
    </w:p>
    <w:p>
      <w:pPr>
        <w:spacing w:line="360" w:lineRule="auto"/>
        <w:rPr>
          <w:noProof/>
          <w:sz w:val="22"/>
          <w:szCs w:val="22"/>
        </w:rPr>
      </w:pPr>
      <w:r>
        <w:rPr>
          <w:noProof/>
          <w:sz w:val="22"/>
          <w:szCs w:val="22"/>
        </w:rPr>
        <w:t>The Birds and Habitats Directives do not contain specific deadlines for achieving favourable or good conservation status. However, Target 1 of the Strategy sets measurable goals to be achieved by 2020. These goals were based on an ambitious but achievable scenario that assumed full implementation by Member States of measures under the directives to improve conservation status, supported by common actions at EU level. Using the 2009 report drawn up under the Habitats Directive and the 'Birds in the EU' status assessment of 2004</w:t>
      </w:r>
      <w:r>
        <w:rPr>
          <w:rStyle w:val="FootnoteReference"/>
          <w:noProof/>
          <w:sz w:val="22"/>
          <w:szCs w:val="22"/>
        </w:rPr>
        <w:footnoteReference w:id="26"/>
      </w:r>
      <w:r>
        <w:rPr>
          <w:noProof/>
          <w:sz w:val="22"/>
          <w:szCs w:val="22"/>
        </w:rPr>
        <w:t xml:space="preserve"> as benchmarks, the assessment of progress under Target 1</w:t>
      </w:r>
      <w:r>
        <w:rPr>
          <w:rStyle w:val="FootnoteReference"/>
          <w:noProof/>
          <w:sz w:val="22"/>
          <w:szCs w:val="22"/>
        </w:rPr>
        <w:footnoteReference w:id="27"/>
      </w:r>
      <w:r>
        <w:rPr>
          <w:noProof/>
          <w:sz w:val="22"/>
          <w:szCs w:val="22"/>
        </w:rPr>
        <w:t xml:space="preserve"> is drawn mainly from the Report on the State of Nature in the EU</w:t>
      </w:r>
      <w:r>
        <w:rPr>
          <w:rStyle w:val="FootnoteReference"/>
          <w:noProof/>
          <w:sz w:val="22"/>
          <w:szCs w:val="22"/>
        </w:rPr>
        <w:footnoteReference w:id="28"/>
      </w:r>
      <w:r>
        <w:rPr>
          <w:noProof/>
          <w:sz w:val="22"/>
          <w:szCs w:val="22"/>
        </w:rPr>
        <w:t>, which was adopted by the Commission on 20 May 2015 and provides the most comprehensive assessment to date.</w:t>
      </w:r>
    </w:p>
    <w:p>
      <w:pPr>
        <w:spacing w:line="360" w:lineRule="auto"/>
        <w:rPr>
          <w:noProof/>
        </w:rPr>
      </w:pPr>
    </w:p>
    <w:p>
      <w:pPr>
        <w:pStyle w:val="Caption"/>
        <w:keepNext/>
        <w:spacing w:line="360" w:lineRule="auto"/>
        <w:rPr>
          <w:b w:val="0"/>
          <w:noProof/>
        </w:rPr>
      </w:pPr>
      <w:bookmarkStart w:id="44" w:name="_Toc422819453"/>
      <w:r>
        <w:rPr>
          <w:b w:val="0"/>
          <w:noProof/>
          <w:sz w:val="22"/>
          <w:szCs w:val="22"/>
        </w:rPr>
        <w:t xml:space="preserve">Since the last reporting period, the number of assessments of species and habitats carried out under both the Habitats and Birds directives which show a secure or improved conservation status has slightly increased. The findings also show that the majority of birds have a secure status, and some species and habitats are doing better (see </w:t>
      </w:r>
      <w:r>
        <w:rPr>
          <w:b w:val="0"/>
          <w:noProof/>
          <w:sz w:val="22"/>
          <w:szCs w:val="22"/>
        </w:rPr>
        <w:fldChar w:fldCharType="begin"/>
      </w:r>
      <w:r>
        <w:rPr>
          <w:b w:val="0"/>
          <w:noProof/>
          <w:sz w:val="22"/>
          <w:szCs w:val="22"/>
        </w:rPr>
        <w:instrText xml:space="preserve"> REF _Ref422819964 \h  \* MERGEFORMAT </w:instrText>
      </w:r>
      <w:r>
        <w:rPr>
          <w:b w:val="0"/>
          <w:noProof/>
          <w:sz w:val="22"/>
          <w:szCs w:val="22"/>
        </w:rPr>
      </w:r>
      <w:r>
        <w:rPr>
          <w:b w:val="0"/>
          <w:noProof/>
          <w:sz w:val="22"/>
          <w:szCs w:val="22"/>
        </w:rPr>
        <w:fldChar w:fldCharType="separate"/>
      </w:r>
      <w:r>
        <w:rPr>
          <w:b w:val="0"/>
          <w:noProof/>
          <w:sz w:val="22"/>
          <w:szCs w:val="22"/>
        </w:rPr>
        <w:t>Figure 10</w:t>
      </w:r>
      <w:r>
        <w:rPr>
          <w:b w:val="0"/>
          <w:noProof/>
          <w:sz w:val="22"/>
          <w:szCs w:val="22"/>
        </w:rPr>
        <w:fldChar w:fldCharType="end"/>
      </w:r>
      <w:r>
        <w:rPr>
          <w:b w:val="0"/>
          <w:noProof/>
          <w:sz w:val="22"/>
          <w:szCs w:val="22"/>
        </w:rPr>
        <w:t>).</w:t>
      </w:r>
      <w:bookmarkEnd w:id="44"/>
    </w:p>
    <w:p>
      <w:pPr>
        <w:rPr>
          <w:noProof/>
        </w:rPr>
      </w:pPr>
    </w:p>
    <w:tbl>
      <w:tblPr>
        <w:tblStyle w:val="TableGrid"/>
        <w:tblW w:w="0" w:type="auto"/>
        <w:tblLook w:val="04A0" w:firstRow="1" w:lastRow="0" w:firstColumn="1" w:lastColumn="0" w:noHBand="0" w:noVBand="1"/>
      </w:tblPr>
      <w:tblGrid>
        <w:gridCol w:w="9854"/>
      </w:tblGrid>
      <w:tr>
        <w:tc>
          <w:tcPr>
            <w:tcW w:w="9854" w:type="dxa"/>
          </w:tcPr>
          <w:p>
            <w:pPr>
              <w:spacing w:line="360" w:lineRule="auto"/>
              <w:rPr>
                <w:noProof/>
                <w:sz w:val="22"/>
                <w:szCs w:val="22"/>
              </w:rPr>
            </w:pPr>
            <w:r>
              <w:rPr>
                <w:noProof/>
                <w:sz w:val="22"/>
                <w:szCs w:val="22"/>
              </w:rPr>
              <w:t xml:space="preserve">The </w:t>
            </w:r>
            <w:r>
              <w:rPr>
                <w:b/>
                <w:noProof/>
                <w:sz w:val="22"/>
                <w:szCs w:val="22"/>
              </w:rPr>
              <w:t>Habitats Directive</w:t>
            </w:r>
            <w:r>
              <w:rPr>
                <w:noProof/>
                <w:sz w:val="22"/>
                <w:szCs w:val="22"/>
              </w:rPr>
              <w:t xml:space="preserve"> protects over 1200 rare, threatened or endemic species of wild animals (except birds) and plants – often collectively referred to as 'species of European importance'. The directive also protects some 230 natural and semi-natural habitat types. The </w:t>
            </w:r>
            <w:r>
              <w:rPr>
                <w:b/>
                <w:noProof/>
                <w:sz w:val="22"/>
                <w:szCs w:val="22"/>
              </w:rPr>
              <w:t>Bird Directive</w:t>
            </w:r>
            <w:r>
              <w:rPr>
                <w:noProof/>
                <w:sz w:val="22"/>
                <w:szCs w:val="22"/>
              </w:rPr>
              <w:t xml:space="preserve"> covers all bird species that are naturally present in the EU. In total this amounts to around 450 species, ranging from familiar garden birds to much rarer migratory species that spend an important part of their annual cycle in the EU.</w:t>
            </w:r>
          </w:p>
        </w:tc>
      </w:tr>
    </w:tbl>
    <w:p>
      <w:pPr>
        <w:pStyle w:val="Caption"/>
        <w:keepNext/>
        <w:jc w:val="center"/>
        <w:rPr>
          <w:noProof/>
        </w:rPr>
      </w:pPr>
      <w:bookmarkStart w:id="45" w:name="_Ref422819964"/>
      <w:bookmarkStart w:id="46" w:name="_Toc423600141"/>
    </w:p>
    <w:p>
      <w:pPr>
        <w:pStyle w:val="Caption"/>
        <w:keepNext/>
        <w:jc w:val="center"/>
        <w:rPr>
          <w:noProof/>
          <w:sz w:val="22"/>
          <w:szCs w:val="22"/>
        </w:rPr>
      </w:pPr>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10</w:t>
      </w:r>
      <w:r>
        <w:rPr>
          <w:noProof/>
          <w:sz w:val="22"/>
          <w:szCs w:val="22"/>
        </w:rPr>
        <w:fldChar w:fldCharType="end"/>
      </w:r>
      <w:bookmarkEnd w:id="45"/>
      <w:r>
        <w:rPr>
          <w:noProof/>
          <w:sz w:val="22"/>
          <w:szCs w:val="22"/>
        </w:rPr>
        <w:t xml:space="preserve"> - </w:t>
      </w:r>
      <w:bookmarkEnd w:id="46"/>
      <w:r>
        <w:rPr>
          <w:bCs/>
          <w:noProof/>
          <w:sz w:val="22"/>
          <w:szCs w:val="22"/>
        </w:rPr>
        <w:t>Progress towards Target 1: % of secure/favourable or improving assessments for birds (Birds Directive) and for habitats and species (Habitats Directive)</w:t>
      </w:r>
    </w:p>
    <w:p>
      <w:pPr>
        <w:spacing w:line="360" w:lineRule="auto"/>
        <w:jc w:val="center"/>
        <w:rPr>
          <w:noProof/>
          <w:lang w:eastAsia="en-GB"/>
        </w:rPr>
      </w:pPr>
      <w:r>
        <w:rPr>
          <w:noProof/>
          <w:lang w:eastAsia="en-GB"/>
        </w:rPr>
        <w:t xml:space="preserve"> </w:t>
      </w:r>
      <w:r>
        <w:rPr>
          <w:noProof/>
          <w:lang w:val="en-US" w:eastAsia="en-US"/>
        </w:rPr>
        <w:drawing>
          <wp:inline distT="0" distB="0" distL="0" distR="0">
            <wp:extent cx="5838825" cy="32837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38825" cy="3283715"/>
                    </a:xfrm>
                    <a:prstGeom prst="rect">
                      <a:avLst/>
                    </a:prstGeom>
                  </pic:spPr>
                </pic:pic>
              </a:graphicData>
            </a:graphic>
          </wp:inline>
        </w:drawing>
      </w:r>
    </w:p>
    <w:p>
      <w:pPr>
        <w:spacing w:line="360" w:lineRule="auto"/>
        <w:jc w:val="left"/>
        <w:rPr>
          <w:rFonts w:eastAsia="Calibri"/>
          <w:noProof/>
          <w:sz w:val="22"/>
          <w:szCs w:val="22"/>
        </w:rPr>
      </w:pPr>
      <w:r>
        <w:rPr>
          <w:rFonts w:eastAsia="Calibri"/>
          <w:noProof/>
          <w:sz w:val="22"/>
          <w:szCs w:val="22"/>
        </w:rPr>
        <w:t>Source: EEA 2015</w:t>
      </w:r>
    </w:p>
    <w:p>
      <w:pPr>
        <w:spacing w:line="360" w:lineRule="auto"/>
        <w:rPr>
          <w:noProof/>
          <w:sz w:val="22"/>
          <w:szCs w:val="22"/>
        </w:rPr>
      </w:pPr>
      <w:r>
        <w:rPr>
          <w:noProof/>
          <w:sz w:val="22"/>
          <w:szCs w:val="22"/>
        </w:rPr>
        <w:t xml:space="preserve">In 2007-12 the percentage of </w:t>
      </w:r>
      <w:r>
        <w:rPr>
          <w:b/>
          <w:noProof/>
          <w:sz w:val="22"/>
          <w:szCs w:val="22"/>
        </w:rPr>
        <w:t>species assessments</w:t>
      </w:r>
      <w:r>
        <w:rPr>
          <w:noProof/>
          <w:sz w:val="22"/>
          <w:szCs w:val="22"/>
        </w:rPr>
        <w:t xml:space="preserve"> either in favourable (23%) or improved (4%) status was of 27 % while the 2020 target is 34.5%. However, 22% are still deteriorating and 14% are without a known trend.</w:t>
      </w:r>
    </w:p>
    <w:p>
      <w:pPr>
        <w:pStyle w:val="Caption"/>
        <w:keepNext/>
        <w:rPr>
          <w:noProof/>
        </w:rPr>
      </w:pPr>
    </w:p>
    <w:tbl>
      <w:tblPr>
        <w:tblStyle w:val="TableGrid"/>
        <w:tblW w:w="0" w:type="auto"/>
        <w:tblLook w:val="04A0" w:firstRow="1" w:lastRow="0" w:firstColumn="1" w:lastColumn="0" w:noHBand="0" w:noVBand="1"/>
      </w:tblPr>
      <w:tblGrid>
        <w:gridCol w:w="9854"/>
      </w:tblGrid>
      <w:tr>
        <w:tc>
          <w:tcPr>
            <w:tcW w:w="9854" w:type="dxa"/>
          </w:tcPr>
          <w:p>
            <w:pPr>
              <w:spacing w:line="360" w:lineRule="auto"/>
              <w:rPr>
                <w:b/>
                <w:bCs/>
                <w:noProof/>
                <w:sz w:val="22"/>
                <w:szCs w:val="22"/>
              </w:rPr>
            </w:pPr>
            <w:r>
              <w:rPr>
                <w:b/>
                <w:noProof/>
                <w:sz w:val="22"/>
                <w:szCs w:val="22"/>
              </w:rPr>
              <w:t xml:space="preserve">Box </w:t>
            </w:r>
            <w:r>
              <w:rPr>
                <w:b/>
                <w:noProof/>
                <w:sz w:val="22"/>
                <w:szCs w:val="22"/>
              </w:rPr>
              <w:fldChar w:fldCharType="begin"/>
            </w:r>
            <w:r>
              <w:rPr>
                <w:b/>
                <w:noProof/>
                <w:sz w:val="22"/>
                <w:szCs w:val="22"/>
              </w:rPr>
              <w:instrText xml:space="preserve"> SEQ Box \* ARABIC </w:instrText>
            </w:r>
            <w:r>
              <w:rPr>
                <w:b/>
                <w:noProof/>
                <w:sz w:val="22"/>
                <w:szCs w:val="22"/>
              </w:rPr>
              <w:fldChar w:fldCharType="separate"/>
            </w:r>
            <w:r>
              <w:rPr>
                <w:b/>
                <w:noProof/>
                <w:sz w:val="22"/>
                <w:szCs w:val="22"/>
              </w:rPr>
              <w:t>2</w:t>
            </w:r>
            <w:r>
              <w:rPr>
                <w:b/>
                <w:noProof/>
                <w:sz w:val="22"/>
                <w:szCs w:val="22"/>
              </w:rPr>
              <w:fldChar w:fldCharType="end"/>
            </w:r>
            <w:r>
              <w:rPr>
                <w:b/>
                <w:noProof/>
                <w:sz w:val="22"/>
                <w:szCs w:val="22"/>
              </w:rPr>
              <w:t xml:space="preserve">: </w:t>
            </w:r>
            <w:r>
              <w:rPr>
                <w:b/>
                <w:bCs/>
                <w:noProof/>
                <w:sz w:val="22"/>
                <w:szCs w:val="22"/>
              </w:rPr>
              <w:t xml:space="preserve">Species recovery - some success stories </w:t>
            </w:r>
          </w:p>
          <w:p>
            <w:pPr>
              <w:spacing w:line="360" w:lineRule="auto"/>
              <w:rPr>
                <w:bCs/>
                <w:noProof/>
                <w:sz w:val="22"/>
                <w:szCs w:val="22"/>
              </w:rPr>
            </w:pPr>
            <w:r>
              <w:rPr>
                <w:bCs/>
                <w:noProof/>
                <w:sz w:val="22"/>
                <w:szCs w:val="22"/>
              </w:rPr>
              <w:t xml:space="preserve">Largely thanks to conservation measures undertaken with the support of EU LIFE projects, some species are showing signs of improvement. The Large Copper butterfly, </w:t>
            </w:r>
            <w:r>
              <w:rPr>
                <w:bCs/>
                <w:i/>
                <w:noProof/>
                <w:sz w:val="22"/>
                <w:szCs w:val="22"/>
              </w:rPr>
              <w:t xml:space="preserve">Lycaena dispar, </w:t>
            </w:r>
            <w:r>
              <w:rPr>
                <w:bCs/>
                <w:noProof/>
                <w:sz w:val="22"/>
                <w:szCs w:val="22"/>
              </w:rPr>
              <w:t xml:space="preserve">is improving across the Continental region thanks to targeted conservation measures. The European Bison, </w:t>
            </w:r>
            <w:r>
              <w:rPr>
                <w:bCs/>
                <w:i/>
                <w:noProof/>
                <w:sz w:val="22"/>
                <w:szCs w:val="22"/>
              </w:rPr>
              <w:t xml:space="preserve">Bison bonasus, </w:t>
            </w:r>
            <w:r>
              <w:rPr>
                <w:bCs/>
                <w:noProof/>
                <w:sz w:val="22"/>
                <w:szCs w:val="22"/>
              </w:rPr>
              <w:t xml:space="preserve">in the Alpine region, the Grey Seal, </w:t>
            </w:r>
            <w:r>
              <w:rPr>
                <w:bCs/>
                <w:i/>
                <w:noProof/>
                <w:sz w:val="22"/>
                <w:szCs w:val="22"/>
              </w:rPr>
              <w:t xml:space="preserve">Halichoerus grypus, </w:t>
            </w:r>
            <w:r>
              <w:rPr>
                <w:bCs/>
                <w:noProof/>
                <w:sz w:val="22"/>
                <w:szCs w:val="22"/>
              </w:rPr>
              <w:t xml:space="preserve">in the marine Baltic region and the Mediterranean Horseshoebat, </w:t>
            </w:r>
            <w:r>
              <w:rPr>
                <w:bCs/>
                <w:i/>
                <w:noProof/>
                <w:sz w:val="22"/>
                <w:szCs w:val="22"/>
              </w:rPr>
              <w:t>Rhinolophus Euryale,</w:t>
            </w:r>
            <w:r>
              <w:rPr>
                <w:bCs/>
                <w:noProof/>
                <w:sz w:val="22"/>
                <w:szCs w:val="22"/>
              </w:rPr>
              <w:t xml:space="preserve"> in the Mediterranean region are also improving. </w:t>
            </w:r>
            <w:r>
              <w:rPr>
                <w:rFonts w:eastAsiaTheme="minorHAnsi"/>
                <w:noProof/>
                <w:sz w:val="22"/>
                <w:szCs w:val="22"/>
                <w:lang w:eastAsia="en-US"/>
              </w:rPr>
              <w:t>Several species of birds of prey,</w:t>
            </w:r>
            <w:r>
              <w:rPr>
                <w:noProof/>
                <w:sz w:val="22"/>
                <w:szCs w:val="22"/>
              </w:rPr>
              <w:t xml:space="preserve"> </w:t>
            </w:r>
            <w:r>
              <w:rPr>
                <w:rFonts w:eastAsiaTheme="minorHAnsi"/>
                <w:noProof/>
                <w:sz w:val="22"/>
                <w:szCs w:val="22"/>
                <w:lang w:eastAsia="en-US"/>
              </w:rPr>
              <w:t xml:space="preserve">including the Carpathian Basin populations of the Eastern Imperial Eagle </w:t>
            </w:r>
            <w:r>
              <w:rPr>
                <w:rFonts w:eastAsiaTheme="minorHAnsi"/>
                <w:i/>
                <w:iCs/>
                <w:noProof/>
                <w:sz w:val="22"/>
                <w:szCs w:val="22"/>
                <w:lang w:eastAsia="en-US"/>
              </w:rPr>
              <w:t>Aquila heliaca</w:t>
            </w:r>
            <w:r>
              <w:rPr>
                <w:rFonts w:eastAsiaTheme="minorHAnsi"/>
                <w:noProof/>
                <w:sz w:val="22"/>
                <w:szCs w:val="22"/>
                <w:lang w:eastAsia="en-US"/>
              </w:rPr>
              <w:t>,</w:t>
            </w:r>
            <w:r>
              <w:rPr>
                <w:noProof/>
                <w:sz w:val="22"/>
                <w:szCs w:val="22"/>
              </w:rPr>
              <w:t xml:space="preserve"> </w:t>
            </w:r>
            <w:r>
              <w:rPr>
                <w:rFonts w:eastAsiaTheme="minorHAnsi"/>
                <w:noProof/>
                <w:sz w:val="22"/>
                <w:szCs w:val="22"/>
                <w:lang w:eastAsia="en-US"/>
              </w:rPr>
              <w:t>have increased as a result of measures, such as protection of nesting sites and habitat</w:t>
            </w:r>
            <w:r>
              <w:rPr>
                <w:noProof/>
                <w:sz w:val="22"/>
                <w:szCs w:val="22"/>
              </w:rPr>
              <w:t xml:space="preserve"> </w:t>
            </w:r>
            <w:r>
              <w:rPr>
                <w:rFonts w:eastAsiaTheme="minorHAnsi"/>
                <w:noProof/>
                <w:sz w:val="22"/>
                <w:szCs w:val="22"/>
                <w:lang w:eastAsia="en-US"/>
              </w:rPr>
              <w:t>management.</w:t>
            </w:r>
          </w:p>
        </w:tc>
      </w:tr>
    </w:tbl>
    <w:p>
      <w:pPr>
        <w:spacing w:line="360" w:lineRule="auto"/>
        <w:rPr>
          <w:noProof/>
          <w:sz w:val="22"/>
          <w:szCs w:val="22"/>
        </w:rPr>
      </w:pPr>
    </w:p>
    <w:p>
      <w:pPr>
        <w:spacing w:line="360" w:lineRule="auto"/>
        <w:rPr>
          <w:noProof/>
          <w:sz w:val="22"/>
          <w:szCs w:val="22"/>
        </w:rPr>
      </w:pPr>
      <w:r>
        <w:rPr>
          <w:noProof/>
          <w:sz w:val="22"/>
          <w:szCs w:val="22"/>
        </w:rPr>
        <w:t xml:space="preserve">The assessments of </w:t>
      </w:r>
      <w:r>
        <w:rPr>
          <w:b/>
          <w:noProof/>
          <w:sz w:val="22"/>
          <w:szCs w:val="22"/>
        </w:rPr>
        <w:t>habitat types</w:t>
      </w:r>
      <w:r>
        <w:rPr>
          <w:noProof/>
          <w:sz w:val="22"/>
          <w:szCs w:val="22"/>
        </w:rPr>
        <w:t xml:space="preserve"> show that 16.4% of assessments are favourable and 4.4% have improved, while 30% are still deteriorating since 2006. This means that about 20 % reached the target condition, while the 2020 target is 34%. </w:t>
      </w:r>
      <w:r>
        <w:rPr>
          <w:bCs/>
          <w:noProof/>
          <w:sz w:val="22"/>
          <w:szCs w:val="22"/>
        </w:rPr>
        <w:t xml:space="preserve">On the whole, habitat types show a worse conservation status and trend than species. </w:t>
      </w:r>
      <w:r>
        <w:rPr>
          <w:noProof/>
          <w:sz w:val="22"/>
          <w:szCs w:val="22"/>
        </w:rPr>
        <w:t xml:space="preserve">It is widely recognised that restoration of habitats can often take a long time from the implementation of measures to the achievement of tangible improvement in biodiversity. </w:t>
      </w:r>
    </w:p>
    <w:p>
      <w:pPr>
        <w:pStyle w:val="Caption"/>
        <w:keepNext/>
        <w:rPr>
          <w:noProof/>
        </w:rPr>
      </w:pPr>
    </w:p>
    <w:tbl>
      <w:tblPr>
        <w:tblStyle w:val="TableGrid"/>
        <w:tblW w:w="0" w:type="auto"/>
        <w:tblLook w:val="04A0" w:firstRow="1" w:lastRow="0" w:firstColumn="1" w:lastColumn="0" w:noHBand="0" w:noVBand="1"/>
      </w:tblPr>
      <w:tblGrid>
        <w:gridCol w:w="9854"/>
      </w:tblGrid>
      <w:tr>
        <w:trPr>
          <w:trHeight w:val="1514"/>
        </w:trPr>
        <w:tc>
          <w:tcPr>
            <w:tcW w:w="9854" w:type="dxa"/>
          </w:tcPr>
          <w:p>
            <w:pPr>
              <w:spacing w:line="360" w:lineRule="auto"/>
              <w:rPr>
                <w:b/>
                <w:noProof/>
                <w:sz w:val="22"/>
                <w:szCs w:val="22"/>
              </w:rPr>
            </w:pPr>
            <w:r>
              <w:rPr>
                <w:b/>
                <w:noProof/>
                <w:sz w:val="22"/>
                <w:szCs w:val="22"/>
              </w:rPr>
              <w:t xml:space="preserve">Box </w:t>
            </w:r>
            <w:r>
              <w:rPr>
                <w:b/>
                <w:noProof/>
                <w:sz w:val="22"/>
                <w:szCs w:val="22"/>
              </w:rPr>
              <w:fldChar w:fldCharType="begin"/>
            </w:r>
            <w:r>
              <w:rPr>
                <w:b/>
                <w:noProof/>
                <w:sz w:val="22"/>
                <w:szCs w:val="22"/>
              </w:rPr>
              <w:instrText xml:space="preserve"> SEQ Box \* ARABIC </w:instrText>
            </w:r>
            <w:r>
              <w:rPr>
                <w:b/>
                <w:noProof/>
                <w:sz w:val="22"/>
                <w:szCs w:val="22"/>
              </w:rPr>
              <w:fldChar w:fldCharType="separate"/>
            </w:r>
            <w:r>
              <w:rPr>
                <w:b/>
                <w:noProof/>
                <w:sz w:val="22"/>
                <w:szCs w:val="22"/>
              </w:rPr>
              <w:t>3</w:t>
            </w:r>
            <w:r>
              <w:rPr>
                <w:b/>
                <w:noProof/>
                <w:sz w:val="22"/>
                <w:szCs w:val="22"/>
              </w:rPr>
              <w:fldChar w:fldCharType="end"/>
            </w:r>
            <w:r>
              <w:rPr>
                <w:b/>
                <w:noProof/>
                <w:sz w:val="22"/>
                <w:szCs w:val="22"/>
              </w:rPr>
              <w:t>: Threatened habitats – grassland, wetland and dunes</w:t>
            </w:r>
          </w:p>
          <w:p>
            <w:pPr>
              <w:spacing w:line="360" w:lineRule="auto"/>
              <w:rPr>
                <w:noProof/>
                <w:sz w:val="22"/>
                <w:szCs w:val="22"/>
              </w:rPr>
            </w:pPr>
            <w:r>
              <w:rPr>
                <w:noProof/>
                <w:sz w:val="22"/>
                <w:szCs w:val="22"/>
              </w:rPr>
              <w:t>Grassland, wetlands and dune habitats are of particular concern; the proportion of assessments which are unfavourable and deteriorating is particularly high for bogs, mires and fens, all associated with wetlands, coastal and agricultural ecosystems. The main threats to habitats identified are certain agricultural practices (including modification of cultivation practices, over-grazing, abandonment of pastoral systems, fertilisation and pesticides), and human-induced modifications of natural conditions, mostly related to hydrological changes.</w:t>
            </w:r>
          </w:p>
        </w:tc>
      </w:tr>
    </w:tbl>
    <w:p>
      <w:pPr>
        <w:spacing w:line="360" w:lineRule="auto"/>
        <w:rPr>
          <w:noProof/>
          <w:sz w:val="22"/>
          <w:szCs w:val="22"/>
        </w:rPr>
      </w:pPr>
    </w:p>
    <w:p>
      <w:pPr>
        <w:spacing w:line="360" w:lineRule="auto"/>
        <w:rPr>
          <w:noProof/>
          <w:sz w:val="22"/>
          <w:szCs w:val="22"/>
        </w:rPr>
      </w:pPr>
      <w:r>
        <w:rPr>
          <w:noProof/>
          <w:sz w:val="22"/>
          <w:szCs w:val="22"/>
        </w:rPr>
        <w:t xml:space="preserve">For </w:t>
      </w:r>
      <w:r>
        <w:rPr>
          <w:b/>
          <w:noProof/>
          <w:sz w:val="22"/>
          <w:szCs w:val="22"/>
        </w:rPr>
        <w:t>birds,</w:t>
      </w:r>
      <w:r>
        <w:rPr>
          <w:noProof/>
          <w:sz w:val="22"/>
          <w:szCs w:val="22"/>
        </w:rPr>
        <w:t xml:space="preserve"> the proportion of bird species assessments with a ‘secure’ status remains the same as in 2004 (52%) and 8.5% are non-secure but improving. Therefore, approximately 61 % of species are in the target condition. This means that a further 17 % of species need to become secure or improving by 2020 to reach the birds’ component of Target 1 (i.e. 78 %). </w:t>
      </w:r>
    </w:p>
    <w:p>
      <w:pPr>
        <w:pStyle w:val="Caption"/>
        <w:keepNext/>
        <w:rPr>
          <w:noProof/>
        </w:rPr>
      </w:pPr>
    </w:p>
    <w:tbl>
      <w:tblPr>
        <w:tblStyle w:val="TableGrid"/>
        <w:tblW w:w="9889" w:type="dxa"/>
        <w:tblLook w:val="04A0" w:firstRow="1" w:lastRow="0" w:firstColumn="1" w:lastColumn="0" w:noHBand="0" w:noVBand="1"/>
      </w:tblPr>
      <w:tblGrid>
        <w:gridCol w:w="9889"/>
      </w:tblGrid>
      <w:tr>
        <w:tc>
          <w:tcPr>
            <w:tcW w:w="9889" w:type="dxa"/>
          </w:tcPr>
          <w:p>
            <w:pPr>
              <w:spacing w:line="360" w:lineRule="auto"/>
              <w:ind w:firstLine="0"/>
              <w:rPr>
                <w:rFonts w:eastAsiaTheme="minorHAnsi"/>
                <w:b/>
                <w:noProof/>
                <w:sz w:val="22"/>
                <w:szCs w:val="22"/>
                <w:lang w:eastAsia="en-US"/>
              </w:rPr>
            </w:pPr>
            <w:r>
              <w:rPr>
                <w:b/>
                <w:noProof/>
                <w:sz w:val="22"/>
                <w:szCs w:val="22"/>
              </w:rPr>
              <w:t xml:space="preserve">Box </w:t>
            </w:r>
            <w:r>
              <w:rPr>
                <w:b/>
                <w:noProof/>
                <w:sz w:val="22"/>
                <w:szCs w:val="22"/>
              </w:rPr>
              <w:fldChar w:fldCharType="begin"/>
            </w:r>
            <w:r>
              <w:rPr>
                <w:b/>
                <w:noProof/>
                <w:sz w:val="22"/>
                <w:szCs w:val="22"/>
              </w:rPr>
              <w:instrText xml:space="preserve"> SEQ Box \* ARABIC </w:instrText>
            </w:r>
            <w:r>
              <w:rPr>
                <w:b/>
                <w:noProof/>
                <w:sz w:val="22"/>
                <w:szCs w:val="22"/>
              </w:rPr>
              <w:fldChar w:fldCharType="separate"/>
            </w:r>
            <w:r>
              <w:rPr>
                <w:b/>
                <w:noProof/>
                <w:sz w:val="22"/>
                <w:szCs w:val="22"/>
              </w:rPr>
              <w:t>4</w:t>
            </w:r>
            <w:r>
              <w:rPr>
                <w:b/>
                <w:noProof/>
                <w:sz w:val="22"/>
                <w:szCs w:val="22"/>
              </w:rPr>
              <w:fldChar w:fldCharType="end"/>
            </w:r>
            <w:r>
              <w:rPr>
                <w:b/>
                <w:noProof/>
                <w:sz w:val="22"/>
                <w:szCs w:val="22"/>
              </w:rPr>
              <w:t>:</w:t>
            </w:r>
            <w:r>
              <w:rPr>
                <w:noProof/>
                <w:sz w:val="22"/>
                <w:szCs w:val="22"/>
              </w:rPr>
              <w:t xml:space="preserve"> </w:t>
            </w:r>
            <w:r>
              <w:rPr>
                <w:rFonts w:eastAsiaTheme="minorHAnsi"/>
                <w:b/>
                <w:noProof/>
                <w:sz w:val="22"/>
                <w:szCs w:val="22"/>
                <w:lang w:eastAsia="en-US"/>
              </w:rPr>
              <w:t>Farmland and woodland birds</w:t>
            </w:r>
          </w:p>
          <w:p>
            <w:pPr>
              <w:spacing w:line="360" w:lineRule="auto"/>
              <w:ind w:firstLine="0"/>
              <w:rPr>
                <w:noProof/>
                <w:sz w:val="22"/>
                <w:szCs w:val="22"/>
              </w:rPr>
            </w:pPr>
            <w:r>
              <w:rPr>
                <w:rFonts w:eastAsiaTheme="minorHAnsi"/>
                <w:noProof/>
                <w:sz w:val="22"/>
                <w:szCs w:val="22"/>
                <w:lang w:eastAsia="en-US"/>
              </w:rPr>
              <w:t>Some bird species appear to be benefiting from targeted conservation measures aimed at</w:t>
            </w:r>
            <w:r>
              <w:rPr>
                <w:noProof/>
                <w:sz w:val="22"/>
                <w:szCs w:val="22"/>
              </w:rPr>
              <w:t xml:space="preserve"> </w:t>
            </w:r>
            <w:r>
              <w:rPr>
                <w:rFonts w:eastAsiaTheme="minorHAnsi"/>
                <w:noProof/>
                <w:sz w:val="22"/>
                <w:szCs w:val="22"/>
                <w:lang w:eastAsia="en-US"/>
              </w:rPr>
              <w:t>adapting land-use practices, especially in Natura 2000 sites. For instance, agri-environmental</w:t>
            </w:r>
            <w:r>
              <w:rPr>
                <w:noProof/>
                <w:sz w:val="22"/>
                <w:szCs w:val="22"/>
              </w:rPr>
              <w:t xml:space="preserve"> </w:t>
            </w:r>
            <w:r>
              <w:rPr>
                <w:rFonts w:eastAsiaTheme="minorHAnsi"/>
                <w:noProof/>
                <w:sz w:val="22"/>
                <w:szCs w:val="22"/>
                <w:lang w:eastAsia="en-US"/>
              </w:rPr>
              <w:t>and land management programmes successfully implemented in Spain, Portugal, Austria,</w:t>
            </w:r>
            <w:r>
              <w:rPr>
                <w:noProof/>
                <w:sz w:val="22"/>
                <w:szCs w:val="22"/>
              </w:rPr>
              <w:t xml:space="preserve"> </w:t>
            </w:r>
            <w:r>
              <w:rPr>
                <w:rFonts w:eastAsiaTheme="minorHAnsi"/>
                <w:noProof/>
                <w:sz w:val="22"/>
                <w:szCs w:val="22"/>
                <w:lang w:eastAsia="en-US"/>
              </w:rPr>
              <w:t xml:space="preserve">Hungary and Germany have helped the recovery of the Great Bustard </w:t>
            </w:r>
            <w:r>
              <w:rPr>
                <w:rFonts w:eastAsiaTheme="minorHAnsi"/>
                <w:i/>
                <w:iCs/>
                <w:noProof/>
                <w:sz w:val="22"/>
                <w:szCs w:val="22"/>
                <w:lang w:eastAsia="en-US"/>
              </w:rPr>
              <w:t xml:space="preserve">Otis tarda, </w:t>
            </w:r>
            <w:r>
              <w:rPr>
                <w:rFonts w:eastAsiaTheme="minorHAnsi"/>
                <w:noProof/>
                <w:sz w:val="22"/>
                <w:szCs w:val="22"/>
                <w:lang w:eastAsia="en-US"/>
              </w:rPr>
              <w:t>a species</w:t>
            </w:r>
            <w:r>
              <w:rPr>
                <w:noProof/>
                <w:sz w:val="22"/>
                <w:szCs w:val="22"/>
              </w:rPr>
              <w:t xml:space="preserve"> </w:t>
            </w:r>
            <w:r>
              <w:rPr>
                <w:rFonts w:eastAsiaTheme="minorHAnsi"/>
                <w:noProof/>
                <w:sz w:val="22"/>
                <w:szCs w:val="22"/>
                <w:lang w:eastAsia="en-US"/>
              </w:rPr>
              <w:t>dependent on open landscapes (grassland, steppes and undisturbed cultivated areas), which is</w:t>
            </w:r>
            <w:r>
              <w:rPr>
                <w:noProof/>
                <w:sz w:val="22"/>
                <w:szCs w:val="22"/>
              </w:rPr>
              <w:t xml:space="preserve"> </w:t>
            </w:r>
            <w:r>
              <w:rPr>
                <w:rFonts w:eastAsiaTheme="minorHAnsi"/>
                <w:noProof/>
                <w:sz w:val="22"/>
                <w:szCs w:val="22"/>
                <w:lang w:eastAsia="en-US"/>
              </w:rPr>
              <w:t>declining elsewhere in Europe. Despite suffering a marked population decline in some EU</w:t>
            </w:r>
            <w:r>
              <w:rPr>
                <w:noProof/>
                <w:sz w:val="22"/>
                <w:szCs w:val="22"/>
              </w:rPr>
              <w:t xml:space="preserve"> </w:t>
            </w:r>
            <w:r>
              <w:rPr>
                <w:rFonts w:eastAsiaTheme="minorHAnsi"/>
                <w:noProof/>
                <w:sz w:val="22"/>
                <w:szCs w:val="22"/>
                <w:lang w:eastAsia="en-US"/>
              </w:rPr>
              <w:t xml:space="preserve">countries, the White-backed Woodpecker </w:t>
            </w:r>
            <w:r>
              <w:rPr>
                <w:rFonts w:eastAsiaTheme="minorHAnsi"/>
                <w:i/>
                <w:iCs/>
                <w:noProof/>
                <w:sz w:val="22"/>
                <w:szCs w:val="22"/>
                <w:lang w:eastAsia="en-US"/>
              </w:rPr>
              <w:t xml:space="preserve">Dendrocopos leucotos, </w:t>
            </w:r>
            <w:r>
              <w:rPr>
                <w:rFonts w:eastAsiaTheme="minorHAnsi"/>
                <w:noProof/>
                <w:sz w:val="22"/>
                <w:szCs w:val="22"/>
                <w:lang w:eastAsia="en-US"/>
              </w:rPr>
              <w:t>which is heavily dependent</w:t>
            </w:r>
            <w:r>
              <w:rPr>
                <w:noProof/>
                <w:sz w:val="22"/>
                <w:szCs w:val="22"/>
              </w:rPr>
              <w:t xml:space="preserve"> </w:t>
            </w:r>
            <w:r>
              <w:rPr>
                <w:rFonts w:eastAsiaTheme="minorHAnsi"/>
                <w:noProof/>
                <w:sz w:val="22"/>
                <w:szCs w:val="22"/>
                <w:lang w:eastAsia="en-US"/>
              </w:rPr>
              <w:t>on old and dead deciduous trees, has increased in Finland, where it has benefited from</w:t>
            </w:r>
            <w:r>
              <w:rPr>
                <w:noProof/>
                <w:sz w:val="22"/>
                <w:szCs w:val="22"/>
              </w:rPr>
              <w:t xml:space="preserve"> </w:t>
            </w:r>
            <w:r>
              <w:rPr>
                <w:rFonts w:eastAsiaTheme="minorHAnsi"/>
                <w:noProof/>
                <w:sz w:val="22"/>
                <w:szCs w:val="22"/>
                <w:lang w:eastAsia="en-US"/>
              </w:rPr>
              <w:t>changing forest management practices in Natura 2000 sites. However, a</w:t>
            </w:r>
            <w:r>
              <w:rPr>
                <w:noProof/>
                <w:sz w:val="22"/>
                <w:szCs w:val="22"/>
              </w:rPr>
              <w:t xml:space="preserve">mong the 17% of the bird species, which are still threatened and the 15% which are near threatened, declining, or depleted, are many common farmland species like the Skylark, </w:t>
            </w:r>
            <w:r>
              <w:rPr>
                <w:i/>
                <w:noProof/>
                <w:sz w:val="22"/>
                <w:szCs w:val="22"/>
              </w:rPr>
              <w:t xml:space="preserve">Alauda arvensis </w:t>
            </w:r>
            <w:r>
              <w:rPr>
                <w:noProof/>
                <w:sz w:val="22"/>
                <w:szCs w:val="22"/>
              </w:rPr>
              <w:t xml:space="preserve"> and the Black Tailed Godwit, </w:t>
            </w:r>
            <w:r>
              <w:rPr>
                <w:i/>
                <w:noProof/>
                <w:sz w:val="22"/>
                <w:szCs w:val="22"/>
              </w:rPr>
              <w:t>Limosa limosa.</w:t>
            </w:r>
          </w:p>
        </w:tc>
      </w:tr>
    </w:tbl>
    <w:p>
      <w:pPr>
        <w:spacing w:line="360" w:lineRule="auto"/>
        <w:rPr>
          <w:noProof/>
          <w:sz w:val="22"/>
          <w:szCs w:val="22"/>
        </w:rPr>
      </w:pPr>
    </w:p>
    <w:p>
      <w:pPr>
        <w:spacing w:line="360" w:lineRule="auto"/>
        <w:ind w:firstLine="0"/>
        <w:rPr>
          <w:noProof/>
          <w:sz w:val="22"/>
          <w:szCs w:val="22"/>
        </w:rPr>
      </w:pPr>
      <w:r>
        <w:rPr>
          <w:noProof/>
          <w:sz w:val="22"/>
          <w:szCs w:val="22"/>
        </w:rPr>
        <w:t>In conclusion, the overall trend for habitats and species is that those that are already favourable/secure remain stable or are improving further. A small proportion of unfavourable/non-secure assessments is improving, and a larger proportion of those previously determined as unfavourable continues to deteriorate.</w:t>
      </w:r>
    </w:p>
    <w:p>
      <w:pPr>
        <w:pStyle w:val="Caption"/>
        <w:keepNext/>
        <w:rPr>
          <w:noProof/>
        </w:rPr>
      </w:pPr>
    </w:p>
    <w:tbl>
      <w:tblPr>
        <w:tblStyle w:val="TableGrid"/>
        <w:tblW w:w="9889" w:type="dxa"/>
        <w:tblLook w:val="04A0" w:firstRow="1" w:lastRow="0" w:firstColumn="1" w:lastColumn="0" w:noHBand="0" w:noVBand="1"/>
      </w:tblPr>
      <w:tblGrid>
        <w:gridCol w:w="9889"/>
      </w:tblGrid>
      <w:tr>
        <w:tc>
          <w:tcPr>
            <w:tcW w:w="9889" w:type="dxa"/>
          </w:tcPr>
          <w:p>
            <w:pPr>
              <w:spacing w:line="360" w:lineRule="auto"/>
              <w:ind w:firstLine="0"/>
              <w:rPr>
                <w:b/>
                <w:noProof/>
                <w:sz w:val="22"/>
                <w:szCs w:val="22"/>
              </w:rPr>
            </w:pPr>
            <w:r>
              <w:rPr>
                <w:b/>
                <w:noProof/>
                <w:sz w:val="22"/>
                <w:szCs w:val="22"/>
              </w:rPr>
              <w:t xml:space="preserve">Box </w:t>
            </w:r>
            <w:r>
              <w:rPr>
                <w:b/>
                <w:noProof/>
                <w:sz w:val="22"/>
                <w:szCs w:val="22"/>
              </w:rPr>
              <w:fldChar w:fldCharType="begin"/>
            </w:r>
            <w:r>
              <w:rPr>
                <w:b/>
                <w:noProof/>
                <w:sz w:val="22"/>
                <w:szCs w:val="22"/>
              </w:rPr>
              <w:instrText xml:space="preserve"> SEQ Box \* ARABIC </w:instrText>
            </w:r>
            <w:r>
              <w:rPr>
                <w:b/>
                <w:noProof/>
                <w:sz w:val="22"/>
                <w:szCs w:val="22"/>
              </w:rPr>
              <w:fldChar w:fldCharType="separate"/>
            </w:r>
            <w:r>
              <w:rPr>
                <w:b/>
                <w:noProof/>
                <w:sz w:val="22"/>
                <w:szCs w:val="22"/>
              </w:rPr>
              <w:t>5</w:t>
            </w:r>
            <w:r>
              <w:rPr>
                <w:b/>
                <w:noProof/>
                <w:sz w:val="22"/>
                <w:szCs w:val="22"/>
              </w:rPr>
              <w:fldChar w:fldCharType="end"/>
            </w:r>
            <w:r>
              <w:rPr>
                <w:b/>
                <w:noProof/>
                <w:sz w:val="22"/>
                <w:szCs w:val="22"/>
              </w:rPr>
              <w:t>: Marine habitats and species – knowledge is growing, but still many gaps</w:t>
            </w:r>
          </w:p>
          <w:p>
            <w:pPr>
              <w:suppressAutoHyphens w:val="0"/>
              <w:autoSpaceDE w:val="0"/>
              <w:autoSpaceDN w:val="0"/>
              <w:adjustRightInd w:val="0"/>
              <w:spacing w:line="360" w:lineRule="auto"/>
              <w:ind w:firstLine="0"/>
              <w:rPr>
                <w:noProof/>
                <w:sz w:val="22"/>
                <w:szCs w:val="22"/>
              </w:rPr>
            </w:pPr>
            <w:r>
              <w:rPr>
                <w:rFonts w:eastAsiaTheme="minorHAnsi"/>
                <w:noProof/>
                <w:sz w:val="22"/>
                <w:szCs w:val="22"/>
                <w:lang w:eastAsia="en-US"/>
              </w:rPr>
              <w:t xml:space="preserve">Due to the complexity of working in the marine environment and the relative lack of data as compared to terrestrial species and habitats, conservation status and trends vary considerably and assessment results are less conclusive. The main pressures are the impact of fisheries by-catch and marine pollution.  Measures aimed at better and more sensitive management of sites and prohibiting damaging activities are being developed and can translate into rapid improvements. In Ireland for example, the recent positive trend in conservation status of the alga Maerl </w:t>
            </w:r>
            <w:r>
              <w:rPr>
                <w:rFonts w:eastAsiaTheme="minorHAnsi"/>
                <w:i/>
                <w:iCs/>
                <w:noProof/>
                <w:sz w:val="22"/>
                <w:szCs w:val="22"/>
                <w:lang w:eastAsia="en-US"/>
              </w:rPr>
              <w:t xml:space="preserve">Lithothamnium coralloides </w:t>
            </w:r>
            <w:r>
              <w:rPr>
                <w:rFonts w:eastAsiaTheme="minorHAnsi"/>
                <w:noProof/>
                <w:sz w:val="22"/>
                <w:szCs w:val="22"/>
                <w:lang w:eastAsia="en-US"/>
              </w:rPr>
              <w:t xml:space="preserve">is linked to the protection regime of the Habitats Directive. Some threatened seabirds have also benefited from conservation measures in the Natura network: The Roseate Tern </w:t>
            </w:r>
            <w:r>
              <w:rPr>
                <w:rFonts w:eastAsiaTheme="minorHAnsi"/>
                <w:i/>
                <w:iCs/>
                <w:noProof/>
                <w:sz w:val="22"/>
                <w:szCs w:val="22"/>
                <w:lang w:eastAsia="en-US"/>
              </w:rPr>
              <w:t xml:space="preserve">Sterna dougalli </w:t>
            </w:r>
            <w:r>
              <w:rPr>
                <w:rFonts w:eastAsiaTheme="minorHAnsi"/>
                <w:noProof/>
                <w:sz w:val="22"/>
                <w:szCs w:val="22"/>
                <w:lang w:eastAsia="en-US"/>
              </w:rPr>
              <w:t>population has significantly increased in the EU thanks to the protection and management of breeding sites, including the control of predators.</w:t>
            </w:r>
          </w:p>
        </w:tc>
      </w:tr>
    </w:tbl>
    <w:p>
      <w:pPr>
        <w:keepNext/>
        <w:spacing w:line="360" w:lineRule="auto"/>
        <w:rPr>
          <w:b/>
          <w:noProof/>
          <w:sz w:val="22"/>
          <w:szCs w:val="22"/>
        </w:rPr>
      </w:pPr>
    </w:p>
    <w:p>
      <w:pPr>
        <w:pStyle w:val="Heading3"/>
        <w:numPr>
          <w:ilvl w:val="0"/>
          <w:numId w:val="0"/>
        </w:numPr>
        <w:rPr>
          <w:noProof/>
          <w:color w:val="000000"/>
        </w:rPr>
      </w:pPr>
      <w:bookmarkStart w:id="47" w:name="_Toc426295980"/>
      <w:r>
        <w:rPr>
          <w:noProof/>
        </w:rPr>
        <w:t>PROGRESS IN IMPLEMENTING ACTIONS</w:t>
      </w:r>
      <w:bookmarkEnd w:id="47"/>
      <w:r>
        <w:rPr>
          <w:noProof/>
        </w:rPr>
        <w:t xml:space="preserve"> </w:t>
      </w:r>
    </w:p>
    <w:p>
      <w:pPr>
        <w:spacing w:line="360" w:lineRule="auto"/>
        <w:rPr>
          <w:i/>
          <w:noProof/>
          <w:color w:val="000000"/>
          <w:sz w:val="22"/>
          <w:szCs w:val="22"/>
        </w:rPr>
      </w:pPr>
    </w:p>
    <w:p>
      <w:pPr>
        <w:keepNext/>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noProof/>
          <w:color w:val="000000"/>
          <w:sz w:val="22"/>
          <w:szCs w:val="22"/>
        </w:rPr>
      </w:pPr>
      <w:r>
        <w:rPr>
          <w:noProof/>
          <w:sz w:val="22"/>
          <w:szCs w:val="22"/>
        </w:rPr>
        <w:t>1a) Member States and the Commission will ensure that the phase to establish Natura 2000, including in the marine environment, is largely complete by 2012.</w:t>
      </w:r>
    </w:p>
    <w:p>
      <w:pPr>
        <w:spacing w:line="360" w:lineRule="auto"/>
        <w:rPr>
          <w:noProof/>
          <w:sz w:val="22"/>
          <w:szCs w:val="22"/>
        </w:rPr>
      </w:pPr>
    </w:p>
    <w:p>
      <w:pPr>
        <w:spacing w:line="360" w:lineRule="auto"/>
        <w:rPr>
          <w:rFonts w:eastAsia="Calibri"/>
          <w:noProof/>
          <w:sz w:val="22"/>
          <w:szCs w:val="22"/>
        </w:rPr>
      </w:pPr>
      <w:r>
        <w:rPr>
          <w:noProof/>
          <w:sz w:val="22"/>
          <w:szCs w:val="22"/>
        </w:rPr>
        <w:t>Within the legal framework provided by the Birds and Habitats Directives,</w:t>
      </w:r>
      <w:r>
        <w:rPr>
          <w:rStyle w:val="FootnoteReference"/>
          <w:noProof/>
          <w:color w:val="000000"/>
          <w:sz w:val="22"/>
          <w:szCs w:val="22"/>
        </w:rPr>
        <w:footnoteReference w:id="29"/>
      </w:r>
      <w:r>
        <w:rPr>
          <w:noProof/>
          <w:sz w:val="22"/>
          <w:szCs w:val="22"/>
        </w:rPr>
        <w:t xml:space="preserve"> the EU has built up a vast network of more than 27 000 protected areas throughout its Member States, encompassing nine biogeographical regions and five marine regions. Known as </w:t>
      </w:r>
      <w:r>
        <w:rPr>
          <w:b/>
          <w:noProof/>
          <w:sz w:val="22"/>
          <w:szCs w:val="22"/>
        </w:rPr>
        <w:t>Natura 2000</w:t>
      </w:r>
      <w:r>
        <w:rPr>
          <w:noProof/>
          <w:sz w:val="22"/>
          <w:szCs w:val="22"/>
        </w:rPr>
        <w:t>, the network covers an area of 1.292.000 km</w:t>
      </w:r>
      <w:r>
        <w:rPr>
          <w:noProof/>
          <w:sz w:val="22"/>
          <w:szCs w:val="22"/>
          <w:vertAlign w:val="superscript"/>
        </w:rPr>
        <w:t>2</w:t>
      </w:r>
      <w:r>
        <w:rPr>
          <w:noProof/>
          <w:sz w:val="22"/>
          <w:szCs w:val="22"/>
        </w:rPr>
        <w:t xml:space="preserve">, which is 18% of the EU’s land area and equivalent to the combined area of France, Germany and Italy. </w:t>
      </w:r>
      <w:r>
        <w:rPr>
          <w:rFonts w:eastAsia="Calibri"/>
          <w:noProof/>
          <w:sz w:val="22"/>
          <w:szCs w:val="22"/>
        </w:rPr>
        <w:t>As concerns the designation of Natura 2000 sites in Europe, t</w:t>
      </w:r>
      <w:r>
        <w:rPr>
          <w:noProof/>
          <w:sz w:val="22"/>
          <w:szCs w:val="22"/>
        </w:rPr>
        <w:t>he establishment of Natura 2000 on land is largely complete and since 2011the marine surface area covered by Natura 2000 has increased by 50%, covering more than 4% of European seas.</w:t>
      </w:r>
      <w:r>
        <w:rPr>
          <w:rStyle w:val="FootnoteReference"/>
          <w:noProof/>
          <w:color w:val="000000"/>
          <w:sz w:val="22"/>
          <w:szCs w:val="22"/>
        </w:rPr>
        <w:footnoteReference w:id="30"/>
      </w:r>
      <w:r>
        <w:rPr>
          <w:rFonts w:eastAsia="Calibri"/>
          <w:noProof/>
          <w:sz w:val="22"/>
          <w:szCs w:val="22"/>
        </w:rPr>
        <w:t xml:space="preserve"> </w:t>
      </w:r>
    </w:p>
    <w:p>
      <w:pPr>
        <w:spacing w:line="360" w:lineRule="auto"/>
        <w:rPr>
          <w:rFonts w:eastAsia="Calibri"/>
          <w:noProof/>
          <w:sz w:val="22"/>
          <w:szCs w:val="22"/>
        </w:rPr>
      </w:pPr>
    </w:p>
    <w:p>
      <w:pPr>
        <w:spacing w:line="360" w:lineRule="auto"/>
        <w:ind w:firstLine="0"/>
        <w:rPr>
          <w:rFonts w:eastAsia="Calibri"/>
          <w:b/>
          <w:noProof/>
          <w:sz w:val="22"/>
          <w:szCs w:val="22"/>
        </w:rPr>
      </w:pPr>
      <w:r>
        <w:rPr>
          <w:rFonts w:eastAsia="Calibri"/>
          <w:b/>
          <w:noProof/>
          <w:sz w:val="22"/>
          <w:szCs w:val="22"/>
        </w:rPr>
        <w:t>EU Biogeographical regions</w:t>
      </w:r>
    </w:p>
    <w:p>
      <w:pPr>
        <w:spacing w:line="360" w:lineRule="auto"/>
        <w:ind w:firstLine="0"/>
        <w:rPr>
          <w:rFonts w:eastAsia="Calibri"/>
          <w:noProof/>
          <w:sz w:val="22"/>
          <w:szCs w:val="22"/>
        </w:rPr>
      </w:pPr>
      <w:r>
        <w:rPr>
          <w:rFonts w:eastAsia="Calibri"/>
          <w:noProof/>
          <w:sz w:val="22"/>
          <w:szCs w:val="22"/>
        </w:rPr>
        <w:t>To support the implementation of the Habitats Directive, the European Union is divided into nine terrestrial and five marine biogeographic regions sharing similar ecological conditions. The nine terrestrial regions are the Alpine, Atlantic, Black Sea, Boreal, Continental, Macaronesian, Mediterranean, Pannonian, Steppic regions; the five marine ones are the Marine Atlantic, Marine Baltic, Marine Black Sea, Marine Macaronesian and Marine Mediterranean regions.</w:t>
      </w:r>
    </w:p>
    <w:p>
      <w:pPr>
        <w:spacing w:line="360" w:lineRule="auto"/>
        <w:ind w:firstLine="0"/>
        <w:rPr>
          <w:rFonts w:eastAsia="Calibri"/>
          <w:noProof/>
          <w:sz w:val="22"/>
          <w:szCs w:val="22"/>
        </w:rPr>
      </w:pPr>
    </w:p>
    <w:p>
      <w:pPr>
        <w:pStyle w:val="Caption"/>
        <w:keepNext/>
        <w:jc w:val="center"/>
        <w:rPr>
          <w:noProof/>
          <w:sz w:val="22"/>
          <w:szCs w:val="22"/>
        </w:rPr>
      </w:pPr>
      <w:bookmarkStart w:id="48" w:name="_Toc423600142"/>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11</w:t>
      </w:r>
      <w:r>
        <w:rPr>
          <w:noProof/>
          <w:sz w:val="22"/>
          <w:szCs w:val="22"/>
        </w:rPr>
        <w:fldChar w:fldCharType="end"/>
      </w:r>
      <w:r>
        <w:rPr>
          <w:noProof/>
          <w:sz w:val="22"/>
          <w:szCs w:val="22"/>
        </w:rPr>
        <w:t xml:space="preserve"> – Biogeographical regions in the EU</w:t>
      </w:r>
      <w:bookmarkEnd w:id="48"/>
    </w:p>
    <w:p>
      <w:pPr>
        <w:spacing w:line="360" w:lineRule="auto"/>
        <w:ind w:firstLine="0"/>
        <w:jc w:val="center"/>
        <w:rPr>
          <w:noProof/>
          <w:sz w:val="22"/>
          <w:szCs w:val="22"/>
        </w:rPr>
      </w:pPr>
      <w:r>
        <w:rPr>
          <w:noProof/>
          <w:lang w:val="en-US" w:eastAsia="en-US"/>
        </w:rPr>
        <w:drawing>
          <wp:inline distT="0" distB="0" distL="0" distR="0">
            <wp:extent cx="4324350" cy="3460115"/>
            <wp:effectExtent l="0" t="0" r="0" b="6985"/>
            <wp:docPr id="14" name="Picture 14" descr="http://bd.eionet.europa.eu/activities/Natura_2000/article17/images/Biogeo_and_Marineregions_March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eionet.europa.eu/activities/Natura_2000/article17/images/Biogeo_and_Marineregions_March_2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4350" cy="3460115"/>
                    </a:xfrm>
                    <a:prstGeom prst="rect">
                      <a:avLst/>
                    </a:prstGeom>
                    <a:noFill/>
                    <a:ln>
                      <a:noFill/>
                    </a:ln>
                  </pic:spPr>
                </pic:pic>
              </a:graphicData>
            </a:graphic>
          </wp:inline>
        </w:drawing>
      </w:r>
    </w:p>
    <w:p>
      <w:pPr>
        <w:spacing w:line="360" w:lineRule="auto"/>
        <w:ind w:firstLine="0"/>
        <w:rPr>
          <w:noProof/>
          <w:sz w:val="22"/>
          <w:szCs w:val="22"/>
        </w:rPr>
      </w:pPr>
    </w:p>
    <w:p>
      <w:pPr>
        <w:spacing w:line="360" w:lineRule="auto"/>
        <w:ind w:firstLine="0"/>
        <w:rPr>
          <w:noProof/>
          <w:sz w:val="22"/>
          <w:szCs w:val="22"/>
        </w:rPr>
      </w:pPr>
      <w:r>
        <w:rPr>
          <w:noProof/>
          <w:sz w:val="22"/>
          <w:szCs w:val="22"/>
        </w:rPr>
        <w:t>During the last months of 2014 alone, several Member States submitted substantial updates to their marine Natura 2000 network: Spain proposed 14 new marine sites of Community importance (SCIs) and designated 45 new marine Special Protection Areas (SPAs), altogether covering an area of more than 60.000 km</w:t>
      </w:r>
      <w:r>
        <w:rPr>
          <w:noProof/>
          <w:sz w:val="22"/>
          <w:szCs w:val="22"/>
          <w:vertAlign w:val="superscript"/>
        </w:rPr>
        <w:t>2</w:t>
      </w:r>
      <w:r>
        <w:rPr>
          <w:noProof/>
          <w:sz w:val="22"/>
          <w:szCs w:val="22"/>
        </w:rPr>
        <w:t>;</w:t>
      </w:r>
      <w:r>
        <w:rPr>
          <w:noProof/>
          <w:sz w:val="22"/>
          <w:szCs w:val="22"/>
          <w:vertAlign w:val="superscript"/>
        </w:rPr>
        <w:t xml:space="preserve"> </w:t>
      </w:r>
      <w:r>
        <w:rPr>
          <w:noProof/>
          <w:sz w:val="22"/>
          <w:szCs w:val="22"/>
        </w:rPr>
        <w:t>Ireland has proposed 6 new marine SCIs, covering 3.300</w:t>
      </w:r>
      <w:r>
        <w:rPr>
          <w:b/>
          <w:noProof/>
          <w:sz w:val="22"/>
          <w:szCs w:val="22"/>
        </w:rPr>
        <w:t xml:space="preserve"> </w:t>
      </w:r>
      <w:r>
        <w:rPr>
          <w:noProof/>
          <w:sz w:val="22"/>
          <w:szCs w:val="22"/>
        </w:rPr>
        <w:t>km</w:t>
      </w:r>
      <w:r>
        <w:rPr>
          <w:noProof/>
          <w:sz w:val="22"/>
          <w:szCs w:val="22"/>
          <w:vertAlign w:val="superscript"/>
        </w:rPr>
        <w:t>2</w:t>
      </w:r>
      <w:r>
        <w:rPr>
          <w:noProof/>
          <w:sz w:val="22"/>
          <w:szCs w:val="22"/>
        </w:rPr>
        <w:t>;</w:t>
      </w:r>
      <w:r>
        <w:rPr>
          <w:noProof/>
          <w:sz w:val="22"/>
          <w:szCs w:val="22"/>
          <w:vertAlign w:val="superscript"/>
        </w:rPr>
        <w:t xml:space="preserve"> </w:t>
      </w:r>
      <w:r>
        <w:rPr>
          <w:noProof/>
          <w:sz w:val="22"/>
          <w:szCs w:val="22"/>
        </w:rPr>
        <w:t>Bulgaria has proposed 3 new marine SCIs covering 1.800</w:t>
      </w:r>
      <w:r>
        <w:rPr>
          <w:b/>
          <w:noProof/>
          <w:sz w:val="22"/>
          <w:szCs w:val="22"/>
        </w:rPr>
        <w:t xml:space="preserve"> </w:t>
      </w:r>
      <w:r>
        <w:rPr>
          <w:noProof/>
          <w:sz w:val="22"/>
          <w:szCs w:val="22"/>
        </w:rPr>
        <w:t>km</w:t>
      </w:r>
      <w:r>
        <w:rPr>
          <w:noProof/>
          <w:sz w:val="22"/>
          <w:szCs w:val="22"/>
          <w:vertAlign w:val="superscript"/>
        </w:rPr>
        <w:t>2</w:t>
      </w:r>
      <w:r>
        <w:rPr>
          <w:noProof/>
          <w:sz w:val="22"/>
          <w:szCs w:val="22"/>
        </w:rPr>
        <w:t>; and</w:t>
      </w:r>
      <w:r>
        <w:rPr>
          <w:noProof/>
          <w:sz w:val="22"/>
          <w:szCs w:val="22"/>
          <w:vertAlign w:val="superscript"/>
        </w:rPr>
        <w:t xml:space="preserve"> </w:t>
      </w:r>
      <w:r>
        <w:rPr>
          <w:noProof/>
          <w:sz w:val="22"/>
          <w:szCs w:val="22"/>
        </w:rPr>
        <w:t>Lithuania</w:t>
      </w:r>
      <w:r>
        <w:rPr>
          <w:b/>
          <w:noProof/>
          <w:sz w:val="22"/>
          <w:szCs w:val="22"/>
        </w:rPr>
        <w:t xml:space="preserve"> </w:t>
      </w:r>
      <w:r>
        <w:rPr>
          <w:noProof/>
          <w:sz w:val="22"/>
          <w:szCs w:val="22"/>
        </w:rPr>
        <w:t>added 1 marine SPA, covering 320</w:t>
      </w:r>
      <w:r>
        <w:rPr>
          <w:b/>
          <w:noProof/>
          <w:sz w:val="22"/>
          <w:szCs w:val="22"/>
        </w:rPr>
        <w:t xml:space="preserve"> </w:t>
      </w:r>
      <w:r>
        <w:rPr>
          <w:noProof/>
          <w:sz w:val="22"/>
          <w:szCs w:val="22"/>
        </w:rPr>
        <w:t>km</w:t>
      </w:r>
      <w:r>
        <w:rPr>
          <w:noProof/>
          <w:sz w:val="22"/>
          <w:szCs w:val="22"/>
          <w:vertAlign w:val="superscript"/>
        </w:rPr>
        <w:t>2.</w:t>
      </w:r>
      <w:r>
        <w:rPr>
          <w:noProof/>
          <w:sz w:val="22"/>
          <w:szCs w:val="22"/>
        </w:rPr>
        <w:t xml:space="preserve">. However, the network remains substantially incomplete in most marine regions, especially offshore. </w:t>
      </w:r>
    </w:p>
    <w:p>
      <w:pPr>
        <w:spacing w:line="360" w:lineRule="auto"/>
        <w:rPr>
          <w:noProof/>
          <w:sz w:val="22"/>
          <w:szCs w:val="22"/>
        </w:rPr>
      </w:pPr>
    </w:p>
    <w:p>
      <w:pPr>
        <w:spacing w:line="360" w:lineRule="auto"/>
        <w:rPr>
          <w:noProof/>
          <w:sz w:val="22"/>
          <w:szCs w:val="22"/>
        </w:rPr>
      </w:pPr>
      <w:r>
        <w:rPr>
          <w:noProof/>
          <w:sz w:val="22"/>
          <w:szCs w:val="22"/>
        </w:rPr>
        <w:t>Most member States are behind schedule in designating within 6 years under national law their Sites of Community Importance (SCI) as Special Areas of Conservation (SAC) and establishing management plans or equivalent instruments with clear conservation and restoration objectives and measures (see also action 1c). This step is crucial in order to put in place all necessary measures and ensure full legal protection. Important delays and gaps occurred in many Member States and several had not designated any SACs by the end of 2012</w:t>
      </w:r>
      <w:r>
        <w:rPr>
          <w:rStyle w:val="Caractresdenotedebasdepage"/>
          <w:noProof/>
          <w:sz w:val="22"/>
          <w:szCs w:val="22"/>
        </w:rPr>
        <w:footnoteReference w:id="31"/>
      </w:r>
      <w:r>
        <w:rPr>
          <w:noProof/>
          <w:sz w:val="22"/>
          <w:szCs w:val="22"/>
        </w:rPr>
        <w:t>.  An overview of the state of play for Natura 2000 site designations under the Birds</w:t>
      </w:r>
      <w:r>
        <w:rPr>
          <w:rStyle w:val="FootnoteReference"/>
          <w:noProof/>
          <w:color w:val="000000"/>
          <w:sz w:val="22"/>
          <w:szCs w:val="22"/>
        </w:rPr>
        <w:footnoteReference w:id="32"/>
      </w:r>
      <w:r>
        <w:rPr>
          <w:noProof/>
          <w:sz w:val="22"/>
          <w:szCs w:val="22"/>
        </w:rPr>
        <w:t xml:space="preserve"> and Habitats</w:t>
      </w:r>
      <w:r>
        <w:rPr>
          <w:rStyle w:val="FootnoteReference"/>
          <w:noProof/>
          <w:color w:val="000000"/>
          <w:sz w:val="22"/>
          <w:szCs w:val="22"/>
        </w:rPr>
        <w:footnoteReference w:id="33"/>
      </w:r>
      <w:r>
        <w:rPr>
          <w:noProof/>
          <w:sz w:val="22"/>
          <w:szCs w:val="22"/>
        </w:rPr>
        <w:t xml:space="preserve"> Directives, in terms of area and number of sites, is provided in the barometer, which provides a breakdown by Member State and differentiates between terrestrial and marine sites. Updated information about remaining insufficiencies for each Member State, as regards sites to be proposed under the Habitats Directive, can be found online</w:t>
      </w:r>
      <w:r>
        <w:rPr>
          <w:rStyle w:val="Caractresdenotedebasdepage"/>
          <w:noProof/>
          <w:color w:val="000000"/>
          <w:sz w:val="22"/>
          <w:szCs w:val="22"/>
        </w:rPr>
        <w:footnoteReference w:id="34"/>
      </w:r>
      <w:r>
        <w:rPr>
          <w:noProof/>
          <w:sz w:val="22"/>
          <w:szCs w:val="22"/>
        </w:rPr>
        <w:t>.</w:t>
      </w:r>
    </w:p>
    <w:p>
      <w:pPr>
        <w:pStyle w:val="Caption"/>
        <w:keepNext/>
        <w:jc w:val="left"/>
        <w:rPr>
          <w:noProof/>
          <w:sz w:val="22"/>
          <w:szCs w:val="22"/>
        </w:rPr>
      </w:pPr>
      <w:bookmarkStart w:id="49" w:name="_Toc423600143"/>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12</w:t>
      </w:r>
      <w:r>
        <w:rPr>
          <w:noProof/>
          <w:sz w:val="22"/>
          <w:szCs w:val="22"/>
        </w:rPr>
        <w:fldChar w:fldCharType="end"/>
      </w:r>
      <w:r>
        <w:rPr>
          <w:noProof/>
          <w:sz w:val="22"/>
          <w:szCs w:val="22"/>
        </w:rPr>
        <w:t xml:space="preserve"> - Progress in designation of Natura 2000 sites (terrestrial and marine) since 2010 and compared to global Aichi Target 11 of at least 17% of terrestrial (and inland water) areas and 10% of marine areas (and coastal) are conserved by 2020 (EC, May 2015)</w:t>
      </w:r>
      <w:bookmarkEnd w:id="49"/>
    </w:p>
    <w:p>
      <w:pPr>
        <w:spacing w:line="360" w:lineRule="auto"/>
        <w:rPr>
          <w:rFonts w:eastAsia="Calibri"/>
          <w:noProof/>
          <w:sz w:val="22"/>
          <w:szCs w:val="22"/>
        </w:rPr>
      </w:pPr>
    </w:p>
    <w:tbl>
      <w:tblPr>
        <w:tblStyle w:val="TableGrid"/>
        <w:tblW w:w="0" w:type="auto"/>
        <w:tblLook w:val="04A0" w:firstRow="1" w:lastRow="0" w:firstColumn="1" w:lastColumn="0" w:noHBand="0" w:noVBand="1"/>
      </w:tblPr>
      <w:tblGrid>
        <w:gridCol w:w="4927"/>
        <w:gridCol w:w="4927"/>
      </w:tblGrid>
      <w:tr>
        <w:tc>
          <w:tcPr>
            <w:tcW w:w="4927" w:type="dxa"/>
          </w:tcPr>
          <w:p>
            <w:pPr>
              <w:spacing w:line="360" w:lineRule="auto"/>
              <w:rPr>
                <w:rFonts w:eastAsia="Calibri"/>
                <w:noProof/>
                <w:sz w:val="22"/>
                <w:szCs w:val="22"/>
              </w:rPr>
            </w:pPr>
            <w:r>
              <w:rPr>
                <w:rFonts w:eastAsia="Calibri"/>
                <w:noProof/>
                <w:sz w:val="22"/>
                <w:szCs w:val="22"/>
              </w:rPr>
              <w:t>Marine (and coastal) Natura 2000 sites</w:t>
            </w:r>
          </w:p>
        </w:tc>
        <w:tc>
          <w:tcPr>
            <w:tcW w:w="4927" w:type="dxa"/>
          </w:tcPr>
          <w:p>
            <w:pPr>
              <w:spacing w:line="360" w:lineRule="auto"/>
              <w:rPr>
                <w:rFonts w:eastAsia="Calibri"/>
                <w:noProof/>
                <w:sz w:val="22"/>
                <w:szCs w:val="22"/>
              </w:rPr>
            </w:pPr>
            <w:r>
              <w:rPr>
                <w:rFonts w:eastAsia="Calibri"/>
                <w:noProof/>
                <w:sz w:val="22"/>
                <w:szCs w:val="22"/>
              </w:rPr>
              <w:t>Terrestrial (and freshwater) Natura 2000 sites</w:t>
            </w:r>
          </w:p>
        </w:tc>
      </w:tr>
    </w:tbl>
    <w:p>
      <w:pPr>
        <w:spacing w:line="360" w:lineRule="auto"/>
        <w:rPr>
          <w:noProof/>
        </w:rPr>
      </w:pPr>
      <w:r>
        <w:rPr>
          <w:noProof/>
          <w:lang w:val="en-US" w:eastAsia="en-US"/>
        </w:rPr>
        <w:drawing>
          <wp:inline distT="0" distB="0" distL="0" distR="0">
            <wp:extent cx="2847975" cy="2667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color w:val="000000"/>
          <w:sz w:val="22"/>
          <w:szCs w:val="22"/>
          <w:lang w:val="en-US" w:eastAsia="en-US"/>
        </w:rPr>
        <w:drawing>
          <wp:anchor distT="0" distB="0" distL="114300" distR="114300" simplePos="0" relativeHeight="251706880" behindDoc="0" locked="0" layoutInCell="1" allowOverlap="1">
            <wp:simplePos x="0" y="0"/>
            <wp:positionH relativeFrom="column">
              <wp:posOffset>3337560</wp:posOffset>
            </wp:positionH>
            <wp:positionV relativeFrom="paragraph">
              <wp:posOffset>81280</wp:posOffset>
            </wp:positionV>
            <wp:extent cx="2743200" cy="2390140"/>
            <wp:effectExtent l="0" t="0" r="0" b="0"/>
            <wp:wrapSquare wrapText="bothSides"/>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2390140"/>
                    </a:xfrm>
                    <a:prstGeom prst="rect">
                      <a:avLst/>
                    </a:prstGeom>
                  </pic:spPr>
                </pic:pic>
              </a:graphicData>
            </a:graphic>
            <wp14:sizeRelH relativeFrom="page">
              <wp14:pctWidth>0</wp14:pctWidth>
            </wp14:sizeRelH>
            <wp14:sizeRelV relativeFrom="page">
              <wp14:pctHeight>0</wp14:pctHeight>
            </wp14:sizeRelV>
          </wp:anchor>
        </w:drawing>
      </w:r>
    </w:p>
    <w:p>
      <w:pPr>
        <w:spacing w:line="360" w:lineRule="auto"/>
        <w:rPr>
          <w:noProof/>
          <w:color w:val="000000"/>
          <w:sz w:val="22"/>
          <w:szCs w:val="22"/>
        </w:rPr>
      </w:pPr>
    </w:p>
    <w:p>
      <w:pPr>
        <w:spacing w:line="360" w:lineRule="auto"/>
        <w:rPr>
          <w:noProof/>
          <w:color w:val="000000"/>
          <w:sz w:val="22"/>
          <w:szCs w:val="22"/>
        </w:rPr>
      </w:pPr>
      <w:r>
        <w:rPr>
          <w:rFonts w:eastAsia="Calibri"/>
          <w:noProof/>
          <w:sz w:val="22"/>
          <w:szCs w:val="22"/>
        </w:rPr>
        <w:t xml:space="preserve">The focus is now turning to the development and implementation of species action plans and Natura 2000 site management plans (see action 1c).  </w:t>
      </w:r>
    </w:p>
    <w:p>
      <w:pPr>
        <w:spacing w:line="360" w:lineRule="auto"/>
        <w:ind w:firstLine="0"/>
        <w:rPr>
          <w:noProof/>
          <w:color w:val="000000"/>
          <w:sz w:val="22"/>
          <w:szCs w:val="22"/>
        </w:rPr>
      </w:pPr>
    </w:p>
    <w:p>
      <w:pPr>
        <w:pBdr>
          <w:top w:val="single" w:sz="4" w:space="1" w:color="000000"/>
          <w:left w:val="single" w:sz="4" w:space="4" w:color="000000"/>
          <w:bottom w:val="single" w:sz="4" w:space="1" w:color="000000"/>
          <w:right w:val="single" w:sz="4" w:space="0" w:color="000000"/>
        </w:pBdr>
        <w:shd w:val="clear" w:color="auto" w:fill="D0CECE" w:themeFill="background2" w:themeFillShade="E6"/>
        <w:spacing w:line="360" w:lineRule="auto"/>
        <w:rPr>
          <w:noProof/>
          <w:color w:val="000000"/>
          <w:sz w:val="22"/>
          <w:szCs w:val="22"/>
        </w:rPr>
      </w:pPr>
      <w:r>
        <w:rPr>
          <w:noProof/>
          <w:sz w:val="22"/>
          <w:szCs w:val="22"/>
        </w:rPr>
        <w:t>1b) Member States and the Commission will further integrate species and habitats protection and management requirements into key land and water use policies, both within and beyond Natura 2000 areas.</w:t>
      </w:r>
    </w:p>
    <w:p>
      <w:pPr>
        <w:spacing w:line="360" w:lineRule="auto"/>
        <w:ind w:firstLine="3"/>
        <w:rPr>
          <w:noProof/>
          <w:color w:val="000000"/>
          <w:sz w:val="22"/>
          <w:szCs w:val="22"/>
        </w:rPr>
      </w:pPr>
    </w:p>
    <w:p>
      <w:pPr>
        <w:spacing w:line="360" w:lineRule="auto"/>
        <w:rPr>
          <w:noProof/>
          <w:sz w:val="22"/>
          <w:szCs w:val="22"/>
        </w:rPr>
      </w:pPr>
      <w:r>
        <w:rPr>
          <w:noProof/>
          <w:sz w:val="22"/>
          <w:szCs w:val="22"/>
        </w:rPr>
        <w:t>At EU level, species action plans have been developed for species covered by the Habitats Directive as well as under the Bird Directive for a number of bird species (including updating older action plans). Action to tackle illegal killing of birds at EU level has been enhanced, namely by developing an EU roadmap for eliminating illegal practices.</w:t>
      </w:r>
      <w:r>
        <w:rPr>
          <w:rFonts w:eastAsia="Calibri"/>
          <w:noProof/>
          <w:sz w:val="22"/>
          <w:szCs w:val="24"/>
        </w:rPr>
        <w:t xml:space="preserve"> Since 2011, the Commission has also developed additional </w:t>
      </w:r>
      <w:r>
        <w:rPr>
          <w:noProof/>
          <w:sz w:val="22"/>
          <w:szCs w:val="22"/>
        </w:rPr>
        <w:t xml:space="preserve">guidance on integrating species and habitats protection and management requirements into key sectors (see action 3b). </w:t>
      </w:r>
    </w:p>
    <w:p>
      <w:pPr>
        <w:spacing w:line="360" w:lineRule="auto"/>
        <w:rPr>
          <w:noProof/>
          <w:sz w:val="22"/>
          <w:szCs w:val="22"/>
        </w:rPr>
      </w:pPr>
    </w:p>
    <w:p>
      <w:pPr>
        <w:spacing w:line="360" w:lineRule="auto"/>
        <w:rPr>
          <w:noProof/>
          <w:sz w:val="22"/>
          <w:szCs w:val="22"/>
        </w:rPr>
      </w:pPr>
      <w:r>
        <w:rPr>
          <w:noProof/>
          <w:sz w:val="22"/>
          <w:szCs w:val="22"/>
        </w:rPr>
        <w:t>The integration of nature protection considerations in the Common Fisheries Policy (CFP) and the Common Agricultural Policy (CAP) was strengthened through their reform (see also Targets 3 and 4).</w:t>
      </w:r>
    </w:p>
    <w:p>
      <w:pPr>
        <w:spacing w:line="360" w:lineRule="auto"/>
        <w:rPr>
          <w:noProof/>
          <w:sz w:val="22"/>
          <w:szCs w:val="22"/>
        </w:rPr>
      </w:pPr>
    </w:p>
    <w:p>
      <w:pPr>
        <w:pStyle w:val="Caption"/>
        <w:keepNext/>
        <w:spacing w:line="360" w:lineRule="auto"/>
        <w:jc w:val="center"/>
        <w:rPr>
          <w:noProof/>
          <w:sz w:val="22"/>
          <w:szCs w:val="22"/>
        </w:rPr>
      </w:pPr>
      <w:bookmarkStart w:id="50" w:name="_Toc422819455"/>
      <w:bookmarkStart w:id="51" w:name="_Toc423600144"/>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13</w:t>
      </w:r>
      <w:r>
        <w:rPr>
          <w:noProof/>
          <w:sz w:val="22"/>
          <w:szCs w:val="22"/>
        </w:rPr>
        <w:fldChar w:fldCharType="end"/>
      </w:r>
      <w:r>
        <w:rPr>
          <w:noProof/>
          <w:sz w:val="22"/>
          <w:szCs w:val="22"/>
        </w:rPr>
        <w:t xml:space="preserve"> - Illustrating the proportion (%) of SCIs that have been designated as SACs, by Member State</w:t>
      </w:r>
      <w:r>
        <w:rPr>
          <w:noProof/>
          <w:sz w:val="22"/>
          <w:szCs w:val="22"/>
          <w:vertAlign w:val="superscript"/>
        </w:rPr>
        <w:footnoteReference w:id="35"/>
      </w:r>
      <w:bookmarkEnd w:id="50"/>
      <w:bookmarkEnd w:id="51"/>
    </w:p>
    <w:p>
      <w:pPr>
        <w:autoSpaceDE w:val="0"/>
        <w:spacing w:line="360" w:lineRule="auto"/>
        <w:ind w:firstLine="0"/>
        <w:jc w:val="center"/>
        <w:rPr>
          <w:i/>
          <w:noProof/>
          <w:sz w:val="22"/>
          <w:szCs w:val="22"/>
        </w:rPr>
      </w:pPr>
      <w:r>
        <w:rPr>
          <w:i/>
          <w:noProof/>
          <w:sz w:val="22"/>
          <w:szCs w:val="22"/>
          <w:lang w:val="en-US" w:eastAsia="en-US"/>
        </w:rPr>
        <w:drawing>
          <wp:inline distT="0" distB="0" distL="0" distR="0">
            <wp:extent cx="4403306" cy="355282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2110" cy="3559929"/>
                    </a:xfrm>
                    <a:prstGeom prst="rect">
                      <a:avLst/>
                    </a:prstGeom>
                    <a:noFill/>
                    <a:ln>
                      <a:noFill/>
                    </a:ln>
                  </pic:spPr>
                </pic:pic>
              </a:graphicData>
            </a:graphic>
          </wp:inline>
        </w:drawing>
      </w:r>
    </w:p>
    <w:p>
      <w:pPr>
        <w:autoSpaceDE w:val="0"/>
        <w:spacing w:line="360" w:lineRule="auto"/>
        <w:ind w:firstLine="0"/>
        <w:jc w:val="center"/>
        <w:rPr>
          <w:i/>
          <w:noProof/>
          <w:sz w:val="22"/>
          <w:szCs w:val="22"/>
        </w:rPr>
      </w:pPr>
    </w:p>
    <w:p>
      <w:pPr>
        <w:autoSpaceDE w:val="0"/>
        <w:spacing w:line="360" w:lineRule="auto"/>
        <w:ind w:firstLine="0"/>
        <w:jc w:val="center"/>
        <w:rPr>
          <w:i/>
          <w:noProof/>
          <w:sz w:val="22"/>
          <w:szCs w:val="22"/>
        </w:rPr>
      </w:pPr>
    </w:p>
    <w:p>
      <w:pPr>
        <w:autoSpaceDE w:val="0"/>
        <w:spacing w:line="360" w:lineRule="auto"/>
        <w:ind w:firstLine="0"/>
        <w:jc w:val="center"/>
        <w:rPr>
          <w:i/>
          <w:noProof/>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i/>
          <w:noProof/>
          <w:sz w:val="22"/>
          <w:szCs w:val="22"/>
        </w:rPr>
      </w:pPr>
      <w:r>
        <w:rPr>
          <w:noProof/>
          <w:sz w:val="22"/>
          <w:szCs w:val="22"/>
        </w:rPr>
        <w:t>1c) Member States will ensure that management plans or equivalent instruments which set out conservation and restoration measures are developed and implemented in a timely manner for all Natura 2000 sites.</w:t>
      </w:r>
    </w:p>
    <w:p>
      <w:pPr>
        <w:autoSpaceDE w:val="0"/>
        <w:spacing w:before="120" w:after="120" w:line="360" w:lineRule="auto"/>
        <w:rPr>
          <w:noProof/>
          <w:sz w:val="22"/>
          <w:szCs w:val="22"/>
        </w:rPr>
      </w:pPr>
      <w:r>
        <w:rPr>
          <w:i/>
          <w:noProof/>
          <w:sz w:val="22"/>
          <w:szCs w:val="22"/>
        </w:rPr>
        <w:t>Management plans</w:t>
      </w:r>
    </w:p>
    <w:p>
      <w:pPr>
        <w:spacing w:line="360" w:lineRule="auto"/>
        <w:rPr>
          <w:noProof/>
          <w:sz w:val="22"/>
          <w:szCs w:val="22"/>
        </w:rPr>
      </w:pPr>
      <w:r>
        <w:rPr>
          <w:noProof/>
          <w:sz w:val="22"/>
          <w:szCs w:val="22"/>
        </w:rPr>
        <w:t>Although not obligatory under the nature directives, management plans are strongly recommended by the European Commission, and are even obligatory under national legislation in some countries (e.g. Denmark, France, Netherlands and a number of German Länder). In 2012, the total number of sites with plans under the Habitats Directive for the EU-27 was 9271, with an additional 4229 plans under preparation. For birds, about 30% of Special Protection Areas have management plans with a further 25% in preparation. Overall, in 2012 across the entire Natura 2000 network, 58% of sites either had management plans or such plans were being developed. At Member State level the situation is diverse ranging from Slovenia with 100% of sites under comprehensive management plans to others that have no plans at all</w:t>
      </w:r>
      <w:r>
        <w:rPr>
          <w:rStyle w:val="Caractresdenotedebasdepage"/>
          <w:noProof/>
          <w:sz w:val="22"/>
          <w:szCs w:val="22"/>
        </w:rPr>
        <w:footnoteReference w:id="36"/>
      </w:r>
      <w:r>
        <w:rPr>
          <w:noProof/>
          <w:sz w:val="22"/>
          <w:szCs w:val="22"/>
        </w:rPr>
        <w:t>.</w:t>
      </w:r>
    </w:p>
    <w:p>
      <w:pPr>
        <w:spacing w:line="360" w:lineRule="auto"/>
        <w:rPr>
          <w:i/>
          <w:noProof/>
          <w:sz w:val="22"/>
          <w:szCs w:val="22"/>
        </w:rPr>
      </w:pPr>
    </w:p>
    <w:p>
      <w:pPr>
        <w:spacing w:line="360" w:lineRule="auto"/>
        <w:rPr>
          <w:noProof/>
          <w:sz w:val="22"/>
          <w:szCs w:val="22"/>
        </w:rPr>
      </w:pPr>
      <w:r>
        <w:rPr>
          <w:i/>
          <w:noProof/>
          <w:sz w:val="22"/>
          <w:szCs w:val="22"/>
        </w:rPr>
        <w:t>Conservation and restoration measures</w:t>
      </w:r>
    </w:p>
    <w:p>
      <w:pPr>
        <w:spacing w:line="360" w:lineRule="auto"/>
        <w:rPr>
          <w:b/>
          <w:noProof/>
          <w:sz w:val="22"/>
          <w:szCs w:val="22"/>
        </w:rPr>
      </w:pPr>
      <w:r>
        <w:rPr>
          <w:noProof/>
          <w:sz w:val="22"/>
          <w:szCs w:val="22"/>
        </w:rPr>
        <w:t>As the responsibility for managing Natura 2000 sites lies with the countries and regions concerned, Member States are required to draw up the necessary conservation measures designed for each site, including restoration measures. Member States were asked to report on conservation measures implemented for each species and habitat type. Measures related to ‘Spatial planning’ (such as establish protected areas, legal protection of habitats and species), dominate the reported conservation measures. Further significant categories include measures related to wetland, freshwater and coastal habitats (e.g. "Restoring/improving the hydrological regime"), agriculture (e.g. "maintaining grasslands and other open habitats") as well as forests and wooded habitats.</w:t>
      </w:r>
      <w:r>
        <w:rPr>
          <w:b/>
          <w:noProof/>
          <w:sz w:val="22"/>
          <w:szCs w:val="22"/>
        </w:rPr>
        <w:t xml:space="preserve"> </w:t>
      </w:r>
    </w:p>
    <w:p>
      <w:pPr>
        <w:spacing w:line="360" w:lineRule="auto"/>
        <w:rPr>
          <w:b/>
          <w:noProof/>
          <w:sz w:val="22"/>
          <w:szCs w:val="22"/>
        </w:rPr>
      </w:pPr>
    </w:p>
    <w:p>
      <w:pPr>
        <w:spacing w:line="360" w:lineRule="auto"/>
        <w:rPr>
          <w:noProof/>
          <w:sz w:val="22"/>
          <w:szCs w:val="22"/>
        </w:rPr>
      </w:pPr>
      <w:r>
        <w:rPr>
          <w:noProof/>
          <w:sz w:val="22"/>
          <w:szCs w:val="22"/>
        </w:rPr>
        <w:t>Member States were also asked in their reporting to evaluate the impact of the conservation measures. Results suggest that conservation measures, which in some sites have only started recently, might achieve their goals only in the middle to long term.</w:t>
      </w:r>
    </w:p>
    <w:p>
      <w:pPr>
        <w:pStyle w:val="Caption"/>
        <w:keepNext/>
        <w:spacing w:line="360" w:lineRule="auto"/>
        <w:jc w:val="center"/>
        <w:rPr>
          <w:noProof/>
          <w:sz w:val="22"/>
          <w:szCs w:val="22"/>
        </w:rPr>
      </w:pPr>
      <w:bookmarkStart w:id="52" w:name="_Toc422819456"/>
      <w:bookmarkStart w:id="53" w:name="_Toc423600145"/>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14</w:t>
      </w:r>
      <w:r>
        <w:rPr>
          <w:noProof/>
          <w:sz w:val="22"/>
          <w:szCs w:val="22"/>
        </w:rPr>
        <w:fldChar w:fldCharType="end"/>
      </w:r>
      <w:r>
        <w:rPr>
          <w:noProof/>
          <w:sz w:val="22"/>
          <w:szCs w:val="22"/>
        </w:rPr>
        <w:t xml:space="preserve"> - Conservation measures taken for habitats and species reported by MS as highly important</w:t>
      </w:r>
      <w:r>
        <w:rPr>
          <w:noProof/>
          <w:sz w:val="22"/>
          <w:szCs w:val="22"/>
          <w:vertAlign w:val="superscript"/>
        </w:rPr>
        <w:footnoteReference w:id="37"/>
      </w:r>
      <w:bookmarkEnd w:id="52"/>
      <w:bookmarkEnd w:id="53"/>
    </w:p>
    <w:p>
      <w:pPr>
        <w:spacing w:line="360" w:lineRule="auto"/>
        <w:ind w:firstLine="0"/>
        <w:rPr>
          <w:b/>
          <w:noProof/>
          <w:sz w:val="22"/>
          <w:szCs w:val="22"/>
        </w:rPr>
      </w:pPr>
      <w:r>
        <w:rPr>
          <w:b/>
          <w:noProof/>
          <w:sz w:val="22"/>
          <w:szCs w:val="22"/>
          <w:lang w:val="en-US" w:eastAsia="en-US"/>
        </w:rPr>
        <w:drawing>
          <wp:inline distT="0" distB="0" distL="0" distR="0">
            <wp:extent cx="5943600" cy="29070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907030"/>
                    </a:xfrm>
                    <a:prstGeom prst="rect">
                      <a:avLst/>
                    </a:prstGeom>
                  </pic:spPr>
                </pic:pic>
              </a:graphicData>
            </a:graphic>
          </wp:inline>
        </w:drawing>
      </w:r>
    </w:p>
    <w:p>
      <w:pPr>
        <w:spacing w:line="360" w:lineRule="auto"/>
        <w:ind w:firstLine="0"/>
        <w:rPr>
          <w:noProof/>
          <w:sz w:val="20"/>
        </w:rPr>
      </w:pPr>
      <w:r>
        <w:rPr>
          <w:noProof/>
          <w:sz w:val="20"/>
        </w:rPr>
        <w:t>Source: EEA</w:t>
      </w:r>
    </w:p>
    <w:p>
      <w:pPr>
        <w:pBdr>
          <w:top w:val="single" w:sz="4" w:space="1" w:color="000000"/>
          <w:left w:val="single" w:sz="4" w:space="4" w:color="000000"/>
          <w:bottom w:val="single" w:sz="4" w:space="1" w:color="000000"/>
          <w:right w:val="single" w:sz="4" w:space="4" w:color="000000"/>
        </w:pBdr>
        <w:spacing w:line="360" w:lineRule="auto"/>
        <w:rPr>
          <w:noProof/>
          <w:sz w:val="22"/>
          <w:szCs w:val="22"/>
        </w:rPr>
      </w:pPr>
      <w:r>
        <w:rPr>
          <w:noProof/>
          <w:sz w:val="22"/>
          <w:szCs w:val="22"/>
        </w:rPr>
        <w:t>1d) The Commission, together with Member States, will establish by 2012 a process to promote the sharing of experience, good practice and cross-border collaboration on the management of Natura 2000, within the biogeographical frameworks set out in the Habitats Directive</w:t>
      </w:r>
      <w:r>
        <w:rPr>
          <w:b/>
          <w:noProof/>
          <w:sz w:val="22"/>
          <w:szCs w:val="22"/>
        </w:rPr>
        <w:t>.</w:t>
      </w:r>
    </w:p>
    <w:p>
      <w:pPr>
        <w:spacing w:line="360" w:lineRule="auto"/>
        <w:rPr>
          <w:noProof/>
          <w:sz w:val="22"/>
          <w:szCs w:val="22"/>
        </w:rPr>
      </w:pPr>
    </w:p>
    <w:p>
      <w:pPr>
        <w:spacing w:line="360" w:lineRule="auto"/>
        <w:rPr>
          <w:noProof/>
          <w:sz w:val="22"/>
          <w:szCs w:val="22"/>
        </w:rPr>
      </w:pPr>
      <w:r>
        <w:rPr>
          <w:noProof/>
          <w:sz w:val="22"/>
          <w:szCs w:val="22"/>
        </w:rPr>
        <w:t xml:space="preserve">Major progress has been made in establishing the Natura 2000 Biogeographical Process in 2011, which aims at improving and strengthening the implementation of Natura 2000 through enhanced cooperation and networking on practical habitat management and restoration. Seminars have been organised from 2012 onwards in the Boreal, Atlantic, Alpine and Mediterranean regions, as well as the organisation of a Marine seminar in 2015. Future development includes the launch of the process in the Continental, Pannonian, Black Sea, Steppic and Macaronesian regions, and follow-up activities in the Boreal, Atlantic, Alpine and Mediterranean regions in 2015, as well as working on establishing biogeographical level conservation and restoration objectives as well as on favourable reference values. Detailed information on all events is available on the Natura 2000 Communication Platform:  </w:t>
      </w:r>
      <w:hyperlink r:id="rId31" w:history="1">
        <w:r>
          <w:rPr>
            <w:rStyle w:val="Hyperlink"/>
            <w:noProof/>
            <w:sz w:val="22"/>
            <w:szCs w:val="22"/>
          </w:rPr>
          <w:t>http://ec.europa.eu/environment/nature/natura2000/platform/index_en.htm</w:t>
        </w:r>
      </w:hyperlink>
      <w:r>
        <w:rPr>
          <w:noProof/>
          <w:sz w:val="22"/>
          <w:szCs w:val="22"/>
        </w:rPr>
        <w:t>.</w:t>
      </w:r>
    </w:p>
    <w:p>
      <w:pPr>
        <w:spacing w:line="360" w:lineRule="auto"/>
        <w:ind w:firstLine="0"/>
        <w:rPr>
          <w:noProof/>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noProof/>
          <w:sz w:val="22"/>
          <w:szCs w:val="22"/>
        </w:rPr>
      </w:pPr>
      <w:r>
        <w:rPr>
          <w:noProof/>
          <w:sz w:val="22"/>
          <w:szCs w:val="22"/>
        </w:rPr>
        <w:t>2) The Commission and Member States will provide the necessary funds and incentives for Natura 2000, including through EU funding instruments, under the next multiannual financial framework. The Commission will set out its views in 2011 on how Natura 2000 will be financed under the next multi-annual financial framework.</w:t>
      </w:r>
    </w:p>
    <w:p>
      <w:pPr>
        <w:autoSpaceDE w:val="0"/>
        <w:spacing w:line="360" w:lineRule="auto"/>
        <w:rPr>
          <w:noProof/>
          <w:sz w:val="22"/>
          <w:szCs w:val="22"/>
        </w:rPr>
      </w:pPr>
    </w:p>
    <w:p>
      <w:pPr>
        <w:spacing w:line="360" w:lineRule="auto"/>
        <w:rPr>
          <w:noProof/>
          <w:sz w:val="22"/>
          <w:szCs w:val="22"/>
        </w:rPr>
      </w:pPr>
      <w:r>
        <w:rPr>
          <w:noProof/>
          <w:sz w:val="22"/>
          <w:szCs w:val="22"/>
        </w:rPr>
        <w:t>In response to this commitment the Commission issued a staff working paper in December 2011 "Financing Natura 2000: Delivering benefits for nature and people"</w:t>
      </w:r>
      <w:r>
        <w:rPr>
          <w:rStyle w:val="Caractresdenotedebasdepage"/>
          <w:noProof/>
          <w:color w:val="000000"/>
          <w:sz w:val="22"/>
          <w:szCs w:val="22"/>
        </w:rPr>
        <w:footnoteReference w:id="38"/>
      </w:r>
      <w:r>
        <w:rPr>
          <w:noProof/>
          <w:sz w:val="22"/>
          <w:szCs w:val="22"/>
        </w:rPr>
        <w:t xml:space="preserve"> which presented an evaluation of the effectiveness of the so called "integration approach"</w:t>
      </w:r>
      <w:r>
        <w:rPr>
          <w:rStyle w:val="Caractresdenotedebasdepage"/>
          <w:noProof/>
          <w:color w:val="000000"/>
          <w:sz w:val="22"/>
          <w:szCs w:val="22"/>
        </w:rPr>
        <w:footnoteReference w:id="39"/>
      </w:r>
      <w:r>
        <w:rPr>
          <w:noProof/>
          <w:sz w:val="22"/>
          <w:szCs w:val="22"/>
        </w:rPr>
        <w:t xml:space="preserve"> to EU co-financing of Natura 2000 as well as an early overview of the opportunities for financing nature protection in the next multi-annual financial framework (MFF) 2014-2020, such as Partnership Agreements and Operational Programmes. The paper provided as well an updated estimate of Natura 2000 costs and underlined the benefits offered by the network. The document also stressed the importance of developing prioritised action frameworks (PAFs) pursuant to Article 8 of the Habitats Directive as tools for streamlined and comprehensive planning of investments necessary for management of the network.</w:t>
      </w:r>
    </w:p>
    <w:p>
      <w:pPr>
        <w:spacing w:line="360" w:lineRule="auto"/>
        <w:rPr>
          <w:noProof/>
          <w:sz w:val="22"/>
          <w:szCs w:val="22"/>
        </w:rPr>
      </w:pPr>
    </w:p>
    <w:p>
      <w:pPr>
        <w:spacing w:line="360" w:lineRule="auto"/>
        <w:rPr>
          <w:noProof/>
          <w:sz w:val="22"/>
          <w:szCs w:val="22"/>
        </w:rPr>
      </w:pPr>
      <w:r>
        <w:rPr>
          <w:noProof/>
          <w:sz w:val="22"/>
          <w:szCs w:val="22"/>
        </w:rPr>
        <w:t>In 2012 the Commission developed a format and methodology for the PAFs and invited the Member States to submit their PAFs in time to influence the process of adopting the programmes for EU funds. The large majority of Member States submitted their PAFs in 2013 and early 2014. The PAFs have been instrumental in ensuring the best possible integration of investment in nature in the programmes for relevant EU funds. On the national level, the PAFs also contributed to integration of Natura 2000 into planning of other policies (agriculture, forestry, fisheries, cohesion etc.) and to a wider discussion, with different stakeholders, on the choice of priorities and measures as well as the means of their implementation and financing.</w:t>
      </w:r>
    </w:p>
    <w:p>
      <w:pPr>
        <w:spacing w:line="360" w:lineRule="auto"/>
        <w:rPr>
          <w:noProof/>
          <w:sz w:val="22"/>
          <w:szCs w:val="22"/>
        </w:rPr>
      </w:pPr>
    </w:p>
    <w:p>
      <w:pPr>
        <w:spacing w:line="360" w:lineRule="auto"/>
        <w:rPr>
          <w:noProof/>
          <w:sz w:val="22"/>
          <w:szCs w:val="22"/>
        </w:rPr>
      </w:pPr>
      <w:r>
        <w:rPr>
          <w:noProof/>
          <w:sz w:val="22"/>
          <w:szCs w:val="22"/>
        </w:rPr>
        <w:t>In order to help the Member States to better understand the opportunities for financing nature protection in the next MFF the Commission published the "Guidance handbook on financing Natura 2000"</w:t>
      </w:r>
      <w:r>
        <w:rPr>
          <w:rStyle w:val="Caractresdenotedebasdepage"/>
          <w:noProof/>
          <w:color w:val="000000"/>
          <w:sz w:val="22"/>
          <w:szCs w:val="22"/>
        </w:rPr>
        <w:footnoteReference w:id="40"/>
      </w:r>
      <w:r>
        <w:rPr>
          <w:noProof/>
          <w:sz w:val="22"/>
          <w:szCs w:val="22"/>
        </w:rPr>
        <w:t>. The handbook presents all relevant EU funds and their potential for financing nature and biodiversity together with examples of best practice in this area. In addition, the Commission together with the national authorities organised financing seminars in 24 Member States. The seminars have been successful in identifying the most important needs for financing nature protection and discussing ways of allocating resources to this purpose.</w:t>
      </w:r>
    </w:p>
    <w:p>
      <w:pPr>
        <w:spacing w:line="360" w:lineRule="auto"/>
        <w:rPr>
          <w:noProof/>
          <w:sz w:val="22"/>
          <w:szCs w:val="22"/>
        </w:rPr>
      </w:pPr>
    </w:p>
    <w:p>
      <w:pPr>
        <w:spacing w:line="360" w:lineRule="auto"/>
        <w:rPr>
          <w:noProof/>
          <w:sz w:val="22"/>
          <w:szCs w:val="22"/>
        </w:rPr>
      </w:pPr>
      <w:r>
        <w:rPr>
          <w:noProof/>
          <w:sz w:val="22"/>
          <w:szCs w:val="22"/>
        </w:rPr>
        <w:t>As regards resource allocated to financing Natura 2000 in individual EU funding streams it has to be noted that the majority of the EU funds operate according to a programming process with shared management of funds between the EU and the Member States. This means that decisions on funding priorities are taken at national and regional level in discussion with the European Commission. Then the Commission entrusts the Member States with implementing programmes at national or regional levels following certain rules.. Only the LIFE programme is directly managed by the Commission. From LIFE+ 2010-2013, co-financing for nature and biodiversity has increased to about € 548 million.</w:t>
      </w:r>
    </w:p>
    <w:p>
      <w:pPr>
        <w:spacing w:line="360" w:lineRule="auto"/>
        <w:rPr>
          <w:noProof/>
          <w:sz w:val="22"/>
          <w:szCs w:val="22"/>
        </w:rPr>
      </w:pPr>
    </w:p>
    <w:p>
      <w:pPr>
        <w:spacing w:line="360" w:lineRule="auto"/>
        <w:rPr>
          <w:noProof/>
          <w:sz w:val="22"/>
          <w:szCs w:val="22"/>
        </w:rPr>
      </w:pPr>
      <w:r>
        <w:rPr>
          <w:noProof/>
          <w:sz w:val="22"/>
          <w:szCs w:val="22"/>
        </w:rPr>
        <w:t xml:space="preserve">With regard to funds managed under the shared management principle by the EU the Member States, as of 16 February 2015 266 cohesion policy (out of 387 operational programmes - OPs) have been adopted by the Commission. As the programming process was ongoing at the time of drafting this report, it was not possible to precisely indicate how much funding has been allocated to nature and biodiversity. However, the draft OPs and those already adopted by the Commission indicate that the allocations for categories of expenditure related to nature and biodiversity have increased. </w:t>
      </w:r>
    </w:p>
    <w:p>
      <w:pPr>
        <w:spacing w:line="360" w:lineRule="auto"/>
        <w:rPr>
          <w:noProof/>
          <w:sz w:val="22"/>
          <w:szCs w:val="22"/>
        </w:rPr>
      </w:pPr>
    </w:p>
    <w:p>
      <w:pPr>
        <w:spacing w:line="360" w:lineRule="auto"/>
        <w:rPr>
          <w:noProof/>
          <w:sz w:val="22"/>
          <w:szCs w:val="22"/>
        </w:rPr>
      </w:pPr>
      <w:r>
        <w:rPr>
          <w:noProof/>
          <w:sz w:val="22"/>
          <w:szCs w:val="22"/>
        </w:rPr>
        <w:t>As regards rural development programmes (RDPs) developed to implement the priorities of the European Agricultural Fund for Rural Development (EAFRD) as of 13 February 2015 the Commission had approved 27 out of 118 RDPs. Restoring, preserving and enhancing ecosystems related to agriculture and forestry, with a focus on biodiversity, including Natura 2000 areas is one of the priorities of the RDPs (priority no. 4). Member States are also required to reserve a minimum of 30 % of the total contribution from the EAFRD to each RDP for measures supporting investments related to the environment and climate. The most relevant measures from the nature perspective are agri-environment payments and Natura 2000 payments. Payments to areas facing natural constraints and investments in physical assets are also generally relevant for financing nature protection. Due to the fact that not all RDPs have been adopted yet and bearing in mind that the methodology for calculation of the contribution of individual measures to preserving biodiversity is still being discussed between relevant Commission services it is not possible to provide specific figures on allocations from the EAFRD to Natura 2000.</w:t>
      </w:r>
    </w:p>
    <w:p>
      <w:pPr>
        <w:spacing w:line="360" w:lineRule="auto"/>
        <w:rPr>
          <w:noProof/>
          <w:sz w:val="22"/>
          <w:szCs w:val="22"/>
        </w:rPr>
      </w:pPr>
    </w:p>
    <w:p>
      <w:pPr>
        <w:spacing w:line="360" w:lineRule="auto"/>
        <w:rPr>
          <w:noProof/>
          <w:sz w:val="22"/>
          <w:szCs w:val="22"/>
        </w:rPr>
      </w:pPr>
      <w:r>
        <w:rPr>
          <w:noProof/>
          <w:sz w:val="22"/>
          <w:szCs w:val="22"/>
        </w:rPr>
        <w:t>Programming of marine and fisheries OPs is not advanced enough to provide estimations on allocations at this stage. However, the Regulation establishing the European Maritime and Fisheries Fund (EMFF) stipulates that where appropriate the specific needs of Natura 2000 areas should be integrated into the EMFF OPs. According to the Regulation, dedicated support in accordance with PAFs is also envisaged for the management, restoration and monitoring of coastal and marine Natura 2000 sites.</w:t>
      </w:r>
    </w:p>
    <w:p>
      <w:pPr>
        <w:spacing w:line="360" w:lineRule="auto"/>
        <w:rPr>
          <w:noProof/>
          <w:sz w:val="22"/>
          <w:szCs w:val="22"/>
        </w:rPr>
      </w:pPr>
      <w:r>
        <w:rPr>
          <w:noProof/>
          <w:sz w:val="22"/>
          <w:szCs w:val="22"/>
        </w:rPr>
        <w:t xml:space="preserve"> </w:t>
      </w:r>
    </w:p>
    <w:p>
      <w:pPr>
        <w:spacing w:line="360" w:lineRule="auto"/>
        <w:rPr>
          <w:noProof/>
          <w:sz w:val="22"/>
          <w:szCs w:val="22"/>
        </w:rPr>
      </w:pPr>
      <w:r>
        <w:rPr>
          <w:noProof/>
          <w:sz w:val="22"/>
          <w:szCs w:val="22"/>
        </w:rPr>
        <w:t>With regard to the Programme for the Environment and Climate Action LIFE, which is the only relevant fund under the direct Commission management, the multiannual work programme for 2014-17 was agreed in February 2014 and is now operational. The allocation for the priority area "Nature and Biodiversity" during this period was agreed at approximately 611 million EUR (whereas the commitment for the whole period 2014-2020 is approximately 1.27 billion EUR). A new category of projects, i.e. "integrated projects" have been included in the programme pursuant to the LIFE 2014-2020 Regulation. These projects will be carried out on a larger geographical scale and will be aimed at implementation of plans and programmes. In the priority area "Nature and Biodiversity", PAFs are considered as relevant plans to frame Integrated Projects to be implemented.</w:t>
      </w:r>
    </w:p>
    <w:p>
      <w:pPr>
        <w:pStyle w:val="Text2"/>
        <w:spacing w:line="360" w:lineRule="auto"/>
        <w:ind w:left="0" w:firstLine="0"/>
        <w:rPr>
          <w:noProof/>
          <w:color w:val="000000"/>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bCs/>
          <w:noProof/>
          <w:color w:val="000000"/>
          <w:sz w:val="22"/>
          <w:szCs w:val="22"/>
        </w:rPr>
      </w:pPr>
      <w:r>
        <w:rPr>
          <w:noProof/>
          <w:sz w:val="22"/>
          <w:szCs w:val="22"/>
        </w:rPr>
        <w:t>3a) The Commission, together with Member States, will develop and launch a major communication campaign on Natura 2000 by 2013.</w:t>
      </w:r>
    </w:p>
    <w:p>
      <w:pPr>
        <w:spacing w:line="360" w:lineRule="auto"/>
        <w:rPr>
          <w:bCs/>
          <w:noProof/>
          <w:color w:val="000000"/>
          <w:sz w:val="22"/>
          <w:szCs w:val="22"/>
        </w:rPr>
      </w:pPr>
    </w:p>
    <w:p>
      <w:pPr>
        <w:spacing w:line="360" w:lineRule="auto"/>
        <w:rPr>
          <w:noProof/>
          <w:sz w:val="22"/>
          <w:szCs w:val="22"/>
        </w:rPr>
      </w:pPr>
      <w:bookmarkStart w:id="54" w:name="_Toc422819457"/>
      <w:r>
        <w:rPr>
          <w:noProof/>
          <w:sz w:val="22"/>
          <w:szCs w:val="22"/>
        </w:rPr>
        <w:t>A 2010 Eurobarometer survey showed that citizens' awareness of the threats and challenges for biodiversity and Natura 2000 was not very high. According to the 2013 EU Flash Eurobarometer on Attitudes towards biodiversity, more than two thirds (74 %) of EU citizens had heard of biodiversity but less than half knew the meaning of the word. This, however, is still 10 % more than in 2007.</w:t>
      </w:r>
      <w:r>
        <w:rPr>
          <w:rStyle w:val="FootnoteReference"/>
          <w:noProof/>
          <w:color w:val="000000"/>
          <w:sz w:val="22"/>
          <w:szCs w:val="22"/>
        </w:rPr>
        <w:footnoteReference w:id="41"/>
      </w:r>
      <w:r>
        <w:rPr>
          <w:noProof/>
          <w:sz w:val="22"/>
          <w:szCs w:val="22"/>
        </w:rPr>
        <w:t xml:space="preserve"> This shows that while EU citizens are gradually becoming more aware, greater communication efforts and activities focused on biodiversity are needed. In 2015, a Eurobarometer on biodiversity will provide an overview of current public attitudes to biodiversity.</w:t>
      </w:r>
    </w:p>
    <w:p>
      <w:pPr>
        <w:pStyle w:val="Caption"/>
        <w:keepNext/>
        <w:spacing w:line="360" w:lineRule="auto"/>
        <w:jc w:val="center"/>
        <w:rPr>
          <w:noProof/>
        </w:rPr>
      </w:pPr>
      <w:bookmarkStart w:id="55" w:name="_Toc423600146"/>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15</w:t>
      </w:r>
      <w:r>
        <w:rPr>
          <w:noProof/>
          <w:sz w:val="22"/>
          <w:szCs w:val="22"/>
        </w:rPr>
        <w:fldChar w:fldCharType="end"/>
      </w:r>
      <w:r>
        <w:rPr>
          <w:b w:val="0"/>
          <w:noProof/>
          <w:sz w:val="22"/>
          <w:szCs w:val="22"/>
          <w:lang w:val="en"/>
        </w:rPr>
        <w:t xml:space="preserve">- </w:t>
      </w:r>
      <w:r>
        <w:rPr>
          <w:noProof/>
          <w:sz w:val="22"/>
          <w:szCs w:val="22"/>
          <w:lang w:val="en"/>
        </w:rPr>
        <w:t>Familiarity with the term biodiversity</w:t>
      </w:r>
      <w:r>
        <w:rPr>
          <w:rStyle w:val="Caractresdenotedebasdepage"/>
          <w:noProof/>
          <w:sz w:val="22"/>
          <w:szCs w:val="22"/>
        </w:rPr>
        <w:footnoteReference w:id="42"/>
      </w:r>
      <w:bookmarkEnd w:id="54"/>
      <w:bookmarkEnd w:id="55"/>
    </w:p>
    <w:p>
      <w:pPr>
        <w:pStyle w:val="Text2"/>
        <w:spacing w:line="360" w:lineRule="auto"/>
        <w:ind w:left="0" w:firstLine="0"/>
        <w:jc w:val="center"/>
        <w:rPr>
          <w:bCs/>
          <w:noProof/>
          <w:color w:val="000000"/>
          <w:sz w:val="22"/>
          <w:szCs w:val="22"/>
        </w:rPr>
      </w:pPr>
      <w:r>
        <w:rPr>
          <w:bCs/>
          <w:noProof/>
          <w:color w:val="000000"/>
          <w:sz w:val="22"/>
          <w:szCs w:val="22"/>
          <w:lang w:val="en-US" w:eastAsia="en-US"/>
        </w:rPr>
        <w:drawing>
          <wp:inline distT="0" distB="0" distL="0" distR="0">
            <wp:extent cx="5943600" cy="36125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612515"/>
                    </a:xfrm>
                    <a:prstGeom prst="rect">
                      <a:avLst/>
                    </a:prstGeom>
                  </pic:spPr>
                </pic:pic>
              </a:graphicData>
            </a:graphic>
          </wp:inline>
        </w:drawing>
      </w:r>
    </w:p>
    <w:p>
      <w:pPr>
        <w:pStyle w:val="Caption"/>
        <w:keepNext/>
        <w:spacing w:line="360" w:lineRule="auto"/>
        <w:jc w:val="center"/>
        <w:rPr>
          <w:noProof/>
          <w:sz w:val="22"/>
          <w:szCs w:val="22"/>
        </w:rPr>
      </w:pPr>
      <w:bookmarkStart w:id="56" w:name="_Toc422819458"/>
      <w:bookmarkStart w:id="57" w:name="_Toc423600147"/>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16</w:t>
      </w:r>
      <w:r>
        <w:rPr>
          <w:noProof/>
          <w:sz w:val="22"/>
          <w:szCs w:val="22"/>
        </w:rPr>
        <w:fldChar w:fldCharType="end"/>
      </w:r>
      <w:r>
        <w:rPr>
          <w:noProof/>
          <w:sz w:val="22"/>
          <w:szCs w:val="22"/>
          <w:lang w:val="en"/>
        </w:rPr>
        <w:t xml:space="preserve"> - Awareness of the Natura 2000 Network</w:t>
      </w:r>
      <w:bookmarkEnd w:id="56"/>
      <w:bookmarkEnd w:id="57"/>
    </w:p>
    <w:p>
      <w:pPr>
        <w:pStyle w:val="Text2"/>
        <w:spacing w:line="360" w:lineRule="auto"/>
        <w:ind w:left="0" w:firstLine="0"/>
        <w:jc w:val="center"/>
        <w:rPr>
          <w:noProof/>
          <w:color w:val="000000"/>
          <w:sz w:val="22"/>
          <w:szCs w:val="22"/>
        </w:rPr>
      </w:pPr>
      <w:r>
        <w:rPr>
          <w:noProof/>
          <w:color w:val="000000"/>
          <w:sz w:val="22"/>
          <w:szCs w:val="22"/>
          <w:lang w:val="en-US" w:eastAsia="en-US"/>
        </w:rPr>
        <w:drawing>
          <wp:inline distT="0" distB="0" distL="0" distR="0">
            <wp:extent cx="5943600" cy="3507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507740"/>
                    </a:xfrm>
                    <a:prstGeom prst="rect">
                      <a:avLst/>
                    </a:prstGeom>
                  </pic:spPr>
                </pic:pic>
              </a:graphicData>
            </a:graphic>
          </wp:inline>
        </w:drawing>
      </w:r>
    </w:p>
    <w:p>
      <w:pPr>
        <w:pStyle w:val="Text2"/>
        <w:spacing w:line="360" w:lineRule="auto"/>
        <w:ind w:left="0" w:firstLine="0"/>
        <w:rPr>
          <w:bCs/>
          <w:noProof/>
          <w:color w:val="000000"/>
          <w:sz w:val="20"/>
        </w:rPr>
      </w:pPr>
      <w:r>
        <w:rPr>
          <w:bCs/>
          <w:noProof/>
          <w:color w:val="000000"/>
          <w:sz w:val="20"/>
        </w:rPr>
        <w:t>Source: EEA (2015) Public awareness (SEBI026) (</w:t>
      </w:r>
      <w:hyperlink r:id="rId34" w:history="1">
        <w:r>
          <w:rPr>
            <w:rStyle w:val="Hyperlink"/>
            <w:bCs/>
            <w:noProof/>
            <w:sz w:val="20"/>
          </w:rPr>
          <w:t>http://www.eea.europa.eu/data-and-maps/indicators/public-awareness/public-awareness-assessment-published-may-1</w:t>
        </w:r>
      </w:hyperlink>
      <w:r>
        <w:rPr>
          <w:bCs/>
          <w:noProof/>
          <w:color w:val="000000"/>
          <w:sz w:val="20"/>
        </w:rPr>
        <w:t>)</w:t>
      </w:r>
    </w:p>
    <w:p>
      <w:pPr>
        <w:spacing w:line="360" w:lineRule="auto"/>
        <w:ind w:firstLine="0"/>
        <w:rPr>
          <w:noProof/>
          <w:sz w:val="22"/>
          <w:szCs w:val="22"/>
        </w:rPr>
      </w:pPr>
    </w:p>
    <w:p>
      <w:pPr>
        <w:spacing w:line="360" w:lineRule="auto"/>
        <w:rPr>
          <w:noProof/>
          <w:sz w:val="22"/>
          <w:szCs w:val="22"/>
          <w:lang w:val="en"/>
        </w:rPr>
      </w:pPr>
      <w:r>
        <w:rPr>
          <w:noProof/>
          <w:sz w:val="22"/>
          <w:szCs w:val="22"/>
        </w:rPr>
        <w:t>In order to enhance public awareness about biodiversity and Natura 2000, the European Commission has launched a new award designed to celebrate and promote best practices for nature conservation in Europe. The European Natura 2000 Award</w:t>
      </w:r>
      <w:r>
        <w:rPr>
          <w:rStyle w:val="FootnoteReference"/>
          <w:noProof/>
          <w:color w:val="000000"/>
          <w:sz w:val="22"/>
          <w:szCs w:val="22"/>
        </w:rPr>
        <w:footnoteReference w:id="43"/>
      </w:r>
      <w:r>
        <w:rPr>
          <w:noProof/>
          <w:sz w:val="22"/>
          <w:szCs w:val="22"/>
        </w:rPr>
        <w:t xml:space="preserve"> aims to bring the success of the Natura 2000 network to the public’s attention and to demonstrate its importance for protecting biodiversity across Europe. The initiative rewards excellence in the management and promotion of the network and its objectives. Natura 2000 works to assure the long-term survival of Europe’s most valuable and threatened species and habitats, and is the centrepiece of the EU’s nature and biodiversity policy. In its first year, 2014, the</w:t>
      </w:r>
      <w:r>
        <w:rPr>
          <w:noProof/>
          <w:sz w:val="22"/>
          <w:szCs w:val="22"/>
          <w:lang w:val="en"/>
        </w:rPr>
        <w:t xml:space="preserve"> Natura 2000 Award attracted considerable interest from Natura 2000 site managers and others working with the Natura 2000 network, with 163 applications received from 26 Member States</w:t>
      </w:r>
      <w:r>
        <w:rPr>
          <w:noProof/>
          <w:sz w:val="22"/>
          <w:szCs w:val="22"/>
        </w:rPr>
        <w:t xml:space="preserve">, distributed across the 5 Award categories (conservation, communication, socio economic benefits, reconciling interests, networking and cross-border cooperation). In 2015, an additional category, the “European Citizens’ Award” was added, for which the public was able to vote directly online. </w:t>
      </w:r>
    </w:p>
    <w:p>
      <w:pPr>
        <w:spacing w:line="360" w:lineRule="auto"/>
        <w:rPr>
          <w:noProof/>
          <w:sz w:val="22"/>
          <w:szCs w:val="22"/>
          <w:lang w:val="en"/>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noProof/>
          <w:sz w:val="22"/>
          <w:szCs w:val="22"/>
        </w:rPr>
      </w:pPr>
      <w:r>
        <w:rPr>
          <w:noProof/>
          <w:sz w:val="22"/>
          <w:szCs w:val="22"/>
        </w:rPr>
        <w:t>3b) The Commission and Member States will improve cooperation with key sectors and continue to develop guidance documents to improve their understanding of the requirements of EU nature legislation and its value in promoting economic development.</w:t>
      </w:r>
    </w:p>
    <w:p>
      <w:pPr>
        <w:spacing w:line="360" w:lineRule="auto"/>
        <w:rPr>
          <w:noProof/>
          <w:sz w:val="22"/>
          <w:szCs w:val="22"/>
        </w:rPr>
      </w:pPr>
    </w:p>
    <w:p>
      <w:pPr>
        <w:spacing w:line="360" w:lineRule="auto"/>
        <w:rPr>
          <w:noProof/>
          <w:sz w:val="22"/>
          <w:szCs w:val="22"/>
        </w:rPr>
      </w:pPr>
      <w:r>
        <w:rPr>
          <w:noProof/>
          <w:sz w:val="22"/>
          <w:szCs w:val="22"/>
        </w:rPr>
        <w:t>A series of guidance documents promoting integration of Natura 2000 in different sectors have been prepared including Farming for Natura 2000, Aquaculture and Natura 2000, Inland waterway transport and Natura 2000, the implementation of the Birds and Habitats Directives in estuaries and coastal zones, Integrating biodiversity and nature into port development, Wind energy developments and Natura 2000, Non-energy mineral extraction and Natura 2000 and Climate change and Natura 2000</w:t>
      </w:r>
      <w:r>
        <w:rPr>
          <w:rStyle w:val="Caractresdenotedebasdepage"/>
          <w:noProof/>
          <w:sz w:val="22"/>
          <w:szCs w:val="22"/>
        </w:rPr>
        <w:footnoteReference w:id="44"/>
      </w:r>
      <w:r>
        <w:rPr>
          <w:noProof/>
          <w:sz w:val="22"/>
          <w:szCs w:val="22"/>
        </w:rPr>
        <w:t xml:space="preserve"> and on managing fisheries impacts within Natura 2000 sites</w:t>
      </w:r>
      <w:r>
        <w:rPr>
          <w:rStyle w:val="Caractresdenotedebasdepage"/>
          <w:b/>
          <w:noProof/>
          <w:sz w:val="22"/>
          <w:szCs w:val="22"/>
        </w:rPr>
        <w:footnoteReference w:id="45"/>
      </w:r>
      <w:r>
        <w:rPr>
          <w:noProof/>
          <w:sz w:val="22"/>
          <w:szCs w:val="22"/>
        </w:rPr>
        <w:t>. The Commission is also in the process of finalising sector-specific guidance on forests, on energy transmission facilities and on hydropower, which are all expected to be finalised during 2015. All these guidance documents were or are developed in cooperation with representatives of the sectors concerned. An update of the Article 6 interpretation guidance is also being prepared.</w:t>
      </w:r>
    </w:p>
    <w:p>
      <w:pPr>
        <w:spacing w:line="360" w:lineRule="auto"/>
        <w:rPr>
          <w:bCs/>
          <w:noProof/>
          <w:sz w:val="22"/>
          <w:szCs w:val="22"/>
        </w:rPr>
      </w:pPr>
    </w:p>
    <w:p>
      <w:pPr>
        <w:spacing w:line="360" w:lineRule="auto"/>
        <w:rPr>
          <w:noProof/>
          <w:sz w:val="22"/>
          <w:szCs w:val="22"/>
        </w:rPr>
      </w:pPr>
      <w:r>
        <w:rPr>
          <w:noProof/>
          <w:sz w:val="22"/>
          <w:szCs w:val="22"/>
        </w:rPr>
        <w:t>An EU Platform on Coexistence between People and Large Carnivores</w:t>
      </w:r>
      <w:r>
        <w:rPr>
          <w:rStyle w:val="Caractresdenotedebasdepage"/>
          <w:noProof/>
          <w:sz w:val="22"/>
          <w:szCs w:val="22"/>
        </w:rPr>
        <w:footnoteReference w:id="46"/>
      </w:r>
      <w:r>
        <w:rPr>
          <w:noProof/>
          <w:sz w:val="22"/>
          <w:szCs w:val="22"/>
        </w:rPr>
        <w:t xml:space="preserve"> has been</w:t>
      </w:r>
      <w:r>
        <w:rPr>
          <w:b/>
          <w:noProof/>
          <w:sz w:val="22"/>
          <w:szCs w:val="22"/>
        </w:rPr>
        <w:t xml:space="preserve"> </w:t>
      </w:r>
      <w:r>
        <w:rPr>
          <w:noProof/>
          <w:sz w:val="22"/>
          <w:szCs w:val="22"/>
        </w:rPr>
        <w:t>established in 2014 to support a constructive dialogue between stakeholders and promote a peaceful coexistence of human activity with large carnivores in Europe. As part of the EU Large Carnivore Initiative, a set of documents describing key actions for four species of large carnivores in Europe, including at the population level, have been finalised and published on the large carnivores' webpage of DG ENV</w:t>
      </w:r>
      <w:r>
        <w:rPr>
          <w:rStyle w:val="Caractresdenotedebasdepage"/>
          <w:noProof/>
          <w:sz w:val="22"/>
          <w:szCs w:val="22"/>
        </w:rPr>
        <w:footnoteReference w:id="47"/>
      </w:r>
      <w:r>
        <w:rPr>
          <w:noProof/>
          <w:sz w:val="22"/>
          <w:szCs w:val="22"/>
        </w:rPr>
        <w:t xml:space="preserve">. </w:t>
      </w:r>
    </w:p>
    <w:p>
      <w:pPr>
        <w:spacing w:line="360" w:lineRule="auto"/>
        <w:rPr>
          <w:noProof/>
          <w:sz w:val="22"/>
          <w:szCs w:val="22"/>
        </w:rPr>
      </w:pPr>
    </w:p>
    <w:p>
      <w:pPr>
        <w:spacing w:line="360" w:lineRule="auto"/>
        <w:rPr>
          <w:noProof/>
          <w:sz w:val="22"/>
          <w:szCs w:val="22"/>
        </w:rPr>
      </w:pPr>
      <w:r>
        <w:rPr>
          <w:noProof/>
          <w:sz w:val="22"/>
          <w:szCs w:val="22"/>
        </w:rPr>
        <w:t>A set of pilot actions on large carnivores has also been carried out and will be available on the large carnivores' webpage of DG ENV</w:t>
      </w:r>
      <w:r>
        <w:rPr>
          <w:rStyle w:val="Caractresdenotedebasdepage"/>
          <w:noProof/>
          <w:sz w:val="22"/>
          <w:szCs w:val="22"/>
        </w:rPr>
        <w:footnoteReference w:id="48"/>
      </w:r>
      <w:r>
        <w:rPr>
          <w:noProof/>
          <w:sz w:val="22"/>
          <w:szCs w:val="22"/>
        </w:rPr>
        <w:t>.</w:t>
      </w:r>
    </w:p>
    <w:p>
      <w:pPr>
        <w:spacing w:line="360" w:lineRule="auto"/>
        <w:rPr>
          <w:noProof/>
          <w:sz w:val="22"/>
          <w:szCs w:val="22"/>
        </w:rPr>
      </w:pPr>
    </w:p>
    <w:p>
      <w:pPr>
        <w:spacing w:line="360" w:lineRule="auto"/>
        <w:rPr>
          <w:noProof/>
          <w:sz w:val="22"/>
          <w:szCs w:val="22"/>
        </w:rPr>
      </w:pPr>
      <w:r>
        <w:rPr>
          <w:noProof/>
          <w:sz w:val="22"/>
          <w:szCs w:val="22"/>
        </w:rPr>
        <w:t xml:space="preserve">The Commission is also in the process of developing sector-specific guidance in the following policy areas: non-energy extractive industries, wind farm development, ports and estuaries, inland waterway transport, aquaculture. The overall objective of these guidance documents is to establish a better understanding of how to apply the Article 6 procedure to developments plans and projects in each of these sectors and to provide further advice on how to carry out an Appropriate Assessment in particular. A Guidance document promoting integration of Natura 2000 in agriculture "Farming for Natura 2000" (2014) has been prepared and another one on forests is currently being finalised. </w:t>
      </w:r>
    </w:p>
    <w:p>
      <w:pPr>
        <w:spacing w:line="360" w:lineRule="auto"/>
        <w:rPr>
          <w:noProof/>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noProof/>
          <w:sz w:val="22"/>
          <w:szCs w:val="22"/>
        </w:rPr>
      </w:pPr>
      <w:r>
        <w:rPr>
          <w:noProof/>
          <w:sz w:val="22"/>
          <w:szCs w:val="22"/>
        </w:rPr>
        <w:t>3c) The Commission and Member States will facilitate enforcement of the nature directives by providing specific training programmes on Natura 2000 for judges and public prosecutors, and by developing better compliance promotion capacities</w:t>
      </w:r>
    </w:p>
    <w:p>
      <w:pPr>
        <w:pStyle w:val="Text2"/>
        <w:tabs>
          <w:tab w:val="clear" w:pos="2160"/>
        </w:tabs>
        <w:spacing w:line="360" w:lineRule="auto"/>
        <w:ind w:left="0" w:firstLine="0"/>
        <w:rPr>
          <w:noProof/>
          <w:sz w:val="22"/>
          <w:szCs w:val="22"/>
        </w:rPr>
      </w:pPr>
    </w:p>
    <w:p>
      <w:pPr>
        <w:spacing w:line="360" w:lineRule="auto"/>
        <w:rPr>
          <w:noProof/>
          <w:sz w:val="22"/>
          <w:szCs w:val="22"/>
        </w:rPr>
      </w:pPr>
      <w:r>
        <w:rPr>
          <w:noProof/>
          <w:sz w:val="22"/>
          <w:szCs w:val="22"/>
        </w:rPr>
        <w:t xml:space="preserve">Specific training sessions for judges and prosecutors have been organised with EU support on key provisions of the nature legislation. </w:t>
      </w:r>
    </w:p>
    <w:p>
      <w:pPr>
        <w:spacing w:line="360" w:lineRule="auto"/>
        <w:rPr>
          <w:noProof/>
          <w:sz w:val="22"/>
          <w:szCs w:val="22"/>
        </w:rPr>
      </w:pPr>
      <w:r>
        <w:rPr>
          <w:noProof/>
          <w:sz w:val="22"/>
          <w:szCs w:val="22"/>
        </w:rPr>
        <w:t>Coordinated action at EU level has also been launched, in cooperation with the Council of Europe, to address illegal trapping, killing and trade of birds, which also specifies actions on monitoring and data collection</w:t>
      </w:r>
      <w:r>
        <w:rPr>
          <w:rStyle w:val="FootnoteReference"/>
          <w:noProof/>
          <w:sz w:val="22"/>
          <w:szCs w:val="22"/>
        </w:rPr>
        <w:footnoteReference w:id="49"/>
      </w:r>
      <w:r>
        <w:rPr>
          <w:noProof/>
          <w:sz w:val="22"/>
          <w:szCs w:val="22"/>
        </w:rPr>
        <w:t>.</w:t>
      </w:r>
    </w:p>
    <w:p>
      <w:pPr>
        <w:spacing w:line="360" w:lineRule="auto"/>
        <w:ind w:firstLine="0"/>
        <w:rPr>
          <w:noProof/>
          <w:sz w:val="22"/>
          <w:szCs w:val="22"/>
        </w:rPr>
      </w:pPr>
    </w:p>
    <w:p>
      <w:pPr>
        <w:spacing w:line="360" w:lineRule="auto"/>
        <w:rPr>
          <w:noProof/>
          <w:sz w:val="22"/>
          <w:szCs w:val="22"/>
        </w:rPr>
      </w:pPr>
      <w:r>
        <w:rPr>
          <w:noProof/>
          <w:sz w:val="22"/>
          <w:szCs w:val="22"/>
        </w:rPr>
        <w:t>Meanwhile, the Commission has continued to pursue cases of non-compliance with EU nature legislation, including through infringement procedures, with a focus on systemic failures. These include the insufficient designation of SCIs and SPAs (especially in the marine environment), the designation of SACs, as well as the non-respect of provisions in the legislation regarding the species protection, the non-deterioration of Natura 2000 sites and the permitting procedures for plans and projects which might negatively affect the integrity of the sites.</w:t>
      </w:r>
    </w:p>
    <w:p>
      <w:pPr>
        <w:pStyle w:val="Text2"/>
        <w:spacing w:line="360" w:lineRule="auto"/>
        <w:ind w:left="0" w:firstLine="0"/>
        <w:rPr>
          <w:noProof/>
          <w:color w:val="000000"/>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noProof/>
          <w:color w:val="000000"/>
          <w:sz w:val="22"/>
          <w:szCs w:val="22"/>
        </w:rPr>
      </w:pPr>
      <w:r>
        <w:rPr>
          <w:noProof/>
          <w:sz w:val="22"/>
          <w:szCs w:val="22"/>
        </w:rPr>
        <w:t>4a) The Commission, together with Member States, will develop by 2012 a new EU bird reporting system, further develop the reporting system under Article 17 of the Habitats Directive and improve the flow, accessibility and relevance of Natura 2000 data</w:t>
      </w:r>
    </w:p>
    <w:p>
      <w:pPr>
        <w:spacing w:line="360" w:lineRule="auto"/>
        <w:rPr>
          <w:noProof/>
          <w:color w:val="000000"/>
          <w:sz w:val="22"/>
          <w:szCs w:val="22"/>
        </w:rPr>
      </w:pPr>
    </w:p>
    <w:p>
      <w:pPr>
        <w:spacing w:line="360" w:lineRule="auto"/>
        <w:rPr>
          <w:noProof/>
          <w:sz w:val="22"/>
          <w:szCs w:val="22"/>
          <w:lang w:val="en"/>
        </w:rPr>
      </w:pPr>
      <w:r>
        <w:rPr>
          <w:noProof/>
          <w:sz w:val="22"/>
          <w:szCs w:val="22"/>
        </w:rPr>
        <w:t xml:space="preserve">For the first time, reporting under Article 17 of the Habitats Directive and Article 12 of the Birds Directive have been streamlined and aligned. </w:t>
      </w:r>
      <w:r>
        <w:rPr>
          <w:noProof/>
          <w:sz w:val="22"/>
          <w:szCs w:val="22"/>
          <w:lang w:val="en"/>
        </w:rPr>
        <w:t>Article 12 requires Member States to report about the progress made with the implementation of the Birds Directive. In 2011, the Commission in agreement with Member States has revised the reporting procedure and frequency in order to focus the reporting obligations on data that inform about the status and trend of bird populations</w:t>
      </w:r>
      <w:r>
        <w:rPr>
          <w:rStyle w:val="Caractresdenotedebasdepage"/>
          <w:noProof/>
          <w:sz w:val="22"/>
          <w:szCs w:val="22"/>
          <w:lang w:val="en"/>
        </w:rPr>
        <w:footnoteReference w:id="50"/>
      </w:r>
      <w:r>
        <w:rPr>
          <w:rStyle w:val="Caractresdenotedebasdepage"/>
          <w:noProof/>
          <w:sz w:val="22"/>
          <w:szCs w:val="22"/>
          <w:lang w:val="en"/>
        </w:rPr>
        <w:footnoteReference w:id="51"/>
      </w:r>
      <w:r>
        <w:rPr>
          <w:noProof/>
          <w:sz w:val="22"/>
          <w:szCs w:val="22"/>
          <w:lang w:val="en"/>
        </w:rPr>
        <w:t>.</w:t>
      </w:r>
    </w:p>
    <w:p>
      <w:pPr>
        <w:spacing w:line="360" w:lineRule="auto"/>
        <w:rPr>
          <w:noProof/>
          <w:sz w:val="22"/>
          <w:szCs w:val="22"/>
          <w:lang w:val="en"/>
        </w:rPr>
      </w:pPr>
      <w:r>
        <w:rPr>
          <w:noProof/>
          <w:sz w:val="22"/>
          <w:szCs w:val="22"/>
          <w:lang w:val="en"/>
        </w:rPr>
        <w:t>After receipt of the national reports, the EEA and its Topic Centre on Biological Diversity produced national summaries with overview statistics for each Member State, a web tool to view easily the assessments of Member States as well as the EU-biogeographic assessments by species and habitats under Art.17.</w:t>
      </w:r>
      <w:r>
        <w:rPr>
          <w:rStyle w:val="Caractresdenotedebasdepage"/>
          <w:noProof/>
          <w:sz w:val="22"/>
          <w:szCs w:val="22"/>
          <w:lang w:val="en"/>
        </w:rPr>
        <w:footnoteReference w:id="52"/>
      </w:r>
      <w:r>
        <w:rPr>
          <w:noProof/>
          <w:sz w:val="22"/>
          <w:szCs w:val="22"/>
          <w:lang w:val="en"/>
        </w:rPr>
        <w:t xml:space="preserve"> , and a paper setting out the method on how to assess progress towards Target 1 of the EU 2020 Biodiversity Strategy. The final report on the State of Nature in the EU and related data are available on the web</w:t>
      </w:r>
      <w:r>
        <w:rPr>
          <w:rStyle w:val="FootnoteReference"/>
          <w:noProof/>
          <w:sz w:val="22"/>
          <w:szCs w:val="22"/>
          <w:lang w:val="en"/>
        </w:rPr>
        <w:footnoteReference w:id="53"/>
      </w:r>
      <w:r>
        <w:rPr>
          <w:noProof/>
          <w:sz w:val="22"/>
          <w:szCs w:val="22"/>
          <w:lang w:val="en"/>
        </w:rPr>
        <w:t xml:space="preserve"> for further analysis.</w:t>
      </w:r>
    </w:p>
    <w:p>
      <w:pPr>
        <w:spacing w:line="360" w:lineRule="auto"/>
        <w:rPr>
          <w:noProof/>
          <w:sz w:val="22"/>
          <w:szCs w:val="22"/>
          <w:lang w:val="en"/>
        </w:rPr>
      </w:pPr>
    </w:p>
    <w:p>
      <w:pPr>
        <w:pBdr>
          <w:top w:val="single" w:sz="4" w:space="2" w:color="000000"/>
          <w:left w:val="single" w:sz="4" w:space="4" w:color="000000"/>
          <w:bottom w:val="single" w:sz="4" w:space="1" w:color="000000"/>
          <w:right w:val="single" w:sz="4" w:space="4" w:color="000000"/>
        </w:pBdr>
        <w:shd w:val="clear" w:color="auto" w:fill="D0CECE" w:themeFill="background2" w:themeFillShade="E6"/>
        <w:spacing w:line="360" w:lineRule="auto"/>
        <w:rPr>
          <w:noProof/>
          <w:color w:val="000000"/>
          <w:sz w:val="22"/>
          <w:szCs w:val="22"/>
        </w:rPr>
      </w:pPr>
      <w:r>
        <w:rPr>
          <w:noProof/>
          <w:sz w:val="22"/>
          <w:szCs w:val="22"/>
        </w:rPr>
        <w:t>4b) The Commission will create a dedicated ICT tool as part of the Biodiversity Information System for Europe to improve the availability and use of data by 2012.</w:t>
      </w:r>
    </w:p>
    <w:p>
      <w:pPr>
        <w:spacing w:line="360" w:lineRule="auto"/>
        <w:rPr>
          <w:noProof/>
          <w:color w:val="000000"/>
          <w:sz w:val="22"/>
          <w:szCs w:val="22"/>
        </w:rPr>
      </w:pPr>
    </w:p>
    <w:p>
      <w:pPr>
        <w:spacing w:line="360" w:lineRule="auto"/>
        <w:rPr>
          <w:noProof/>
        </w:rPr>
      </w:pPr>
      <w:r>
        <w:rPr>
          <w:noProof/>
          <w:sz w:val="22"/>
          <w:szCs w:val="22"/>
        </w:rPr>
        <w:t>The Biodiversity Information System for Europe (BISE)</w:t>
      </w:r>
      <w:r>
        <w:rPr>
          <w:rStyle w:val="Caractresdenotedebasdepage"/>
          <w:noProof/>
          <w:sz w:val="22"/>
          <w:szCs w:val="22"/>
        </w:rPr>
        <w:footnoteReference w:id="54"/>
      </w:r>
      <w:r>
        <w:rPr>
          <w:noProof/>
          <w:sz w:val="22"/>
          <w:szCs w:val="22"/>
        </w:rPr>
        <w:t xml:space="preserve"> is a single entry point for published data and information supporting the implementation and monitoring of the EU 2020 Biodiversity Strategy. Bringing together data on biodiversity and ecosystem services, it links to related policies, environmental data centres, assessments and research findings from various sources. It is being developed to strengthen the knowledge base and to support</w:t>
      </w:r>
      <w:r>
        <w:rPr>
          <w:noProof/>
          <w:color w:val="000000"/>
          <w:sz w:val="22"/>
          <w:szCs w:val="22"/>
        </w:rPr>
        <w:t xml:space="preserve"> decision-making on biodiversity. BISE has integrated within its structure the European Biodiversity Clearing House Mechanism in support of the Convention on Biological Diversity. BISE is a partnership between the European Commission and the European Environment Agency. </w:t>
      </w:r>
      <w:r>
        <w:rPr>
          <w:noProof/>
          <w:sz w:val="22"/>
          <w:szCs w:val="22"/>
          <w:lang w:eastAsia="en-GB"/>
        </w:rPr>
        <w:t>BISE also contributes to the further development of monitoring of progress and streamlining of reporting at international level.</w:t>
      </w:r>
      <w:r>
        <w:rPr>
          <w:noProof/>
          <w:sz w:val="22"/>
          <w:szCs w:val="22"/>
        </w:rPr>
        <w:t xml:space="preserve"> For instance, the European Environment Agency (EEA) has developed a target crosslinking tool that allows countries to interconnect national, EU and global biodiversity targets and indicators to facilitate reporting. This tool has been made available to its 28 Member States and 28 African countries.</w:t>
      </w:r>
    </w:p>
    <w:p>
      <w:pPr>
        <w:spacing w:line="360" w:lineRule="auto"/>
        <w:rPr>
          <w:noProof/>
          <w:sz w:val="22"/>
          <w:szCs w:val="22"/>
          <w:lang w:eastAsia="en-GB"/>
        </w:rPr>
      </w:pPr>
    </w:p>
    <w:p>
      <w:pPr>
        <w:spacing w:line="360" w:lineRule="auto"/>
        <w:rPr>
          <w:noProof/>
          <w:lang w:val="en"/>
        </w:rPr>
      </w:pPr>
      <w:r>
        <w:rPr>
          <w:noProof/>
          <w:sz w:val="22"/>
          <w:szCs w:val="22"/>
          <w:lang w:eastAsia="en-GB"/>
        </w:rPr>
        <w:t>Within BISE, t</w:t>
      </w:r>
      <w:r>
        <w:rPr>
          <w:noProof/>
          <w:lang w:val="en"/>
        </w:rPr>
        <w:t>he Biodiversity data centre (BDC)</w:t>
      </w:r>
      <w:r>
        <w:rPr>
          <w:rStyle w:val="FootnoteReference"/>
          <w:noProof/>
          <w:sz w:val="22"/>
          <w:szCs w:val="22"/>
          <w:lang w:eastAsia="en-GB"/>
        </w:rPr>
        <w:t xml:space="preserve"> </w:t>
      </w:r>
      <w:r>
        <w:rPr>
          <w:rStyle w:val="FootnoteReference"/>
          <w:noProof/>
          <w:sz w:val="22"/>
          <w:szCs w:val="22"/>
          <w:lang w:eastAsia="en-GB"/>
        </w:rPr>
        <w:footnoteReference w:id="55"/>
      </w:r>
      <w:r>
        <w:rPr>
          <w:noProof/>
          <w:sz w:val="22"/>
          <w:szCs w:val="22"/>
          <w:lang w:eastAsia="en-GB"/>
        </w:rPr>
        <w:t xml:space="preserve"> </w:t>
      </w:r>
      <w:r>
        <w:rPr>
          <w:noProof/>
          <w:lang w:val="en"/>
        </w:rPr>
        <w:t>provides access to data and information on species, habitat types and sites of interest in Europe and to related products for biodiversity indicators and assessments. Priority is given to policy-relevant data and information for European and national institutions, professionals, researchers and the public. This includes t</w:t>
      </w:r>
      <w:r>
        <w:rPr>
          <w:noProof/>
          <w:sz w:val="22"/>
          <w:szCs w:val="22"/>
          <w:lang w:eastAsia="en-GB"/>
        </w:rPr>
        <w:t>he data supporting the assessments from Article 12 and Article 17 reporting under the nature directives, which is a unique dataset in the world. Also w</w:t>
      </w:r>
      <w:r>
        <w:rPr>
          <w:noProof/>
          <w:lang w:val="en"/>
        </w:rPr>
        <w:t xml:space="preserve">ith the assistance of the European Environment Agency, the European Commission has developed a </w:t>
      </w:r>
      <w:hyperlink r:id="rId35" w:history="1">
        <w:r>
          <w:rPr>
            <w:rStyle w:val="Hyperlink"/>
            <w:noProof/>
            <w:lang w:val="en"/>
          </w:rPr>
          <w:t>public Natura 2000 viewer</w:t>
        </w:r>
      </w:hyperlink>
      <w:r>
        <w:rPr>
          <w:noProof/>
          <w:lang w:val="en"/>
        </w:rPr>
        <w:t xml:space="preserve"> which makes it possible to explore Natura 2000 sites in every part of the EU at the press of a button. The public viewer is an interactive and user-friendly tool that allows the user to travel seamlessly through the Natura 2000 sites over different types of backgrounds (street maps, satellite imagery, bio-geographical regions, Corine Land Cover, etc.) and to quickly locate sites and related information on species and habitats of interest. The tool is intended to help raise awareness of Natura 2000 amongst the general public as well as provide a useful instrument for developers, land use planners, landowners, government authorities, NGOs, researchers and educationalists, amongst others. </w:t>
      </w:r>
    </w:p>
    <w:bookmarkEnd w:id="43"/>
    <w:p>
      <w:pPr>
        <w:suppressAutoHyphens w:val="0"/>
        <w:ind w:firstLine="0"/>
        <w:jc w:val="left"/>
        <w:rPr>
          <w:noProof/>
          <w:lang w:val="en"/>
        </w:rPr>
      </w:pPr>
    </w:p>
    <w:sectPr>
      <w:headerReference w:type="even" r:id="rId36"/>
      <w:headerReference w:type="default" r:id="rId37"/>
      <w:footerReference w:type="even" r:id="rId38"/>
      <w:footerReference w:type="default" r:id="rId39"/>
      <w:headerReference w:type="first" r:id="rId40"/>
      <w:footerReference w:type="first" r:id="rId41"/>
      <w:pgSz w:w="11906" w:h="16838"/>
      <w:pgMar w:top="1418" w:right="1134" w:bottom="1134" w:left="1134" w:header="720" w:footer="1077" w:gutter="0"/>
      <w:pgNumType w:start="2"/>
      <w:cols w:space="720"/>
      <w:titlePg/>
      <w:docGrid w:linePitch="600" w:charSpace="3276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C88093" w15:done="0"/>
  <w15:commentEx w15:paraId="4AF98758" w15:done="0"/>
  <w15:commentEx w15:paraId="61CA0778" w15:done="0"/>
  <w15:commentEx w15:paraId="1E8D71E5" w15:done="0"/>
  <w15:commentEx w15:paraId="335715DD" w15:done="0"/>
  <w15:commentEx w15:paraId="66103B08" w15:done="0"/>
  <w15:commentEx w15:paraId="17B59347" w15:done="0"/>
  <w15:commentEx w15:paraId="7B3D2B42" w15:done="0"/>
  <w15:commentEx w15:paraId="74B17D8E" w15:paraIdParent="7B3D2B42" w15:done="0"/>
  <w15:commentEx w15:paraId="06115E47" w15:done="0"/>
  <w15:commentEx w15:paraId="364EEE57" w15:done="0"/>
  <w15:commentEx w15:paraId="7CFADF53" w15:done="0"/>
  <w15:commentEx w15:paraId="0D45D245" w15:paraIdParent="7CFADF53" w15:done="0"/>
  <w15:commentEx w15:paraId="51C7933E" w15:done="0"/>
  <w15:commentEx w15:paraId="0F4FD101" w15:done="0"/>
  <w15:commentEx w15:paraId="672ECD23" w15:done="0"/>
  <w15:commentEx w15:paraId="01856ED7" w15:done="0"/>
  <w15:commentEx w15:paraId="38297C56" w15:done="0"/>
  <w15:commentEx w15:paraId="71015E12" w15:done="0"/>
  <w15:commentEx w15:paraId="6B52EB38" w15:done="0"/>
  <w15:commentEx w15:paraId="0A711EAB" w15:done="0"/>
  <w15:commentEx w15:paraId="6B751C9B" w15:done="0"/>
  <w15:commentEx w15:paraId="7CCF1741" w15:done="0"/>
  <w15:commentEx w15:paraId="28612B83" w15:done="0"/>
  <w15:commentEx w15:paraId="26C4B088" w15:done="0"/>
  <w15:commentEx w15:paraId="7DFACD14" w15:done="0"/>
  <w15:commentEx w15:paraId="2BDFB774" w15:done="0"/>
  <w15:commentEx w15:paraId="408D9A82" w15:done="0"/>
  <w15:commentEx w15:paraId="0AEFE658" w15:done="0"/>
  <w15:commentEx w15:paraId="630E39DE" w15:done="0"/>
  <w15:commentEx w15:paraId="52830BAB" w15:paraIdParent="630E39DE" w15:done="0"/>
  <w15:commentEx w15:paraId="33CEEA57" w15:done="0"/>
  <w15:commentEx w15:paraId="2400ECA4" w15:done="0"/>
  <w15:commentEx w15:paraId="4CFB419C" w15:done="0"/>
  <w15:commentEx w15:paraId="7B77747A" w15:done="0"/>
  <w15:commentEx w15:paraId="47332E52" w15:done="0"/>
  <w15:commentEx w15:paraId="5FDEA17C" w15:done="0"/>
  <w15:commentEx w15:paraId="74BB8D3B" w15:done="0"/>
  <w15:commentEx w15:paraId="6A25F6B1" w15:done="0"/>
  <w15:commentEx w15:paraId="6CE62566" w15:done="0"/>
  <w15:commentEx w15:paraId="4DC8DE19" w15:done="0"/>
  <w15:commentEx w15:paraId="50A37F8E" w15:done="0"/>
  <w15:commentEx w15:paraId="0736F41D" w15:done="0"/>
  <w15:commentEx w15:paraId="136D3E01" w15:done="0"/>
  <w15:commentEx w15:paraId="66C5FE65" w15:done="0"/>
  <w15:commentEx w15:paraId="54BD5F01" w15:done="0"/>
  <w15:commentEx w15:paraId="7FF27BEE" w15:done="0"/>
  <w15:commentEx w15:paraId="1489601C" w15:done="0"/>
  <w15:commentEx w15:paraId="7538D561" w15:done="0"/>
  <w15:commentEx w15:paraId="5F1E926C" w15:done="0"/>
  <w15:commentEx w15:paraId="3A341245" w15:done="0"/>
  <w15:commentEx w15:paraId="7AADC1B8" w15:done="0"/>
  <w15:commentEx w15:paraId="020D6D15" w15:done="0"/>
  <w15:commentEx w15:paraId="0EE3B929" w15:done="0"/>
  <w15:commentEx w15:paraId="04E719EB" w15:done="0"/>
  <w15:commentEx w15:paraId="30D9F1FD" w15:done="0"/>
  <w15:commentEx w15:paraId="3425316E" w15:done="0"/>
  <w15:commentEx w15:paraId="11E61D7C" w15:done="0"/>
  <w15:commentEx w15:paraId="4405CD54" w15:done="0"/>
  <w15:commentEx w15:paraId="2DA2DA98" w15:done="0"/>
  <w15:commentEx w15:paraId="5BA8D335" w15:done="0"/>
  <w15:commentEx w15:paraId="76BB77DC" w15:done="0"/>
  <w15:commentEx w15:paraId="40B8358E" w15:done="0"/>
  <w15:commentEx w15:paraId="75EB4D98" w15:done="0"/>
  <w15:commentEx w15:paraId="5F0CA538" w15:done="0"/>
  <w15:commentEx w15:paraId="238FA41C" w15:done="0"/>
  <w15:commentEx w15:paraId="4953023F" w15:done="0"/>
  <w15:commentEx w15:paraId="6BB7F552" w15:done="0"/>
  <w15:commentEx w15:paraId="53059072" w15:done="0"/>
  <w15:commentEx w15:paraId="178350A4" w15:done="0"/>
  <w15:commentEx w15:paraId="4E9C34E4" w15:done="0"/>
  <w15:commentEx w15:paraId="4DD2EEAC" w15:done="0"/>
  <w15:commentEx w15:paraId="301B0CBC" w15:done="0"/>
  <w15:commentEx w15:paraId="37E13E3B" w15:done="0"/>
  <w15:commentEx w15:paraId="571D1FD2" w15:done="0"/>
  <w15:commentEx w15:paraId="6D955DBC" w15:done="0"/>
  <w15:commentEx w15:paraId="2C3FAD9F" w15:done="0"/>
  <w15:commentEx w15:paraId="5F8D84E9" w15:done="0"/>
  <w15:commentEx w15:paraId="5330D8C7" w15:done="0"/>
  <w15:commentEx w15:paraId="34DB8EE7" w15:done="0"/>
  <w15:commentEx w15:paraId="0E877CF7" w15:done="0"/>
  <w15:commentEx w15:paraId="457FA375" w15:done="0"/>
  <w15:commentEx w15:paraId="4DAA4557" w15:done="0"/>
  <w15:commentEx w15:paraId="4D7D921A" w15:done="0"/>
  <w15:commentEx w15:paraId="655ABF64" w15:done="0"/>
  <w15:commentEx w15:paraId="656D5843" w15:done="0"/>
  <w15:commentEx w15:paraId="2EDFE2A0" w15:done="0"/>
  <w15:commentEx w15:paraId="5E05D742" w15:done="0"/>
  <w15:commentEx w15:paraId="211FF597" w15:done="0"/>
  <w15:commentEx w15:paraId="17CE3FF8" w15:done="0"/>
  <w15:commentEx w15:paraId="5E78D818" w15:done="0"/>
  <w15:commentEx w15:paraId="02EC6DE9" w15:done="0"/>
  <w15:commentEx w15:paraId="43414488" w15:done="0"/>
  <w15:commentEx w15:paraId="53648077" w15:done="0"/>
  <w15:commentEx w15:paraId="51A12C72" w15:done="0"/>
  <w15:commentEx w15:paraId="521E887A" w15:done="0"/>
  <w15:commentEx w15:paraId="78669AF1" w15:done="0"/>
  <w15:commentEx w15:paraId="52B6E43A" w15:done="0"/>
  <w15:commentEx w15:paraId="4D5E5B3D" w15:done="0"/>
  <w15:commentEx w15:paraId="179AC438" w15:done="0"/>
  <w15:commentEx w15:paraId="276650D8" w15:done="0"/>
  <w15:commentEx w15:paraId="1B38374D" w15:done="0"/>
  <w15:commentEx w15:paraId="56AE4DBA" w15:done="0"/>
  <w15:commentEx w15:paraId="77E8C0B8" w15:done="0"/>
  <w15:commentEx w15:paraId="37363F1E" w15:done="0"/>
  <w15:commentEx w15:paraId="37202782" w15:done="0"/>
  <w15:commentEx w15:paraId="6798763F" w15:done="0"/>
  <w15:commentEx w15:paraId="5EFD4ECA" w15:done="0"/>
  <w15:commentEx w15:paraId="36C4778C" w15:done="0"/>
  <w15:commentEx w15:paraId="2A2AF95F" w15:done="0"/>
  <w15:commentEx w15:paraId="4DAD7E3D" w15:done="0"/>
  <w15:commentEx w15:paraId="13D0C401" w15:done="0"/>
  <w15:commentEx w15:paraId="4AFC05AC" w15:done="0"/>
  <w15:commentEx w15:paraId="417270E0" w15:done="0"/>
  <w15:commentEx w15:paraId="4CA052B3" w15:done="0"/>
  <w15:commentEx w15:paraId="3D916901" w15:done="0"/>
  <w15:commentEx w15:paraId="0E762C40" w15:done="0"/>
  <w15:commentEx w15:paraId="668C4167" w15:done="0"/>
  <w15:commentEx w15:paraId="2DB6086D" w15:done="0"/>
  <w15:commentEx w15:paraId="3B6E08AD" w15:done="0"/>
  <w15:commentEx w15:paraId="6CA595D2" w15:paraIdParent="3B6E08AD" w15:done="0"/>
  <w15:commentEx w15:paraId="16F3275B" w15:done="0"/>
  <w15:commentEx w15:paraId="093978D9" w15:done="0"/>
  <w15:commentEx w15:paraId="62EC6B1F" w15:done="0"/>
  <w15:commentEx w15:paraId="6AA985F6" w15:done="0"/>
  <w15:commentEx w15:paraId="5FC2269E" w15:done="0"/>
  <w15:commentEx w15:paraId="66EEB08C" w15:done="0"/>
  <w15:commentEx w15:paraId="37110E0F" w15:done="0"/>
  <w15:commentEx w15:paraId="48EF4BF8" w15:done="0"/>
  <w15:commentEx w15:paraId="45C756AC" w15:done="0"/>
  <w15:commentEx w15:paraId="22D673D5" w15:done="0"/>
  <w15:commentEx w15:paraId="71E3AE28" w15:paraIdParent="22D673D5" w15:done="0"/>
  <w15:commentEx w15:paraId="1826779E" w15:done="0"/>
  <w15:commentEx w15:paraId="16C79595" w15:done="0"/>
  <w15:commentEx w15:paraId="1EC4478A" w15:done="0"/>
  <w15:commentEx w15:paraId="3E1F505A" w15:paraIdParent="1EC4478A" w15:done="0"/>
  <w15:commentEx w15:paraId="71DD1DF7" w15:done="0"/>
  <w15:commentEx w15:paraId="6AF93094" w15:done="0"/>
  <w15:commentEx w15:paraId="5B487557" w15:done="0"/>
  <w15:commentEx w15:paraId="5FB4E881" w15:done="0"/>
  <w15:commentEx w15:paraId="05CA5E74" w15:done="0"/>
  <w15:commentEx w15:paraId="299BB83C" w15:done="0"/>
  <w15:commentEx w15:paraId="02F27D22" w15:done="0"/>
  <w15:commentEx w15:paraId="2BB7319B" w15:done="0"/>
  <w15:commentEx w15:paraId="2DF6E041" w15:done="0"/>
  <w15:commentEx w15:paraId="7305D907" w15:done="0"/>
  <w15:commentEx w15:paraId="4263E352" w15:done="0"/>
  <w15:commentEx w15:paraId="0D148B59" w15:done="0"/>
  <w15:commentEx w15:paraId="6E128450" w15:done="0"/>
  <w15:commentEx w15:paraId="576AE6A0" w15:done="0"/>
  <w15:commentEx w15:paraId="0786876B" w15:done="0"/>
  <w15:commentEx w15:paraId="7C781D74" w15:done="0"/>
  <w15:commentEx w15:paraId="68327E8A" w15:done="0"/>
  <w15:commentEx w15:paraId="2530B401" w15:done="0"/>
  <w15:commentEx w15:paraId="0E451F62" w15:done="0"/>
  <w15:commentEx w15:paraId="0CD1B3DE" w15:done="0"/>
  <w15:commentEx w15:paraId="63EE0724" w15:done="0"/>
  <w15:commentEx w15:paraId="06BCB1C9" w15:done="0"/>
  <w15:commentEx w15:paraId="3D94D276" w15:done="0"/>
  <w15:commentEx w15:paraId="3B04AD71" w15:done="0"/>
  <w15:commentEx w15:paraId="1569AC96" w15:done="0"/>
  <w15:commentEx w15:paraId="120EC1E0" w15:paraIdParent="1569AC96" w15:done="0"/>
  <w15:commentEx w15:paraId="115ABF4E" w15:done="0"/>
  <w15:commentEx w15:paraId="6169BCEB" w15:done="0"/>
  <w15:commentEx w15:paraId="78E41D9D" w15:done="0"/>
  <w15:commentEx w15:paraId="62511A20" w15:done="0"/>
  <w15:commentEx w15:paraId="5C6434D6" w15:done="0"/>
  <w15:commentEx w15:paraId="0B4BCF36" w15:paraIdParent="5C6434D6" w15:done="0"/>
  <w15:commentEx w15:paraId="23337583" w15:done="0"/>
  <w15:commentEx w15:paraId="01E7B57B" w15:done="0"/>
  <w15:commentEx w15:paraId="30817C4E" w15:done="0"/>
  <w15:commentEx w15:paraId="3E6A9924" w15:done="0"/>
  <w15:commentEx w15:paraId="1A81C336" w15:done="0"/>
  <w15:commentEx w15:paraId="2FB9CFED" w15:done="0"/>
  <w15:commentEx w15:paraId="13566CE9" w15:done="0"/>
  <w15:commentEx w15:paraId="759CE6A1" w15:done="0"/>
  <w15:commentEx w15:paraId="125E2AD3" w15:paraIdParent="759CE6A1" w15:done="0"/>
  <w15:commentEx w15:paraId="79C07B6C" w15:done="0"/>
  <w15:commentEx w15:paraId="3F9EB782" w15:done="0"/>
  <w15:commentEx w15:paraId="18DC69F4" w15:done="0"/>
  <w15:commentEx w15:paraId="3828B327" w15:done="0"/>
  <w15:commentEx w15:paraId="4884A693" w15:done="0"/>
  <w15:commentEx w15:paraId="46F2D862" w15:done="0"/>
  <w15:commentEx w15:paraId="23925A71" w15:done="0"/>
  <w15:commentEx w15:paraId="40A46589" w15:done="0"/>
  <w15:commentEx w15:paraId="7E3884EF" w15:done="0"/>
  <w15:commentEx w15:paraId="01AC91FE" w15:paraIdParent="7E3884EF" w15:done="0"/>
  <w15:commentEx w15:paraId="4BF89AE9" w15:done="0"/>
  <w15:commentEx w15:paraId="7DD8135B" w15:done="0"/>
  <w15:commentEx w15:paraId="656B7B0C" w15:done="0"/>
  <w15:commentEx w15:paraId="675C7843" w15:done="0"/>
  <w15:commentEx w15:paraId="617E9AAC" w15:done="0"/>
  <w15:commentEx w15:paraId="5100ADBF" w15:done="0"/>
  <w15:commentEx w15:paraId="4FF6079A" w15:done="0"/>
  <w15:commentEx w15:paraId="2C8E7AE2" w15:done="0"/>
  <w15:commentEx w15:paraId="629D3980" w15:done="0"/>
  <w15:commentEx w15:paraId="44B3C32F" w15:done="0"/>
  <w15:commentEx w15:paraId="710D0511" w15:done="0"/>
  <w15:commentEx w15:paraId="1B885CA2" w15:done="0"/>
  <w15:commentEx w15:paraId="59566547" w15:done="0"/>
  <w15:commentEx w15:paraId="2EB838E6" w15:done="0"/>
  <w15:commentEx w15:paraId="271B392F" w15:done="0"/>
  <w15:commentEx w15:paraId="627837FF" w15:done="0"/>
  <w15:commentEx w15:paraId="0E2F8D43" w15:done="0"/>
  <w15:commentEx w15:paraId="39091E5C" w15:done="0"/>
  <w15:commentEx w15:paraId="2DDE7867" w15:done="0"/>
  <w15:commentEx w15:paraId="4ABDDE1C" w15:done="0"/>
  <w15:commentEx w15:paraId="6AC1DF0A" w15:done="0"/>
  <w15:commentEx w15:paraId="2FFE029C" w15:done="0"/>
  <w15:commentEx w15:paraId="3A4A80D8" w15:done="0"/>
  <w15:commentEx w15:paraId="048311D7" w15:done="0"/>
  <w15:commentEx w15:paraId="7B5BFD21" w15:done="0"/>
  <w15:commentEx w15:paraId="1E5D610A" w15:done="0"/>
  <w15:commentEx w15:paraId="7F608263" w15:done="0"/>
  <w15:commentEx w15:paraId="3477144A" w15:done="0"/>
  <w15:commentEx w15:paraId="57522C54" w15:done="0"/>
  <w15:commentEx w15:paraId="067B7D5E" w15:done="0"/>
  <w15:commentEx w15:paraId="11504377" w15:paraIdParent="067B7D5E" w15:done="0"/>
  <w15:commentEx w15:paraId="62E98F6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font>
  <w:font w:name="MyriadPro-SemiboldIt">
    <w:altName w:val="MV Boli"/>
    <w:panose1 w:val="00000000000000000000"/>
    <w:charset w:val="00"/>
    <w:family w:val="swiss"/>
    <w:notTrueType/>
    <w:pitch w:val="default"/>
    <w:sig w:usb0="00000003" w:usb1="00000000" w:usb2="00000000" w:usb3="00000000" w:csb0="00000001" w:csb1="00000000"/>
  </w:font>
  <w:font w:name="MyriadPro-Light">
    <w:altName w:val="Arial"/>
    <w:panose1 w:val="00000000000000000000"/>
    <w:charset w:val="00"/>
    <w:family w:val="swiss"/>
    <w:notTrueType/>
    <w:pitch w:val="default"/>
    <w:sig w:usb0="00000003" w:usb1="00000000" w:usb2="00000000" w:usb3="00000000" w:csb0="00000001" w:csb1="00000000"/>
  </w:font>
  <w:font w:name="MyriadPro-Regular">
    <w:altName w:val="Arial"/>
    <w:panose1 w:val="00000000000000000000"/>
    <w:charset w:val="00"/>
    <w:family w:val="swiss"/>
    <w:notTrueType/>
    <w:pitch w:val="default"/>
    <w:sig w:usb0="00000001" w:usb1="00000000" w:usb2="00000000" w:usb3="00000000" w:csb0="00000009"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ource Sans Pro">
    <w:altName w:val="Times New Roman"/>
    <w:charset w:val="00"/>
    <w:family w:val="auto"/>
    <w:pitch w:val="default"/>
  </w:font>
  <w:font w:name="ECSquareSansProMedium">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rowalliaUPC">
    <w:panose1 w:val="020B06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left="2835" w:right="-1" w:firstLine="0"/>
      <w:jc w:val="right"/>
      <w:rPr>
        <w:rFonts w:ascii="Times New Roman" w:hAnsi="Times New Roman" w:cs="Times New Roman"/>
        <w:sz w:val="20"/>
      </w:rPr>
    </w:pPr>
    <w:r>
      <w:rPr>
        <w:rFonts w:ascii="Times New Roman" w:hAnsi="Times New Roman" w:cs="Times New Roman"/>
        <w:sz w:val="20"/>
      </w:rPr>
      <w:t xml:space="preserve">Page </w:t>
    </w:r>
    <w:r>
      <w:rPr>
        <w:rFonts w:ascii="Times New Roman" w:hAnsi="Times New Roman" w:cs="Times New Roman"/>
        <w:bCs/>
        <w:sz w:val="20"/>
      </w:rPr>
      <w:fldChar w:fldCharType="begin"/>
    </w:r>
    <w:r>
      <w:rPr>
        <w:rFonts w:ascii="Times New Roman" w:hAnsi="Times New Roman" w:cs="Times New Roman"/>
        <w:bCs/>
        <w:sz w:val="20"/>
      </w:rPr>
      <w:instrText xml:space="preserve"> PAGE </w:instrText>
    </w:r>
    <w:r>
      <w:rPr>
        <w:rFonts w:ascii="Times New Roman" w:hAnsi="Times New Roman" w:cs="Times New Roman"/>
        <w:bCs/>
        <w:sz w:val="20"/>
      </w:rPr>
      <w:fldChar w:fldCharType="separate"/>
    </w:r>
    <w:r>
      <w:rPr>
        <w:rFonts w:ascii="Times New Roman" w:hAnsi="Times New Roman" w:cs="Times New Roman"/>
        <w:bCs/>
        <w:noProof/>
        <w:sz w:val="20"/>
      </w:rPr>
      <w:t>31</w:t>
    </w:r>
    <w:r>
      <w:rPr>
        <w:rFonts w:ascii="Times New Roman" w:hAnsi="Times New Roman" w:cs="Times New Roman"/>
        <w:bCs/>
        <w:sz w:val="20"/>
      </w:rPr>
      <w:fldChar w:fldCharType="end"/>
    </w:r>
    <w:r>
      <w:rPr>
        <w:rFonts w:ascii="Times New Roman" w:hAnsi="Times New Roman" w:cs="Times New Roman"/>
        <w:sz w:val="20"/>
      </w:rPr>
      <w:t xml:space="preserve"> of </w:t>
    </w:r>
    <w:r>
      <w:rPr>
        <w:rFonts w:ascii="Times New Roman" w:hAnsi="Times New Roman" w:cs="Times New Roman"/>
        <w:bCs/>
        <w:sz w:val="20"/>
      </w:rPr>
      <w:fldChar w:fldCharType="begin"/>
    </w:r>
    <w:r>
      <w:rPr>
        <w:rFonts w:ascii="Times New Roman" w:hAnsi="Times New Roman" w:cs="Times New Roman"/>
        <w:bCs/>
        <w:sz w:val="20"/>
      </w:rPr>
      <w:instrText xml:space="preserve"> NUMPAGES \*Arabic </w:instrText>
    </w:r>
    <w:r>
      <w:rPr>
        <w:rFonts w:ascii="Times New Roman" w:hAnsi="Times New Roman" w:cs="Times New Roman"/>
        <w:bCs/>
        <w:sz w:val="20"/>
      </w:rPr>
      <w:fldChar w:fldCharType="separate"/>
    </w:r>
    <w:r>
      <w:rPr>
        <w:rFonts w:ascii="Times New Roman" w:hAnsi="Times New Roman" w:cs="Times New Roman"/>
        <w:bCs/>
        <w:noProof/>
        <w:sz w:val="20"/>
      </w:rPr>
      <w:t>31</w:t>
    </w:r>
    <w:r>
      <w:rPr>
        <w:rFonts w:ascii="Times New Roman" w:hAnsi="Times New Roman" w:cs="Times New Roman"/>
        <w:bCs/>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rPr>
          <w:lang w:val="en-GB"/>
        </w:rPr>
      </w:pPr>
      <w:r>
        <w:rPr>
          <w:rStyle w:val="FootnoteReference"/>
        </w:rPr>
        <w:footnoteRef/>
      </w:r>
      <w:r>
        <w:rPr>
          <w:lang w:val="en-GB"/>
        </w:rPr>
        <w:t xml:space="preserve"> </w:t>
      </w:r>
      <w:r>
        <w:t>Gallai et al, 2009</w:t>
      </w:r>
    </w:p>
  </w:footnote>
  <w:footnote w:id="3">
    <w:p>
      <w:pPr>
        <w:pStyle w:val="CommentText"/>
      </w:pPr>
      <w:r>
        <w:rPr>
          <w:rStyle w:val="FootnoteReference"/>
        </w:rPr>
        <w:footnoteRef/>
      </w:r>
      <w:r>
        <w:t xml:space="preserve"> GHK et al. 2007, box 15 TEEB – The Economics of Ecosystems and Biodiversity for National and International Policy Makers – Summary: Responding to the Value of Nature 2009</w:t>
      </w:r>
    </w:p>
    <w:p>
      <w:pPr>
        <w:pStyle w:val="FootnoteText"/>
      </w:pPr>
      <w:hyperlink r:id="rId1" w:history="1">
        <w:r>
          <w:rPr>
            <w:rStyle w:val="Hyperlink"/>
          </w:rPr>
          <w:t>http://www.teebweb.org/media/2009/11/National-Executive-Summary_-English.pdf</w:t>
        </w:r>
      </w:hyperlink>
    </w:p>
  </w:footnote>
  <w:footnote w:id="4">
    <w:p>
      <w:pPr>
        <w:pStyle w:val="FootnoteText"/>
        <w:rPr>
          <w:lang w:val="en-GB"/>
        </w:rPr>
      </w:pPr>
      <w:r>
        <w:rPr>
          <w:rStyle w:val="FootnoteReference"/>
        </w:rPr>
        <w:footnoteRef/>
      </w:r>
      <w:r>
        <w:rPr>
          <w:lang w:val="en-GB"/>
        </w:rPr>
        <w:t xml:space="preserve"> Global Risks Perception Survey 2014</w:t>
      </w:r>
    </w:p>
    <w:p>
      <w:pPr>
        <w:pStyle w:val="FootnoteText"/>
        <w:rPr>
          <w:lang w:val="en-GB"/>
        </w:rPr>
      </w:pPr>
      <w:hyperlink r:id="rId2" w:history="1">
        <w:r>
          <w:rPr>
            <w:rStyle w:val="Hyperlink"/>
            <w:lang w:val="en-GB"/>
          </w:rPr>
          <w:t>http://reports.weforum.org/global-risks-2015/part-1-global-risks-2015/environment-high-concern-little-progress/</w:t>
        </w:r>
      </w:hyperlink>
      <w:r>
        <w:rPr>
          <w:lang w:val="en-GB"/>
        </w:rPr>
        <w:t xml:space="preserve"> </w:t>
      </w:r>
    </w:p>
  </w:footnote>
  <w:footnote w:id="5">
    <w:p>
      <w:pPr>
        <w:pStyle w:val="FootnoteText"/>
        <w:rPr>
          <w:lang w:val="en-GB"/>
        </w:rPr>
      </w:pPr>
      <w:r>
        <w:rPr>
          <w:rStyle w:val="FootnoteReference"/>
        </w:rPr>
        <w:footnoteRef/>
      </w:r>
      <w:r>
        <w:t xml:space="preserve"> Steffen W, et al. (2015) Planet Boundaries: Guiding human development on a changing planet. Science. 13 February</w:t>
      </w:r>
      <w:r>
        <w:rPr>
          <w:lang w:val="en-GB"/>
        </w:rPr>
        <w:t xml:space="preserve"> </w:t>
      </w:r>
      <w:r>
        <w:t>2015. Vol. 347 n° 6223.</w:t>
      </w:r>
    </w:p>
  </w:footnote>
  <w:footnote w:id="6">
    <w:p>
      <w:pPr>
        <w:pStyle w:val="FootnoteText"/>
        <w:rPr>
          <w:lang w:eastAsia="en-US"/>
        </w:rPr>
      </w:pPr>
      <w:r>
        <w:rPr>
          <w:rStyle w:val="FootnoteReference"/>
          <w:i/>
        </w:rPr>
        <w:footnoteRef/>
      </w:r>
      <w:r>
        <w:t xml:space="preserve"> Steffen W, et al. (2015) Planet Boundaries: Guiding human development on a changing planet. </w:t>
      </w:r>
    </w:p>
  </w:footnote>
  <w:footnote w:id="7">
    <w:p>
      <w:pPr>
        <w:pStyle w:val="FootnoteText"/>
        <w:rPr>
          <w:lang w:val="en-GB"/>
        </w:rPr>
      </w:pPr>
      <w:r>
        <w:rPr>
          <w:rStyle w:val="FootnoteReference"/>
        </w:rPr>
        <w:footnoteRef/>
      </w:r>
      <w:r>
        <w:t xml:space="preserve"> </w:t>
      </w:r>
      <w:hyperlink r:id="rId3" w:history="1">
        <w:r>
          <w:rPr>
            <w:rStyle w:val="Hyperlink"/>
          </w:rPr>
          <w:t>http://advances.sciencemag.org/content/1/5/e1400253.full</w:t>
        </w:r>
      </w:hyperlink>
      <w:r>
        <w:rPr>
          <w:lang w:val="en-GB"/>
        </w:rPr>
        <w:t xml:space="preserve"> </w:t>
      </w:r>
    </w:p>
  </w:footnote>
  <w:footnote w:id="8">
    <w:p>
      <w:pPr>
        <w:pStyle w:val="FootnoteText"/>
      </w:pPr>
      <w:r>
        <w:rPr>
          <w:rStyle w:val="FootnoteReference"/>
        </w:rPr>
        <w:footnoteRef/>
      </w:r>
      <w:r>
        <w:t xml:space="preserve"> The costs of not implementing the environmental acquis, COWI et al, 2011.  </w:t>
      </w:r>
      <w:hyperlink r:id="rId4" w:history="1">
        <w:r>
          <w:rPr>
            <w:rStyle w:val="Hyperlink"/>
          </w:rPr>
          <w:t>http://ec.europa.eu/environment/enveco/economics_policy/pdf/report_sept2011.pdf</w:t>
        </w:r>
      </w:hyperlink>
    </w:p>
  </w:footnote>
  <w:footnote w:id="9">
    <w:p>
      <w:pPr>
        <w:pStyle w:val="FootnoteText"/>
        <w:rPr>
          <w:lang w:val="en-GB"/>
        </w:rPr>
      </w:pPr>
      <w:r>
        <w:rPr>
          <w:rStyle w:val="FootnoteReference"/>
        </w:rPr>
        <w:footnoteRef/>
      </w:r>
      <w:r>
        <w:t xml:space="preserve"> </w:t>
      </w:r>
      <w:r>
        <w:rPr>
          <w:lang w:val="en-GB"/>
        </w:rPr>
        <w:t>Cf. Centre for Research on the Epidemiology of Disasters (CRED)</w:t>
      </w:r>
    </w:p>
  </w:footnote>
  <w:footnote w:id="10">
    <w:p>
      <w:pPr>
        <w:pStyle w:val="FootnoteText"/>
        <w:rPr>
          <w:lang w:val="pt-PT"/>
        </w:rPr>
      </w:pPr>
      <w:r>
        <w:rPr>
          <w:rStyle w:val="FootnoteReference"/>
        </w:rPr>
        <w:footnoteRef/>
      </w:r>
      <w:r>
        <w:t xml:space="preserve"> Steffen W, et al. (2015) Planet Boundaries: Guiding human development on a changing planet. Science. 13 February</w:t>
      </w:r>
      <w:r>
        <w:rPr>
          <w:lang w:val="pt-PT"/>
        </w:rPr>
        <w:t xml:space="preserve"> </w:t>
      </w:r>
      <w:r>
        <w:t>2015. Vol. 347 n° 6223.</w:t>
      </w:r>
    </w:p>
  </w:footnote>
  <w:footnote w:id="11">
    <w:p>
      <w:pPr>
        <w:pStyle w:val="FootnoteText"/>
      </w:pPr>
      <w:r>
        <w:rPr>
          <w:rStyle w:val="FootnoteReference"/>
        </w:rPr>
        <w:footnoteRef/>
      </w:r>
      <w:r>
        <w:t xml:space="preserve"> COM(2011)244 final</w:t>
      </w:r>
    </w:p>
  </w:footnote>
  <w:footnote w:id="12">
    <w:p>
      <w:pPr>
        <w:pStyle w:val="FootnoteText"/>
        <w:rPr>
          <w:noProof/>
          <w:lang w:val="pt-PT"/>
        </w:rPr>
      </w:pPr>
      <w:r>
        <w:rPr>
          <w:rStyle w:val="FootnoteReference"/>
        </w:rPr>
        <w:footnoteRef/>
      </w:r>
      <w:r>
        <w:rPr>
          <w:lang w:val="pt-PT"/>
        </w:rPr>
        <w:t xml:space="preserve"> </w:t>
      </w:r>
      <w:r>
        <w:t>COM(2010) 2020</w:t>
      </w:r>
      <w:r>
        <w:rPr>
          <w:lang w:val="pt-PT"/>
        </w:rPr>
        <w:t xml:space="preserve"> final</w:t>
      </w:r>
    </w:p>
  </w:footnote>
  <w:footnote w:id="13">
    <w:p>
      <w:pPr>
        <w:pStyle w:val="FootnoteText"/>
        <w:rPr>
          <w:lang w:val="pt-PT"/>
        </w:rPr>
      </w:pPr>
      <w:r>
        <w:rPr>
          <w:rStyle w:val="FootnoteReference"/>
        </w:rPr>
        <w:footnoteRef/>
      </w:r>
      <w:r>
        <w:rPr>
          <w:lang w:val="pt-PT"/>
        </w:rPr>
        <w:t xml:space="preserve"> </w:t>
      </w:r>
      <w:r>
        <w:t>COM(2011) 21</w:t>
      </w:r>
      <w:r>
        <w:rPr>
          <w:lang w:val="pt-PT"/>
        </w:rPr>
        <w:t xml:space="preserve"> final</w:t>
      </w:r>
    </w:p>
  </w:footnote>
  <w:footnote w:id="14">
    <w:p>
      <w:pPr>
        <w:pStyle w:val="FootnoteText"/>
        <w:rPr>
          <w:lang w:val="pt-PT"/>
        </w:rPr>
      </w:pPr>
      <w:r>
        <w:rPr>
          <w:rStyle w:val="FootnoteReference"/>
        </w:rPr>
        <w:footnoteRef/>
      </w:r>
      <w:r>
        <w:rPr>
          <w:lang w:val="pt-PT"/>
        </w:rPr>
        <w:t xml:space="preserve"> </w:t>
      </w:r>
      <w:r>
        <w:rPr>
          <w:rStyle w:val="Strong"/>
          <w:b w:val="0"/>
          <w:color w:val="444444"/>
          <w:lang w:val="pt-PT"/>
        </w:rPr>
        <w:t>Decision No 1386/2013/EU</w:t>
      </w:r>
      <w:r>
        <w:t xml:space="preserve"> </w:t>
      </w:r>
    </w:p>
  </w:footnote>
  <w:footnote w:id="15">
    <w:p>
      <w:pPr>
        <w:pStyle w:val="FootnoteText"/>
      </w:pPr>
      <w:r>
        <w:rPr>
          <w:rStyle w:val="FootnoteReference"/>
        </w:rPr>
        <w:footnoteRef/>
      </w:r>
      <w:r>
        <w:t xml:space="preserve"> EEA Technical report on State of Nature in the European Union, May 2015 </w:t>
      </w:r>
      <w:hyperlink r:id="rId5" w:history="1">
        <w:r>
          <w:rPr>
            <w:rStyle w:val="Hyperlink"/>
          </w:rPr>
          <w:t>http://www.eea.europa.eu/highlights/state-of-nature-in-the</w:t>
        </w:r>
      </w:hyperlink>
      <w:r>
        <w:rPr>
          <w:lang w:val="en-GB"/>
        </w:rPr>
        <w:t xml:space="preserve"> </w:t>
      </w:r>
    </w:p>
  </w:footnote>
  <w:footnote w:id="16">
    <w:p>
      <w:pPr>
        <w:pStyle w:val="FootnoteText"/>
      </w:pPr>
      <w:r>
        <w:rPr>
          <w:rStyle w:val="FootnoteReference"/>
        </w:rPr>
        <w:footnoteRef/>
      </w:r>
      <w:r>
        <w:t xml:space="preserve"> http://www.eea.europa.eu/publications/eu-2010-biodiversity-baseline/</w:t>
      </w:r>
    </w:p>
  </w:footnote>
  <w:footnote w:id="17">
    <w:p>
      <w:pPr>
        <w:pStyle w:val="FootnoteText"/>
      </w:pPr>
      <w:r>
        <w:rPr>
          <w:rStyle w:val="Caractresdenotedebasdepage"/>
        </w:rPr>
        <w:footnoteRef/>
      </w:r>
      <w:r>
        <w:rPr>
          <w:lang w:val="fr-BE"/>
        </w:rPr>
        <w:t xml:space="preserve"> Source: Eurostat LUCAS 2012 survey (</w:t>
      </w:r>
      <w:hyperlink r:id="rId6" w:history="1">
        <w:r>
          <w:rPr>
            <w:rStyle w:val="Hyperlink"/>
            <w:lang w:val="fr-BE"/>
          </w:rPr>
          <w:t>http://ec.europa.eu/eurostat/statistics-explained/index.php/Land_cover_statistics</w:t>
        </w:r>
      </w:hyperlink>
      <w:r>
        <w:rPr>
          <w:lang w:val="fr-BE"/>
        </w:rPr>
        <w:t xml:space="preserve"> )</w:t>
      </w:r>
    </w:p>
  </w:footnote>
  <w:footnote w:id="18">
    <w:p>
      <w:pPr>
        <w:pStyle w:val="FootnoteText"/>
        <w:rPr>
          <w:lang w:val="en-GB"/>
        </w:rPr>
      </w:pPr>
      <w:r>
        <w:rPr>
          <w:rStyle w:val="FootnoteReference"/>
        </w:rPr>
        <w:footnoteRef/>
      </w:r>
      <w:r>
        <w:t xml:space="preserve"> </w:t>
      </w:r>
      <w:r>
        <w:rPr>
          <w:lang w:val="en-GB"/>
        </w:rPr>
        <w:t xml:space="preserve">EEA Technical report on State of Nature in the EU, May 2015 </w:t>
      </w:r>
      <w:hyperlink r:id="rId7" w:history="1">
        <w:r>
          <w:rPr>
            <w:rStyle w:val="Hyperlink"/>
            <w:lang w:val="en-GB"/>
          </w:rPr>
          <w:t>http://www.eea.europa.eu/highlights/state-of-nature-in-the</w:t>
        </w:r>
      </w:hyperlink>
      <w:r>
        <w:rPr>
          <w:lang w:val="en-GB"/>
        </w:rPr>
        <w:t xml:space="preserve"> </w:t>
      </w:r>
    </w:p>
  </w:footnote>
  <w:footnote w:id="19">
    <w:p>
      <w:pPr>
        <w:pStyle w:val="FootnoteText"/>
      </w:pPr>
      <w:r>
        <w:rPr>
          <w:rStyle w:val="FootnoteReference"/>
        </w:rPr>
        <w:footnoteRef/>
      </w:r>
      <w:r>
        <w:t xml:space="preserve"> Gallai et al, 2009</w:t>
      </w:r>
    </w:p>
  </w:footnote>
  <w:footnote w:id="20">
    <w:p>
      <w:pPr>
        <w:pStyle w:val="FootnoteText"/>
      </w:pPr>
      <w:r>
        <w:rPr>
          <w:rStyle w:val="Caractresdenotedebasdepage"/>
        </w:rPr>
        <w:footnoteRef/>
      </w:r>
      <w:r>
        <w:t xml:space="preserve"> European Environment Agency. European waters — assessment of status and pressures. EEA Report No 8/2012.</w:t>
      </w:r>
      <w:r>
        <w:rPr>
          <w:lang w:val="en-GB"/>
        </w:rPr>
        <w:t xml:space="preserve"> </w:t>
      </w:r>
      <w:hyperlink r:id="rId8" w:history="1">
        <w:r>
          <w:rPr>
            <w:rStyle w:val="Hyperlink"/>
          </w:rPr>
          <w:t>http://www.eea.europa.eu/publications/european-waters-assessment-2012</w:t>
        </w:r>
      </w:hyperlink>
      <w:r>
        <w:t>.</w:t>
      </w:r>
    </w:p>
  </w:footnote>
  <w:footnote w:id="21">
    <w:p>
      <w:pPr>
        <w:pStyle w:val="FootnoteText"/>
      </w:pPr>
      <w:r>
        <w:rPr>
          <w:rStyle w:val="Caractresdenotedebasdepage"/>
        </w:rPr>
        <w:footnoteRef/>
      </w:r>
      <w:r>
        <w:t xml:space="preserve"> Gregory R.D., Willis S.G., Jiguet F., Voříšek P., Klvaňová A., van Strien, A., Huntley, B., Collingham, Y.C., Couvet, D., Green, R.E. (2009) An Indicator of the Impact of Climatic Change on European Bird Populations. PLoS ONE 4(3): e4678 (DOI:10.1371/journal.pone.0004678). </w:t>
      </w:r>
      <w:hyperlink r:id="rId9" w:history="1">
        <w:r>
          <w:rPr>
            <w:rStyle w:val="Hyperlink"/>
          </w:rPr>
          <w:t>http://journals.plos.org/plosone/article?id=10.1371/journal.pone.0004678</w:t>
        </w:r>
      </w:hyperlink>
    </w:p>
  </w:footnote>
  <w:footnote w:id="22">
    <w:p>
      <w:pPr>
        <w:pStyle w:val="FootnoteText"/>
        <w:rPr>
          <w:lang w:val="fr-BE"/>
        </w:rPr>
      </w:pPr>
      <w:r>
        <w:rPr>
          <w:rStyle w:val="FootnoteReference"/>
        </w:rPr>
        <w:footnoteRef/>
      </w:r>
      <w:r>
        <w:t xml:space="preserve"> </w:t>
      </w:r>
      <w:hyperlink r:id="rId10" w:history="1">
        <w:r>
          <w:rPr>
            <w:rStyle w:val="Hyperlink"/>
            <w:lang w:val="en-GB"/>
          </w:rPr>
          <w:t>http://www.eea.europa.eu/data-and-maps/indicators/ecological-footprint-of-european-countries/ecological-footprint-of-european-countries-2</w:t>
        </w:r>
      </w:hyperlink>
    </w:p>
  </w:footnote>
  <w:footnote w:id="23">
    <w:p>
      <w:pPr>
        <w:pStyle w:val="CommentText"/>
      </w:pPr>
      <w:r>
        <w:rPr>
          <w:rStyle w:val="FootnoteReference"/>
        </w:rPr>
        <w:footnoteRef/>
      </w:r>
      <w:r>
        <w:t xml:space="preserve"> ten Brink P., Badura T., Bassi S., Daly, E., Dickie, I., Ding H., Gantioler S., Gerdes, H., Hart, K., Kettunen M., Lago, M., Lang, S., Markandya A., Mazza, L., Nunes P.A.L.D., Pieterse, M., Rayment M., Tinch R., (2011). Estimating the Overall Economic Value of the Benefits provided by the Natura 2000 Network. Final Synthesis Report to the European Commission, DG Environment on Contract ENV.B.2/SER/2008/0038. Institute for European Environmental Policy / GHK / Ecologic, Brussels 2011 </w:t>
      </w:r>
    </w:p>
    <w:p>
      <w:pPr>
        <w:pStyle w:val="FootnoteText"/>
      </w:pPr>
      <w:hyperlink r:id="rId11" w:history="1">
        <w:r>
          <w:rPr>
            <w:rStyle w:val="Hyperlink"/>
          </w:rPr>
          <w:t>http://www.ieep.eu/assets/955/Economic_Benefits_of_Natura_2000_Network_Synthesis_report.pdf</w:t>
        </w:r>
      </w:hyperlink>
    </w:p>
  </w:footnote>
  <w:footnote w:id="24">
    <w:p>
      <w:pPr>
        <w:pStyle w:val="CommentText"/>
        <w:rPr>
          <w:lang w:val="da-DK"/>
        </w:rPr>
      </w:pPr>
      <w:r>
        <w:rPr>
          <w:rStyle w:val="FootnoteReference"/>
        </w:rPr>
        <w:footnoteRef/>
      </w:r>
      <w:r>
        <w:t xml:space="preserve"> Gantioler et al., 2010.</w:t>
      </w:r>
    </w:p>
  </w:footnote>
  <w:footnote w:id="25">
    <w:p>
      <w:pPr>
        <w:pStyle w:val="FootnoteText"/>
        <w:rPr>
          <w:lang w:val="da-DK"/>
        </w:rPr>
      </w:pPr>
      <w:r>
        <w:rPr>
          <w:rStyle w:val="FootnoteReference"/>
        </w:rPr>
        <w:footnoteRef/>
      </w:r>
      <w:r>
        <w:rPr>
          <w:lang w:val="da-DK"/>
        </w:rPr>
        <w:t xml:space="preserve"> Fernandez et al., 2008</w:t>
      </w:r>
    </w:p>
  </w:footnote>
  <w:footnote w:id="26">
    <w:p>
      <w:pPr>
        <w:pStyle w:val="FootnoteText"/>
        <w:rPr>
          <w:lang w:val="en-GB"/>
        </w:rPr>
      </w:pPr>
      <w:r>
        <w:rPr>
          <w:rStyle w:val="FootnoteReference"/>
        </w:rPr>
        <w:footnoteRef/>
      </w:r>
      <w:r>
        <w:t xml:space="preserve"> </w:t>
      </w:r>
      <w:r>
        <w:rPr>
          <w:lang w:val="en-GB"/>
        </w:rPr>
        <w:t>BirdLife International (2004). Birds in the European Union: a status assessment. Wageningen, The Netherlands.</w:t>
      </w:r>
    </w:p>
  </w:footnote>
  <w:footnote w:id="27">
    <w:p>
      <w:pPr>
        <w:ind w:firstLine="0"/>
        <w:rPr>
          <w:sz w:val="20"/>
        </w:rPr>
      </w:pPr>
      <w:r>
        <w:rPr>
          <w:rStyle w:val="FootnoteReference"/>
          <w:sz w:val="20"/>
        </w:rPr>
        <w:footnoteRef/>
      </w:r>
      <w:r>
        <w:rPr>
          <w:sz w:val="20"/>
        </w:rPr>
        <w:t xml:space="preserve"> To quantitatively measure this target a methodology was developed by the Expert Group on Reporting under the Nature Directives and further validated by the Group of experts on the Birds and the Habitats Directive. It is based on a changes matrix which displays the different possible combinations of changes in EU conservation status assessments (for Art. 17) between the two reporting periods (i.e. 2001-06 and 2007-12) or changes in bird population status (for Art 12) since 2004 when ‘Birds in the European Union’ (BirdLife 2004) was published.</w:t>
      </w:r>
    </w:p>
  </w:footnote>
  <w:footnote w:id="28">
    <w:p>
      <w:pPr>
        <w:pStyle w:val="FootnoteText"/>
        <w:rPr>
          <w:lang w:val="en-GB"/>
        </w:rPr>
      </w:pPr>
      <w:r>
        <w:rPr>
          <w:rStyle w:val="FootnoteReference"/>
        </w:rPr>
        <w:footnoteRef/>
      </w:r>
      <w:r>
        <w:rPr>
          <w:lang w:val="en-GB"/>
        </w:rPr>
        <w:t xml:space="preserve"> See</w:t>
      </w:r>
      <w:r>
        <w:t xml:space="preserve"> </w:t>
      </w:r>
      <w:hyperlink r:id="rId12" w:history="1">
        <w:r>
          <w:rPr>
            <w:rStyle w:val="Hyperlink"/>
          </w:rPr>
          <w:t>http://eur-lex.europa.eu/legal-content/EN/TXT/?uri=COM:2015:219:FIN</w:t>
        </w:r>
      </w:hyperlink>
      <w:r>
        <w:rPr>
          <w:lang w:val="en-GB"/>
        </w:rPr>
        <w:t xml:space="preserve"> </w:t>
      </w:r>
    </w:p>
  </w:footnote>
  <w:footnote w:id="29">
    <w:p>
      <w:pPr>
        <w:pStyle w:val="FootnoteText"/>
      </w:pPr>
      <w:r>
        <w:rPr>
          <w:rStyle w:val="Caractresdenotedebasdepage"/>
        </w:rPr>
        <w:footnoteRef/>
      </w:r>
      <w:r>
        <w:t xml:space="preserve"> </w:t>
      </w:r>
      <w:hyperlink r:id="rId13" w:history="1">
        <w:r>
          <w:rPr>
            <w:rStyle w:val="Hyperlink"/>
          </w:rPr>
          <w:t>http://ec.europa.eu/environment/nature/legislation/index_en.htm</w:t>
        </w:r>
      </w:hyperlink>
      <w:r>
        <w:rPr>
          <w:rStyle w:val="Hyperlink"/>
        </w:rPr>
        <w:t>.</w:t>
      </w:r>
    </w:p>
  </w:footnote>
  <w:footnote w:id="30">
    <w:p>
      <w:pPr>
        <w:pStyle w:val="CommentText"/>
      </w:pPr>
      <w:r>
        <w:rPr>
          <w:rStyle w:val="Caractresdenotedebasdepage"/>
        </w:rPr>
        <w:footnoteRef/>
      </w:r>
      <w:r>
        <w:t xml:space="preserve"> See </w:t>
      </w:r>
      <w:hyperlink r:id="rId14" w:history="1">
        <w:r>
          <w:rPr>
            <w:rStyle w:val="Hyperlink"/>
          </w:rPr>
          <w:t>http://www.eea.europa.eu/publications/protected-areas-in-europe-2012</w:t>
        </w:r>
      </w:hyperlink>
      <w:r>
        <w:t xml:space="preserve">, page </w:t>
      </w:r>
      <w:r>
        <w:rPr>
          <w:lang w:val="en-GB"/>
        </w:rPr>
        <w:t>112</w:t>
      </w:r>
      <w:r>
        <w:t>, Table 7.1.</w:t>
      </w:r>
    </w:p>
  </w:footnote>
  <w:footnote w:id="31">
    <w:p>
      <w:pPr>
        <w:pStyle w:val="FootnoteText"/>
      </w:pPr>
      <w:r>
        <w:rPr>
          <w:rStyle w:val="Caractresdenotedebasdepage"/>
        </w:rPr>
        <w:footnoteRef/>
      </w:r>
      <w:r>
        <w:t xml:space="preserve"> </w:t>
      </w:r>
      <w:r>
        <w:rPr>
          <w:lang w:val="en-GB"/>
        </w:rPr>
        <w:t xml:space="preserve">EEA Technical report on State of Nature in the EU, May 2015 </w:t>
      </w:r>
      <w:hyperlink r:id="rId15" w:history="1">
        <w:r>
          <w:rPr>
            <w:rStyle w:val="Hyperlink"/>
            <w:lang w:val="en-GB"/>
          </w:rPr>
          <w:t>http://www.eea.europa.eu/publications/state-of-nature-in-the-eu</w:t>
        </w:r>
      </w:hyperlink>
      <w:r>
        <w:rPr>
          <w:lang w:val="en-GB"/>
        </w:rPr>
        <w:t xml:space="preserve">   </w:t>
      </w:r>
    </w:p>
  </w:footnote>
  <w:footnote w:id="32">
    <w:p>
      <w:pPr>
        <w:pStyle w:val="FootnoteText"/>
      </w:pPr>
      <w:r>
        <w:rPr>
          <w:rStyle w:val="Caractresdenotedebasdepage"/>
        </w:rPr>
        <w:footnoteRef/>
      </w:r>
      <w:r>
        <w:t xml:space="preserve"> Directive 2009/147/EC of the European Parliament and of the Council of 30 November 2009</w:t>
      </w:r>
    </w:p>
    <w:p>
      <w:pPr>
        <w:pStyle w:val="FootnoteText"/>
      </w:pPr>
      <w:r>
        <w:t>on the conservation of wild birds</w:t>
      </w:r>
      <w:r>
        <w:rPr>
          <w:lang w:val="en-GB"/>
        </w:rPr>
        <w:t xml:space="preserve"> </w:t>
      </w:r>
      <w:r>
        <w:t xml:space="preserve"> (codified version replacing Directive 79/409/EEC), OJ L 20, 26.1.2010.</w:t>
      </w:r>
    </w:p>
  </w:footnote>
  <w:footnote w:id="33">
    <w:p>
      <w:pPr>
        <w:pStyle w:val="FootnoteText"/>
        <w:tabs>
          <w:tab w:val="left" w:pos="142"/>
        </w:tabs>
      </w:pPr>
      <w:r>
        <w:rPr>
          <w:rStyle w:val="Caractresdenotedebasdepage"/>
        </w:rPr>
        <w:footnoteRef/>
      </w:r>
      <w:r>
        <w:tab/>
        <w:t xml:space="preserve"> Council Directive 92/43/EEC of 21 May 1992 on the conservation of natural habitats and of wild fauna and flora. OJ L 206, 22.7.1992.</w:t>
      </w:r>
    </w:p>
  </w:footnote>
  <w:footnote w:id="34">
    <w:p>
      <w:pPr>
        <w:pStyle w:val="FootnoteText"/>
      </w:pPr>
      <w:r>
        <w:rPr>
          <w:rStyle w:val="Caractresdenotedebasdepage"/>
        </w:rPr>
        <w:footnoteRef/>
      </w:r>
      <w:r>
        <w:t xml:space="preserve"> </w:t>
      </w:r>
      <w:hyperlink r:id="rId16" w:history="1">
        <w:r>
          <w:rPr>
            <w:rStyle w:val="Hyperlink"/>
          </w:rPr>
          <w:t>http://ec.europa.eu/environment/nature/natura2000/barometer/index_en.htm</w:t>
        </w:r>
      </w:hyperlink>
      <w:r>
        <w:rPr>
          <w:lang w:val="pl-PL"/>
        </w:rPr>
        <w:t xml:space="preserve"> </w:t>
      </w:r>
    </w:p>
  </w:footnote>
  <w:footnote w:id="35">
    <w:p>
      <w:pPr>
        <w:pStyle w:val="FootnoteText"/>
        <w:rPr>
          <w:lang w:val="en-GB"/>
        </w:rPr>
      </w:pPr>
      <w:r>
        <w:rPr>
          <w:rStyle w:val="FootnoteReference"/>
        </w:rPr>
        <w:footnoteRef/>
      </w:r>
      <w:r>
        <w:t xml:space="preserve"> </w:t>
      </w:r>
      <w:r>
        <w:rPr>
          <w:lang w:val="en-GB"/>
        </w:rPr>
        <w:t xml:space="preserve">EEA Technical report on State of Nature in the EU, May 2015 </w:t>
      </w:r>
      <w:hyperlink r:id="rId17" w:history="1">
        <w:r>
          <w:rPr>
            <w:rStyle w:val="Hyperlink"/>
            <w:lang w:val="en-GB"/>
          </w:rPr>
          <w:t>http://www.eea.europa.eu/publications/state-of-nature-in-the-eu</w:t>
        </w:r>
      </w:hyperlink>
      <w:r>
        <w:rPr>
          <w:lang w:val="en-GB"/>
        </w:rPr>
        <w:t xml:space="preserve">   </w:t>
      </w:r>
    </w:p>
  </w:footnote>
  <w:footnote w:id="36">
    <w:p>
      <w:pPr>
        <w:pStyle w:val="FootnoteText"/>
      </w:pPr>
      <w:r>
        <w:rPr>
          <w:rStyle w:val="Caractresdenotedebasdepage"/>
        </w:rPr>
        <w:footnoteRef/>
      </w:r>
      <w:r>
        <w:rPr>
          <w:lang w:val="en-GB"/>
        </w:rPr>
        <w:t xml:space="preserve"> EEA Technical report on State of Nature in the EU, May 2015 </w:t>
      </w:r>
      <w:hyperlink r:id="rId18" w:history="1">
        <w:r>
          <w:rPr>
            <w:rStyle w:val="Hyperlink"/>
            <w:lang w:val="en-GB"/>
          </w:rPr>
          <w:t>http://www.eea.europa.eu/publications/state-of-nature-in-the-eu</w:t>
        </w:r>
      </w:hyperlink>
      <w:r>
        <w:rPr>
          <w:lang w:val="en-GB"/>
        </w:rPr>
        <w:t xml:space="preserve">    </w:t>
      </w:r>
      <w:r>
        <w:rPr>
          <w:color w:val="1F497D"/>
        </w:rPr>
        <w:t xml:space="preserve"> </w:t>
      </w:r>
    </w:p>
  </w:footnote>
  <w:footnote w:id="37">
    <w:p>
      <w:pPr>
        <w:pStyle w:val="FootnoteText"/>
        <w:rPr>
          <w:lang w:val="en-GB"/>
        </w:rPr>
      </w:pPr>
      <w:r>
        <w:rPr>
          <w:rStyle w:val="FootnoteReference"/>
        </w:rPr>
        <w:footnoteRef/>
      </w:r>
      <w:r>
        <w:t xml:space="preserve"> EEA Technical report on State of Nature in the EU, May 2015</w:t>
      </w:r>
      <w:r>
        <w:rPr>
          <w:lang w:val="en-GB"/>
        </w:rPr>
        <w:t xml:space="preserve"> </w:t>
      </w:r>
      <w:hyperlink r:id="rId19" w:history="1">
        <w:r>
          <w:rPr>
            <w:rStyle w:val="Hyperlink"/>
          </w:rPr>
          <w:t>http://www.eea.europa.eu/publications/state-of-nature-in-the-eu</w:t>
        </w:r>
      </w:hyperlink>
    </w:p>
  </w:footnote>
  <w:footnote w:id="38">
    <w:p>
      <w:pPr>
        <w:pStyle w:val="FootnoteText"/>
      </w:pPr>
      <w:r>
        <w:rPr>
          <w:rStyle w:val="Caractresdenotedebasdepage"/>
        </w:rPr>
        <w:footnoteRef/>
      </w:r>
      <w:r>
        <w:rPr>
          <w:lang w:val="en-GB"/>
        </w:rPr>
        <w:t xml:space="preserve"> SEC (2011) 1573 final.</w:t>
      </w:r>
    </w:p>
  </w:footnote>
  <w:footnote w:id="39">
    <w:p>
      <w:pPr>
        <w:pStyle w:val="FootnoteText"/>
      </w:pPr>
      <w:r>
        <w:rPr>
          <w:rStyle w:val="Caractresdenotedebasdepage"/>
        </w:rPr>
        <w:footnoteRef/>
      </w:r>
      <w:r>
        <w:rPr>
          <w:lang w:val="en-GB"/>
        </w:rPr>
        <w:t xml:space="preserve"> Integration approach is understood as a method of financing set out in the 2004 "Communication on financing Natura 2000" whereby financing of the network on the EU level is integrated into different sectoral EU funds as opposed to setting up a dedicated fund.</w:t>
      </w:r>
    </w:p>
  </w:footnote>
  <w:footnote w:id="40">
    <w:p>
      <w:pPr>
        <w:pStyle w:val="FootnoteText"/>
        <w:rPr>
          <w:lang w:val="fr-BE"/>
        </w:rPr>
      </w:pPr>
      <w:r>
        <w:rPr>
          <w:rStyle w:val="Caractresdenotedebasdepage"/>
        </w:rPr>
        <w:footnoteRef/>
      </w:r>
      <w:r>
        <w:t xml:space="preserve"> </w:t>
      </w:r>
      <w:hyperlink r:id="rId20" w:anchor="guidancehandbook" w:history="1">
        <w:r>
          <w:rPr>
            <w:rStyle w:val="Hyperlink"/>
          </w:rPr>
          <w:t>http://ec.europa.eu/environment/nature/natura2000/financing/index_en.htm#guidancehandbook</w:t>
        </w:r>
      </w:hyperlink>
      <w:r>
        <w:rPr>
          <w:lang w:val="fr-BE"/>
        </w:rPr>
        <w:t xml:space="preserve"> </w:t>
      </w:r>
    </w:p>
  </w:footnote>
  <w:footnote w:id="41">
    <w:p>
      <w:pPr>
        <w:pStyle w:val="FootnoteText"/>
      </w:pPr>
      <w:r>
        <w:rPr>
          <w:rStyle w:val="Caractresdenotedebasdepage"/>
        </w:rPr>
        <w:footnoteRef/>
      </w:r>
      <w:r>
        <w:t xml:space="preserve"> </w:t>
      </w:r>
      <w:hyperlink r:id="rId21" w:history="1">
        <w:r>
          <w:rPr>
            <w:rStyle w:val="Hyperlink"/>
          </w:rPr>
          <w:t>http://ec.europa.eu/public_opinion/flash/fl_379_sum_en.pdf</w:t>
        </w:r>
      </w:hyperlink>
      <w:r>
        <w:t>.</w:t>
      </w:r>
    </w:p>
  </w:footnote>
  <w:footnote w:id="42">
    <w:p>
      <w:pPr>
        <w:pStyle w:val="FootnoteText"/>
      </w:pPr>
      <w:r>
        <w:rPr>
          <w:rStyle w:val="Caractresdenotedebasdepage"/>
        </w:rPr>
        <w:footnoteRef/>
      </w:r>
      <w:r>
        <w:t xml:space="preserve"> </w:t>
      </w:r>
      <w:hyperlink r:id="rId22" w:history="1">
        <w:r>
          <w:rPr>
            <w:rStyle w:val="Hyperlink"/>
          </w:rPr>
          <w:t>http://www.eea.europa.eu/data-and-maps/indicators/public-awareness/public-awareness-assessment-published-may-1</w:t>
        </w:r>
      </w:hyperlink>
      <w:r>
        <w:rPr>
          <w:lang w:val="en-GB"/>
        </w:rPr>
        <w:t xml:space="preserve"> </w:t>
      </w:r>
    </w:p>
  </w:footnote>
  <w:footnote w:id="43">
    <w:p>
      <w:pPr>
        <w:pStyle w:val="FootnoteText"/>
      </w:pPr>
      <w:r>
        <w:rPr>
          <w:rStyle w:val="Caractresdenotedebasdepage"/>
        </w:rPr>
        <w:footnoteRef/>
      </w:r>
      <w:r>
        <w:t xml:space="preserve"> </w:t>
      </w:r>
      <w:hyperlink r:id="rId23" w:history="1">
        <w:r>
          <w:rPr>
            <w:rStyle w:val="Hyperlink"/>
            <w:szCs w:val="24"/>
          </w:rPr>
          <w:t>http://ec.europa.eu/environment/nature/natura2000/awards/index_en.htm</w:t>
        </w:r>
      </w:hyperlink>
      <w:r>
        <w:rPr>
          <w:szCs w:val="24"/>
          <w:lang w:val="en-GB"/>
        </w:rPr>
        <w:t xml:space="preserve"> </w:t>
      </w:r>
    </w:p>
  </w:footnote>
  <w:footnote w:id="44">
    <w:p>
      <w:pPr>
        <w:pStyle w:val="FootnoteText"/>
      </w:pPr>
      <w:r>
        <w:rPr>
          <w:rStyle w:val="Caractresdenotedebasdepage"/>
        </w:rPr>
        <w:footnoteRef/>
      </w:r>
      <w:r>
        <w:t xml:space="preserve"> </w:t>
      </w:r>
      <w:hyperlink r:id="rId24" w:history="1">
        <w:r>
          <w:rPr>
            <w:rStyle w:val="Hyperlink"/>
          </w:rPr>
          <w:t>http://ec.europa.eu/environment/nature/natura2000/management/guidance_en.htm</w:t>
        </w:r>
      </w:hyperlink>
      <w:r>
        <w:rPr>
          <w:lang w:val="fr-BE"/>
        </w:rPr>
        <w:t xml:space="preserve">. </w:t>
      </w:r>
    </w:p>
  </w:footnote>
  <w:footnote w:id="45">
    <w:p>
      <w:pPr>
        <w:rPr>
          <w:sz w:val="20"/>
        </w:rPr>
      </w:pPr>
      <w:r>
        <w:rPr>
          <w:rStyle w:val="Caractresdenotedebasdepage"/>
          <w:sz w:val="20"/>
        </w:rPr>
        <w:footnoteRef/>
      </w:r>
      <w:hyperlink r:id="rId25" w:history="1">
        <w:r>
          <w:rPr>
            <w:rStyle w:val="Hyperlink"/>
            <w:sz w:val="20"/>
            <w:lang w:val="fr-BE"/>
          </w:rPr>
          <w:t>http://ec.europa.eu/environment/nature/natura2000/marine/index_en.htm</w:t>
        </w:r>
      </w:hyperlink>
    </w:p>
  </w:footnote>
  <w:footnote w:id="46">
    <w:p>
      <w:pPr>
        <w:pStyle w:val="FootnoteText"/>
      </w:pPr>
      <w:r>
        <w:rPr>
          <w:rStyle w:val="Caractresdenotedebasdepage"/>
        </w:rPr>
        <w:footnoteRef/>
      </w:r>
      <w:r>
        <w:t xml:space="preserve"> </w:t>
      </w:r>
      <w:hyperlink r:id="rId26" w:history="1">
        <w:r>
          <w:rPr>
            <w:rStyle w:val="Hyperlink"/>
            <w:lang w:val="en-GB"/>
          </w:rPr>
          <w:t>http://ec.europa.eu/environment/nature/conservation/species/carnivores/coexistence_platform.htm</w:t>
        </w:r>
      </w:hyperlink>
    </w:p>
  </w:footnote>
  <w:footnote w:id="47">
    <w:p>
      <w:pPr>
        <w:pStyle w:val="FootnoteText"/>
      </w:pPr>
      <w:r>
        <w:rPr>
          <w:rStyle w:val="Caractresdenotedebasdepage"/>
        </w:rPr>
        <w:footnoteRef/>
      </w:r>
      <w:r>
        <w:t xml:space="preserve"> </w:t>
      </w:r>
      <w:hyperlink r:id="rId27" w:history="1">
        <w:r>
          <w:rPr>
            <w:rStyle w:val="Hyperlink"/>
            <w:lang w:val="en-GB"/>
          </w:rPr>
          <w:t>http://ec.europa.eu/environment/nature/conservation/species/carnivores/pdf/key_actions_large_carnivores_2015.pdf</w:t>
        </w:r>
      </w:hyperlink>
    </w:p>
  </w:footnote>
  <w:footnote w:id="48">
    <w:p>
      <w:pPr>
        <w:rPr>
          <w:sz w:val="20"/>
        </w:rPr>
      </w:pPr>
      <w:r>
        <w:rPr>
          <w:rStyle w:val="Caractresdenotedebasdepage"/>
          <w:sz w:val="20"/>
        </w:rPr>
        <w:footnoteRef/>
      </w:r>
      <w:hyperlink r:id="rId28" w:history="1">
        <w:r>
          <w:rPr>
            <w:rStyle w:val="Hyperlink"/>
            <w:sz w:val="20"/>
            <w:lang w:val="fr-BE"/>
          </w:rPr>
          <w:t>http://ec.europa.eu/environment/nature/conservation/species/carnivores/promoting_dialogue.htm</w:t>
        </w:r>
      </w:hyperlink>
    </w:p>
  </w:footnote>
  <w:footnote w:id="49">
    <w:p>
      <w:pPr>
        <w:pStyle w:val="FootnoteText"/>
        <w:rPr>
          <w:lang w:val="en-GB"/>
        </w:rPr>
      </w:pPr>
      <w:r>
        <w:rPr>
          <w:rStyle w:val="FootnoteReference"/>
        </w:rPr>
        <w:footnoteRef/>
      </w:r>
      <w:r>
        <w:t xml:space="preserve"> </w:t>
      </w:r>
      <w:hyperlink r:id="rId29" w:history="1">
        <w:r>
          <w:rPr>
            <w:rStyle w:val="Hyperlink"/>
          </w:rPr>
          <w:t>http://ec.europa.eu/environment/nature/conservation/wildbirds/illegal_killing.htm</w:t>
        </w:r>
      </w:hyperlink>
    </w:p>
  </w:footnote>
  <w:footnote w:id="50">
    <w:p>
      <w:pPr>
        <w:pStyle w:val="FootnoteText"/>
      </w:pPr>
      <w:r>
        <w:rPr>
          <w:rStyle w:val="Caractresdenotedebasdepage"/>
        </w:rPr>
        <w:footnoteRef/>
      </w:r>
      <w:r>
        <w:t xml:space="preserve"> </w:t>
      </w:r>
      <w:hyperlink r:id="rId30" w:history="1">
        <w:r>
          <w:rPr>
            <w:rStyle w:val="Hyperlink"/>
          </w:rPr>
          <w:t>http://ec.europa.eu/environment/nature/knowledge/rep_birds/index_en.htm</w:t>
        </w:r>
      </w:hyperlink>
    </w:p>
  </w:footnote>
  <w:footnote w:id="51">
    <w:p>
      <w:pPr>
        <w:pStyle w:val="FootnoteText"/>
      </w:pPr>
      <w:r>
        <w:rPr>
          <w:rStyle w:val="Caractresdenotedebasdepage"/>
        </w:rPr>
        <w:footnoteRef/>
      </w:r>
      <w:r>
        <w:t xml:space="preserve"> </w:t>
      </w:r>
      <w:hyperlink r:id="rId31" w:history="1">
        <w:r>
          <w:rPr>
            <w:rStyle w:val="Hyperlink"/>
          </w:rPr>
          <w:t>http://bd.eionet.europa.eu/activities/Reporting/Article_12</w:t>
        </w:r>
      </w:hyperlink>
    </w:p>
  </w:footnote>
  <w:footnote w:id="52">
    <w:p>
      <w:pPr>
        <w:pStyle w:val="FootnoteText"/>
      </w:pPr>
      <w:r>
        <w:rPr>
          <w:rStyle w:val="Caractresdenotedebasdepage"/>
        </w:rPr>
        <w:footnoteRef/>
      </w:r>
      <w:r>
        <w:t xml:space="preserve"> </w:t>
      </w:r>
      <w:hyperlink r:id="rId32" w:history="1">
        <w:r>
          <w:rPr>
            <w:rStyle w:val="Hyperlink"/>
            <w:lang w:val="en"/>
          </w:rPr>
          <w:t>http://art17.eionet.europa.eu/article17/reports2012/</w:t>
        </w:r>
      </w:hyperlink>
      <w:r>
        <w:rPr>
          <w:lang w:val="en"/>
        </w:rPr>
        <w:t xml:space="preserve">  and Art.12 tool </w:t>
      </w:r>
      <w:hyperlink r:id="rId33" w:history="1">
        <w:r>
          <w:rPr>
            <w:rStyle w:val="Hyperlink"/>
            <w:lang w:val="en"/>
          </w:rPr>
          <w:t>http://bd.eionet.europa.eu/article12/</w:t>
        </w:r>
      </w:hyperlink>
      <w:r>
        <w:rPr>
          <w:lang w:val="en"/>
        </w:rPr>
        <w:t xml:space="preserve"> </w:t>
      </w:r>
    </w:p>
  </w:footnote>
  <w:footnote w:id="53">
    <w:p>
      <w:pPr>
        <w:pStyle w:val="FootnoteText"/>
        <w:rPr>
          <w:lang w:val="fr-BE"/>
        </w:rPr>
      </w:pPr>
      <w:r>
        <w:rPr>
          <w:rStyle w:val="FootnoteReference"/>
        </w:rPr>
        <w:footnoteRef/>
      </w:r>
      <w:r>
        <w:t xml:space="preserve"> </w:t>
      </w:r>
      <w:hyperlink r:id="rId34" w:history="1">
        <w:r>
          <w:rPr>
            <w:rStyle w:val="Hyperlink"/>
          </w:rPr>
          <w:t>http://www.eea.europa.eu/highlights/state-of-nature-in-the</w:t>
        </w:r>
      </w:hyperlink>
      <w:r>
        <w:rPr>
          <w:lang w:val="fr-BE"/>
        </w:rPr>
        <w:t xml:space="preserve"> </w:t>
      </w:r>
    </w:p>
  </w:footnote>
  <w:footnote w:id="54">
    <w:p>
      <w:pPr>
        <w:pStyle w:val="FootnoteText"/>
      </w:pPr>
      <w:r>
        <w:rPr>
          <w:rStyle w:val="Caractresdenotedebasdepage"/>
        </w:rPr>
        <w:footnoteRef/>
      </w:r>
      <w:r>
        <w:t xml:space="preserve"> </w:t>
      </w:r>
      <w:hyperlink r:id="rId35" w:history="1">
        <w:r>
          <w:rPr>
            <w:rStyle w:val="Hyperlink"/>
          </w:rPr>
          <w:t>http://biodiversity.europa.eu/</w:t>
        </w:r>
      </w:hyperlink>
      <w:r>
        <w:rPr>
          <w:lang w:val="fr-BE"/>
        </w:rPr>
        <w:t xml:space="preserve"> </w:t>
      </w:r>
    </w:p>
  </w:footnote>
  <w:footnote w:id="55">
    <w:p>
      <w:pPr>
        <w:pStyle w:val="FootnoteText"/>
        <w:rPr>
          <w:lang w:val="fr-BE"/>
        </w:rPr>
      </w:pPr>
      <w:r>
        <w:rPr>
          <w:rStyle w:val="FootnoteReference"/>
        </w:rPr>
        <w:footnoteRef/>
      </w:r>
      <w:r>
        <w:t xml:space="preserve"> </w:t>
      </w:r>
      <w:hyperlink r:id="rId36" w:history="1">
        <w:r>
          <w:rPr>
            <w:rStyle w:val="Hyperlink"/>
          </w:rPr>
          <w:t>http://www.eea.europa.eu/themes/biodiversity/dc</w:t>
        </w:r>
      </w:hyperlink>
      <w:r>
        <w:rPr>
          <w:lang w:val="fr-B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0000001"/>
    <w:multiLevelType w:val="multilevel"/>
    <w:tmpl w:val="1D186FE6"/>
    <w:lvl w:ilvl="0">
      <w:start w:val="1"/>
      <w:numFmt w:val="upperRoman"/>
      <w:pStyle w:val="Heading1"/>
      <w:lvlText w:val="%1. "/>
      <w:lvlJc w:val="left"/>
      <w:pPr>
        <w:tabs>
          <w:tab w:val="num" w:pos="0"/>
        </w:tabs>
        <w:ind w:left="432" w:hanging="432"/>
      </w:pPr>
      <w:rPr>
        <w:rFonts w:hint="default"/>
      </w:rPr>
    </w:lvl>
    <w:lvl w:ilvl="1">
      <w:start w:val="1"/>
      <w:numFmt w:val="upperLetter"/>
      <w:lvlText w:val="%2. "/>
      <w:lvlJc w:val="left"/>
      <w:pPr>
        <w:tabs>
          <w:tab w:val="num" w:pos="0"/>
        </w:tabs>
        <w:ind w:left="431" w:hanging="431"/>
      </w:pPr>
      <w:rPr>
        <w:rFonts w:hint="default"/>
      </w:rPr>
    </w:lvl>
    <w:lvl w:ilvl="2">
      <w:start w:val="1"/>
      <w:numFmt w:val="decimal"/>
      <w:pStyle w:val="Heading3"/>
      <w:lvlText w:val="%1.%2.%3"/>
      <w:lvlJc w:val="left"/>
      <w:pPr>
        <w:tabs>
          <w:tab w:val="num" w:pos="0"/>
        </w:tabs>
        <w:ind w:left="720" w:hanging="720"/>
      </w:pPr>
      <w:rPr>
        <w:rFonts w:hint="default"/>
      </w:rPr>
    </w:lvl>
    <w:lvl w:ilvl="3">
      <w:start w:val="1"/>
      <w:numFmt w:val="decimal"/>
      <w:pStyle w:val="Heading4"/>
      <w:lvlText w:val="%1.%2.%3.%4"/>
      <w:lvlJc w:val="left"/>
      <w:pPr>
        <w:tabs>
          <w:tab w:val="num" w:pos="0"/>
        </w:tabs>
        <w:ind w:left="864" w:hanging="864"/>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
    <w:nsid w:val="00000002"/>
    <w:multiLevelType w:val="singleLevel"/>
    <w:tmpl w:val="00000002"/>
    <w:name w:val="WW8Num1"/>
    <w:lvl w:ilvl="0">
      <w:start w:val="1"/>
      <w:numFmt w:val="decimal"/>
      <w:pStyle w:val="ListNumber5"/>
      <w:lvlText w:val="%1."/>
      <w:lvlJc w:val="left"/>
      <w:pPr>
        <w:tabs>
          <w:tab w:val="num" w:pos="1492"/>
        </w:tabs>
        <w:ind w:left="1492" w:hanging="360"/>
      </w:pPr>
    </w:lvl>
  </w:abstractNum>
  <w:abstractNum w:abstractNumId="2">
    <w:nsid w:val="00000003"/>
    <w:multiLevelType w:val="singleLevel"/>
    <w:tmpl w:val="00000003"/>
    <w:name w:val="WW8Num2"/>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nsid w:val="00000004"/>
    <w:multiLevelType w:val="singleLevel"/>
    <w:tmpl w:val="00000004"/>
    <w:name w:val="WW8Num4"/>
    <w:lvl w:ilvl="0">
      <w:start w:val="1"/>
      <w:numFmt w:val="bullet"/>
      <w:lvlText w:val=""/>
      <w:lvlJc w:val="left"/>
      <w:pPr>
        <w:tabs>
          <w:tab w:val="num" w:pos="0"/>
        </w:tabs>
        <w:ind w:left="709" w:hanging="360"/>
      </w:pPr>
      <w:rPr>
        <w:rFonts w:ascii="Symbol" w:hAnsi="Symbol" w:cs="Symbol" w:hint="default"/>
      </w:rPr>
    </w:lvl>
  </w:abstractNum>
  <w:abstractNum w:abstractNumId="4">
    <w:nsid w:val="00000005"/>
    <w:multiLevelType w:val="singleLevel"/>
    <w:tmpl w:val="00000005"/>
    <w:name w:val="WW8Num5"/>
    <w:lvl w:ilvl="0">
      <w:start w:val="1"/>
      <w:numFmt w:val="bullet"/>
      <w:pStyle w:val="Bullettext"/>
      <w:lvlText w:val=""/>
      <w:lvlJc w:val="left"/>
      <w:pPr>
        <w:tabs>
          <w:tab w:val="num" w:pos="1770"/>
        </w:tabs>
        <w:ind w:left="1770" w:hanging="360"/>
      </w:pPr>
      <w:rPr>
        <w:rFonts w:ascii="Symbol" w:hAnsi="Symbol" w:cs="Symbol" w:hint="default"/>
      </w:rPr>
    </w:lvl>
  </w:abstractNum>
  <w:abstractNum w:abstractNumId="5">
    <w:nsid w:val="00000006"/>
    <w:multiLevelType w:val="multilevel"/>
    <w:tmpl w:val="00000006"/>
    <w:name w:val="WW8Num6"/>
    <w:lvl w:ilvl="0">
      <w:start w:val="1"/>
      <w:numFmt w:val="decimal"/>
      <w:pStyle w:val="ListNumber3"/>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cs="Times New Roman"/>
      </w:rPr>
    </w:lvl>
    <w:lvl w:ilvl="3">
      <w:start w:val="1"/>
      <w:numFmt w:val="bullet"/>
      <w:lvlText w:val=""/>
      <w:lvlJc w:val="left"/>
      <w:pPr>
        <w:tabs>
          <w:tab w:val="num" w:pos="4751"/>
        </w:tabs>
        <w:ind w:left="4751"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lang w:val="en"/>
      </w:rPr>
    </w:lvl>
  </w:abstractNum>
  <w:abstractNum w:abstractNumId="7">
    <w:nsid w:val="00000008"/>
    <w:multiLevelType w:val="singleLevel"/>
    <w:tmpl w:val="00000008"/>
    <w:name w:val="WW8Num8"/>
    <w:lvl w:ilvl="0">
      <w:start w:val="1"/>
      <w:numFmt w:val="decimal"/>
      <w:lvlText w:val="%1."/>
      <w:lvlJc w:val="left"/>
      <w:pPr>
        <w:tabs>
          <w:tab w:val="num" w:pos="0"/>
        </w:tabs>
        <w:ind w:left="709" w:hanging="360"/>
      </w:pPr>
    </w:lvl>
  </w:abstractNum>
  <w:abstractNum w:abstractNumId="8">
    <w:nsid w:val="00000009"/>
    <w:multiLevelType w:val="singleLevel"/>
    <w:tmpl w:val="00000009"/>
    <w:name w:val="WW8Num11"/>
    <w:lvl w:ilvl="0">
      <w:start w:val="1"/>
      <w:numFmt w:val="bullet"/>
      <w:pStyle w:val="ListBullet4"/>
      <w:lvlText w:val=""/>
      <w:lvlJc w:val="left"/>
      <w:pPr>
        <w:tabs>
          <w:tab w:val="num" w:pos="3163"/>
        </w:tabs>
        <w:ind w:left="3163" w:hanging="283"/>
      </w:pPr>
      <w:rPr>
        <w:rFonts w:ascii="Symbol" w:hAnsi="Symbol" w:cs="Symbol"/>
      </w:rPr>
    </w:lvl>
  </w:abstractNum>
  <w:abstractNum w:abstractNumId="9">
    <w:nsid w:val="0000000A"/>
    <w:multiLevelType w:val="singleLevel"/>
    <w:tmpl w:val="0000000A"/>
    <w:name w:val="WW8Num12"/>
    <w:lvl w:ilvl="0">
      <w:start w:val="1"/>
      <w:numFmt w:val="bullet"/>
      <w:pStyle w:val="ListBullet3"/>
      <w:lvlText w:val=""/>
      <w:lvlJc w:val="left"/>
      <w:pPr>
        <w:tabs>
          <w:tab w:val="num" w:pos="2199"/>
        </w:tabs>
        <w:ind w:left="2199" w:hanging="283"/>
      </w:pPr>
      <w:rPr>
        <w:rFonts w:ascii="Symbol" w:hAnsi="Symbol" w:cs="Symbol"/>
      </w:rPr>
    </w:lvl>
  </w:abstractNum>
  <w:abstractNum w:abstractNumId="10">
    <w:nsid w:val="0000000B"/>
    <w:multiLevelType w:val="singleLevel"/>
    <w:tmpl w:val="A8DEEEEC"/>
    <w:name w:val="WW8Num14"/>
    <w:lvl w:ilvl="0">
      <w:start w:val="1"/>
      <w:numFmt w:val="bullet"/>
      <w:lvlText w:val=""/>
      <w:lvlJc w:val="left"/>
      <w:pPr>
        <w:tabs>
          <w:tab w:val="num" w:pos="0"/>
        </w:tabs>
        <w:ind w:left="720" w:hanging="360"/>
      </w:pPr>
      <w:rPr>
        <w:rFonts w:ascii="Symbol" w:hAnsi="Symbol" w:cs="Symbol" w:hint="default"/>
        <w:color w:val="auto"/>
        <w:sz w:val="20"/>
        <w:lang w:val="x-none"/>
      </w:rPr>
    </w:lvl>
  </w:abstractNum>
  <w:abstractNum w:abstractNumId="11">
    <w:nsid w:val="0000000C"/>
    <w:multiLevelType w:val="singleLevel"/>
    <w:tmpl w:val="0000000C"/>
    <w:name w:val="WW8Num15"/>
    <w:lvl w:ilvl="0">
      <w:start w:val="1"/>
      <w:numFmt w:val="bullet"/>
      <w:lvlText w:val=""/>
      <w:lvlJc w:val="left"/>
      <w:pPr>
        <w:tabs>
          <w:tab w:val="num" w:pos="0"/>
        </w:tabs>
        <w:ind w:left="338" w:hanging="360"/>
      </w:pPr>
      <w:rPr>
        <w:rFonts w:ascii="Symbol" w:hAnsi="Symbol" w:cs="Symbol" w:hint="default"/>
        <w:szCs w:val="24"/>
      </w:rPr>
    </w:lvl>
  </w:abstractNum>
  <w:abstractNum w:abstractNumId="12">
    <w:nsid w:val="0000000D"/>
    <w:multiLevelType w:val="singleLevel"/>
    <w:tmpl w:val="0000000D"/>
    <w:name w:val="WW8Num16"/>
    <w:lvl w:ilvl="0">
      <w:start w:val="1"/>
      <w:numFmt w:val="bullet"/>
      <w:pStyle w:val="ListDash4"/>
      <w:lvlText w:val="–"/>
      <w:lvlJc w:val="left"/>
      <w:pPr>
        <w:tabs>
          <w:tab w:val="num" w:pos="3163"/>
        </w:tabs>
        <w:ind w:left="3163" w:hanging="283"/>
      </w:pPr>
      <w:rPr>
        <w:rFonts w:ascii="Times New Roman" w:hAnsi="Times New Roman" w:cs="Times New Roman"/>
      </w:rPr>
    </w:lvl>
  </w:abstractNum>
  <w:abstractNum w:abstractNumId="13">
    <w:nsid w:val="0000000E"/>
    <w:multiLevelType w:val="singleLevel"/>
    <w:tmpl w:val="0000000E"/>
    <w:name w:val="WW8Num17"/>
    <w:lvl w:ilvl="0">
      <w:start w:val="1"/>
      <w:numFmt w:val="bullet"/>
      <w:lvlText w:val=""/>
      <w:lvlJc w:val="left"/>
      <w:pPr>
        <w:tabs>
          <w:tab w:val="num" w:pos="0"/>
        </w:tabs>
        <w:ind w:left="720" w:hanging="360"/>
      </w:pPr>
      <w:rPr>
        <w:rFonts w:ascii="Symbol" w:hAnsi="Symbol" w:cs="Symbol" w:hint="default"/>
      </w:rPr>
    </w:lvl>
  </w:abstractNum>
  <w:abstractNum w:abstractNumId="14">
    <w:nsid w:val="0000000F"/>
    <w:multiLevelType w:val="singleLevel"/>
    <w:tmpl w:val="0000000F"/>
    <w:name w:val="WW8Num19"/>
    <w:lvl w:ilvl="0">
      <w:start w:val="1"/>
      <w:numFmt w:val="bullet"/>
      <w:pStyle w:val="ListBullet2"/>
      <w:lvlText w:val=""/>
      <w:lvlJc w:val="left"/>
      <w:pPr>
        <w:tabs>
          <w:tab w:val="num" w:pos="1360"/>
        </w:tabs>
        <w:ind w:left="1360" w:hanging="283"/>
      </w:pPr>
      <w:rPr>
        <w:rFonts w:ascii="Symbol" w:hAnsi="Symbol" w:cs="Symbol"/>
      </w:rPr>
    </w:lvl>
  </w:abstractNum>
  <w:abstractNum w:abstractNumId="15">
    <w:nsid w:val="00000010"/>
    <w:multiLevelType w:val="multilevel"/>
    <w:tmpl w:val="00000010"/>
    <w:name w:val="WW8Num21"/>
    <w:lvl w:ilvl="0">
      <w:start w:val="1"/>
      <w:numFmt w:val="decimal"/>
      <w:lvlText w:val="%1."/>
      <w:lvlJc w:val="left"/>
      <w:pPr>
        <w:tabs>
          <w:tab w:val="num" w:pos="113"/>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3."/>
      <w:lvlJc w:val="right"/>
      <w:pPr>
        <w:tabs>
          <w:tab w:val="num" w:pos="0"/>
        </w:tabs>
        <w:ind w:left="2160" w:firstLine="1800"/>
      </w:pPr>
      <w:rPr>
        <w:u w:val="none"/>
      </w:rPr>
    </w:lvl>
    <w:lvl w:ilvl="3">
      <w:start w:val="1"/>
      <w:numFmt w:val="decimal"/>
      <w:lvlText w:val="%4."/>
      <w:lvlJc w:val="left"/>
      <w:pPr>
        <w:tabs>
          <w:tab w:val="num" w:pos="0"/>
        </w:tabs>
        <w:ind w:left="2880" w:firstLine="2520"/>
      </w:pPr>
      <w:rPr>
        <w:u w:val="none"/>
      </w:rPr>
    </w:lvl>
    <w:lvl w:ilvl="4">
      <w:start w:val="1"/>
      <w:numFmt w:val="lowerLetter"/>
      <w:lvlText w:val="%5."/>
      <w:lvlJc w:val="left"/>
      <w:pPr>
        <w:tabs>
          <w:tab w:val="num" w:pos="0"/>
        </w:tabs>
        <w:ind w:left="3600" w:firstLine="3240"/>
      </w:pPr>
      <w:rPr>
        <w:u w:val="none"/>
      </w:rPr>
    </w:lvl>
    <w:lvl w:ilvl="5">
      <w:start w:val="1"/>
      <w:numFmt w:val="lowerRoman"/>
      <w:lvlText w:val="%6."/>
      <w:lvlJc w:val="right"/>
      <w:pPr>
        <w:tabs>
          <w:tab w:val="num" w:pos="0"/>
        </w:tabs>
        <w:ind w:left="4320" w:firstLine="3960"/>
      </w:pPr>
      <w:rPr>
        <w:u w:val="none"/>
      </w:rPr>
    </w:lvl>
    <w:lvl w:ilvl="6">
      <w:start w:val="1"/>
      <w:numFmt w:val="decimal"/>
      <w:lvlText w:val="%7."/>
      <w:lvlJc w:val="left"/>
      <w:pPr>
        <w:tabs>
          <w:tab w:val="num" w:pos="0"/>
        </w:tabs>
        <w:ind w:left="5040" w:firstLine="4680"/>
      </w:pPr>
      <w:rPr>
        <w:u w:val="none"/>
      </w:rPr>
    </w:lvl>
    <w:lvl w:ilvl="7">
      <w:start w:val="1"/>
      <w:numFmt w:val="lowerLetter"/>
      <w:lvlText w:val="%8."/>
      <w:lvlJc w:val="left"/>
      <w:pPr>
        <w:tabs>
          <w:tab w:val="num" w:pos="0"/>
        </w:tabs>
        <w:ind w:left="5760" w:firstLine="5400"/>
      </w:pPr>
      <w:rPr>
        <w:u w:val="none"/>
      </w:rPr>
    </w:lvl>
    <w:lvl w:ilvl="8">
      <w:start w:val="1"/>
      <w:numFmt w:val="lowerRoman"/>
      <w:lvlText w:val="%9."/>
      <w:lvlJc w:val="right"/>
      <w:pPr>
        <w:tabs>
          <w:tab w:val="num" w:pos="0"/>
        </w:tabs>
        <w:ind w:left="6480" w:firstLine="6120"/>
      </w:pPr>
      <w:rPr>
        <w:u w:val="none"/>
      </w:rPr>
    </w:lvl>
  </w:abstractNum>
  <w:abstractNum w:abstractNumId="16">
    <w:nsid w:val="00000011"/>
    <w:multiLevelType w:val="singleLevel"/>
    <w:tmpl w:val="00000011"/>
    <w:name w:val="WW8Num22"/>
    <w:lvl w:ilvl="0">
      <w:start w:val="1"/>
      <w:numFmt w:val="decimal"/>
      <w:lvlText w:val="%1)"/>
      <w:lvlJc w:val="left"/>
      <w:pPr>
        <w:tabs>
          <w:tab w:val="num" w:pos="0"/>
        </w:tabs>
        <w:ind w:left="349" w:hanging="360"/>
      </w:pPr>
      <w:rPr>
        <w:rFonts w:hint="default"/>
      </w:rPr>
    </w:lvl>
  </w:abstractNum>
  <w:abstractNum w:abstractNumId="17">
    <w:nsid w:val="00000012"/>
    <w:multiLevelType w:val="singleLevel"/>
    <w:tmpl w:val="00000012"/>
    <w:name w:val="WW8Num23"/>
    <w:lvl w:ilvl="0">
      <w:start w:val="1"/>
      <w:numFmt w:val="bullet"/>
      <w:pStyle w:val="ListBullet1"/>
      <w:lvlText w:val=""/>
      <w:lvlJc w:val="left"/>
      <w:pPr>
        <w:tabs>
          <w:tab w:val="num" w:pos="765"/>
        </w:tabs>
        <w:ind w:left="765" w:hanging="283"/>
      </w:pPr>
      <w:rPr>
        <w:rFonts w:ascii="Symbol" w:hAnsi="Symbol" w:cs="Symbol"/>
      </w:rPr>
    </w:lvl>
  </w:abstractNum>
  <w:abstractNum w:abstractNumId="18">
    <w:nsid w:val="00000013"/>
    <w:multiLevelType w:val="singleLevel"/>
    <w:tmpl w:val="00000013"/>
    <w:name w:val="WW8Num26"/>
    <w:lvl w:ilvl="0">
      <w:start w:val="1"/>
      <w:numFmt w:val="bullet"/>
      <w:lvlText w:val=""/>
      <w:lvlJc w:val="left"/>
      <w:pPr>
        <w:tabs>
          <w:tab w:val="num" w:pos="0"/>
        </w:tabs>
        <w:ind w:left="709" w:hanging="360"/>
      </w:pPr>
      <w:rPr>
        <w:rFonts w:ascii="Symbol" w:hAnsi="Symbol" w:cs="Symbol" w:hint="default"/>
      </w:rPr>
    </w:lvl>
  </w:abstractNum>
  <w:abstractNum w:abstractNumId="19">
    <w:nsid w:val="00000014"/>
    <w:multiLevelType w:val="multilevel"/>
    <w:tmpl w:val="00000014"/>
    <w:name w:val="WW8Num27"/>
    <w:lvl w:ilvl="0">
      <w:start w:val="1"/>
      <w:numFmt w:val="decimal"/>
      <w:pStyle w:val="ListNumber"/>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00000015"/>
    <w:multiLevelType w:val="multilevel"/>
    <w:tmpl w:val="00000015"/>
    <w:name w:val="WW8Num29"/>
    <w:lvl w:ilvl="0">
      <w:start w:val="1"/>
      <w:numFmt w:val="decimal"/>
      <w:pStyle w:val="ListNumber2"/>
      <w:lvlText w:val="(%1)"/>
      <w:lvlJc w:val="left"/>
      <w:pPr>
        <w:tabs>
          <w:tab w:val="num" w:pos="1786"/>
        </w:tabs>
        <w:ind w:left="1786" w:hanging="709"/>
      </w:pPr>
    </w:lvl>
    <w:lvl w:ilvl="1">
      <w:start w:val="1"/>
      <w:numFmt w:val="lowerLetter"/>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cs="Times New Roman"/>
      </w:rPr>
    </w:lvl>
    <w:lvl w:ilvl="3">
      <w:start w:val="1"/>
      <w:numFmt w:val="bullet"/>
      <w:lvlText w:val=""/>
      <w:lvlJc w:val="left"/>
      <w:pPr>
        <w:tabs>
          <w:tab w:val="num" w:pos="3912"/>
        </w:tabs>
        <w:ind w:left="3912"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00000016"/>
    <w:multiLevelType w:val="multilevel"/>
    <w:tmpl w:val="00000016"/>
    <w:name w:val="WW8Num30"/>
    <w:lvl w:ilvl="0">
      <w:start w:val="1"/>
      <w:numFmt w:val="decimal"/>
      <w:pStyle w:val="ListNumber1"/>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cs="Times New Roman"/>
      </w:rPr>
    </w:lvl>
    <w:lvl w:ilvl="3">
      <w:start w:val="1"/>
      <w:numFmt w:val="bullet"/>
      <w:lvlText w:val=""/>
      <w:lvlJc w:val="left"/>
      <w:pPr>
        <w:tabs>
          <w:tab w:val="num" w:pos="3317"/>
        </w:tabs>
        <w:ind w:left="331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0000017"/>
    <w:multiLevelType w:val="multilevel"/>
    <w:tmpl w:val="00000017"/>
    <w:name w:val="WW8Num32"/>
    <w:lvl w:ilvl="0">
      <w:start w:val="1"/>
      <w:numFmt w:val="decimal"/>
      <w:pStyle w:val="ListNumber4"/>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cs="Times New Roman"/>
      </w:rPr>
    </w:lvl>
    <w:lvl w:ilvl="3">
      <w:start w:val="1"/>
      <w:numFmt w:val="bullet"/>
      <w:lvlText w:val=""/>
      <w:lvlJc w:val="left"/>
      <w:pPr>
        <w:tabs>
          <w:tab w:val="num" w:pos="5715"/>
        </w:tabs>
        <w:ind w:left="571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00000018"/>
    <w:multiLevelType w:val="singleLevel"/>
    <w:tmpl w:val="00000018"/>
    <w:name w:val="WW8Num33"/>
    <w:lvl w:ilvl="0">
      <w:start w:val="1"/>
      <w:numFmt w:val="bullet"/>
      <w:lvlText w:val=""/>
      <w:lvlJc w:val="left"/>
      <w:pPr>
        <w:tabs>
          <w:tab w:val="num" w:pos="0"/>
        </w:tabs>
        <w:ind w:left="720" w:hanging="360"/>
      </w:pPr>
      <w:rPr>
        <w:rFonts w:ascii="Symbol" w:hAnsi="Symbol" w:cs="Symbol" w:hint="default"/>
      </w:rPr>
    </w:lvl>
  </w:abstractNum>
  <w:abstractNum w:abstractNumId="24">
    <w:nsid w:val="00000019"/>
    <w:multiLevelType w:val="singleLevel"/>
    <w:tmpl w:val="00000019"/>
    <w:name w:val="WW8Num37"/>
    <w:lvl w:ilvl="0">
      <w:start w:val="1"/>
      <w:numFmt w:val="bullet"/>
      <w:pStyle w:val="ListBullet"/>
      <w:lvlText w:val=""/>
      <w:lvlJc w:val="left"/>
      <w:pPr>
        <w:tabs>
          <w:tab w:val="num" w:pos="283"/>
        </w:tabs>
        <w:ind w:left="283" w:hanging="283"/>
      </w:pPr>
      <w:rPr>
        <w:rFonts w:ascii="Symbol" w:hAnsi="Symbol" w:cs="Symbol"/>
      </w:rPr>
    </w:lvl>
  </w:abstractNum>
  <w:abstractNum w:abstractNumId="25">
    <w:nsid w:val="0000001A"/>
    <w:multiLevelType w:val="singleLevel"/>
    <w:tmpl w:val="0000001A"/>
    <w:name w:val="WW8Num41"/>
    <w:lvl w:ilvl="0">
      <w:start w:val="1"/>
      <w:numFmt w:val="bullet"/>
      <w:lvlText w:val=""/>
      <w:lvlJc w:val="left"/>
      <w:pPr>
        <w:tabs>
          <w:tab w:val="num" w:pos="0"/>
        </w:tabs>
        <w:ind w:left="327" w:hanging="360"/>
      </w:pPr>
      <w:rPr>
        <w:rFonts w:ascii="Symbol" w:hAnsi="Symbol" w:cs="Symbol" w:hint="default"/>
      </w:rPr>
    </w:lvl>
  </w:abstractNum>
  <w:abstractNum w:abstractNumId="26">
    <w:nsid w:val="0000001B"/>
    <w:multiLevelType w:val="singleLevel"/>
    <w:tmpl w:val="0000001B"/>
    <w:name w:val="WW8Num43"/>
    <w:lvl w:ilvl="0">
      <w:start w:val="1"/>
      <w:numFmt w:val="bullet"/>
      <w:lvlText w:val=""/>
      <w:lvlJc w:val="left"/>
      <w:pPr>
        <w:tabs>
          <w:tab w:val="num" w:pos="0"/>
        </w:tabs>
        <w:ind w:left="360" w:hanging="360"/>
      </w:pPr>
      <w:rPr>
        <w:rFonts w:ascii="Symbol" w:hAnsi="Symbol" w:cs="Symbol" w:hint="default"/>
      </w:rPr>
    </w:lvl>
  </w:abstractNum>
  <w:abstractNum w:abstractNumId="27">
    <w:nsid w:val="0000001C"/>
    <w:multiLevelType w:val="singleLevel"/>
    <w:tmpl w:val="0000001C"/>
    <w:name w:val="WW8Num44"/>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28">
    <w:nsid w:val="0000001D"/>
    <w:multiLevelType w:val="singleLevel"/>
    <w:tmpl w:val="0000001D"/>
    <w:name w:val="WW8Num45"/>
    <w:lvl w:ilvl="0">
      <w:start w:val="1"/>
      <w:numFmt w:val="bullet"/>
      <w:pStyle w:val="ListDash2"/>
      <w:lvlText w:val="–"/>
      <w:lvlJc w:val="left"/>
      <w:pPr>
        <w:tabs>
          <w:tab w:val="num" w:pos="1360"/>
        </w:tabs>
        <w:ind w:left="1360" w:hanging="283"/>
      </w:pPr>
      <w:rPr>
        <w:rFonts w:ascii="Times New Roman" w:hAnsi="Times New Roman" w:cs="Times New Roman"/>
      </w:rPr>
    </w:lvl>
  </w:abstractNum>
  <w:abstractNum w:abstractNumId="29">
    <w:nsid w:val="0000001E"/>
    <w:multiLevelType w:val="singleLevel"/>
    <w:tmpl w:val="0000001E"/>
    <w:name w:val="WW8Num46"/>
    <w:lvl w:ilvl="0">
      <w:start w:val="1"/>
      <w:numFmt w:val="bullet"/>
      <w:pStyle w:val="ListDash1"/>
      <w:lvlText w:val="–"/>
      <w:lvlJc w:val="left"/>
      <w:pPr>
        <w:tabs>
          <w:tab w:val="num" w:pos="765"/>
        </w:tabs>
        <w:ind w:left="765" w:hanging="283"/>
      </w:pPr>
      <w:rPr>
        <w:rFonts w:ascii="Times New Roman" w:hAnsi="Times New Roman" w:cs="Times New Roman"/>
      </w:rPr>
    </w:lvl>
  </w:abstractNum>
  <w:abstractNum w:abstractNumId="30">
    <w:nsid w:val="0000001F"/>
    <w:multiLevelType w:val="singleLevel"/>
    <w:tmpl w:val="0000001F"/>
    <w:name w:val="WW8Num49"/>
    <w:lvl w:ilvl="0">
      <w:start w:val="1"/>
      <w:numFmt w:val="bullet"/>
      <w:pStyle w:val="ListDash3"/>
      <w:lvlText w:val="–"/>
      <w:lvlJc w:val="left"/>
      <w:pPr>
        <w:tabs>
          <w:tab w:val="num" w:pos="2199"/>
        </w:tabs>
        <w:ind w:left="2199" w:hanging="283"/>
      </w:pPr>
      <w:rPr>
        <w:rFonts w:ascii="Times New Roman" w:hAnsi="Times New Roman" w:cs="Times New Roman"/>
      </w:rPr>
    </w:lvl>
  </w:abstractNum>
  <w:abstractNum w:abstractNumId="31">
    <w:nsid w:val="01E300E1"/>
    <w:multiLevelType w:val="hybridMultilevel"/>
    <w:tmpl w:val="EEC2172C"/>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2">
    <w:nsid w:val="0CF017F3"/>
    <w:multiLevelType w:val="hybridMultilevel"/>
    <w:tmpl w:val="96CE0014"/>
    <w:lvl w:ilvl="0" w:tplc="571C4280">
      <w:start w:val="1"/>
      <w:numFmt w:val="bullet"/>
      <w:lvlText w:val=""/>
      <w:lvlJc w:val="left"/>
      <w:pPr>
        <w:ind w:left="720" w:hanging="360"/>
      </w:pPr>
      <w:rPr>
        <w:rFonts w:ascii="Symbol" w:hAnsi="Symbol" w:hint="default"/>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0D4C5B6A"/>
    <w:multiLevelType w:val="hybridMultilevel"/>
    <w:tmpl w:val="9A346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0FCE0C9C"/>
    <w:multiLevelType w:val="multilevel"/>
    <w:tmpl w:val="E24890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191574F1"/>
    <w:multiLevelType w:val="multilevel"/>
    <w:tmpl w:val="1ECCC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DFE5079"/>
    <w:multiLevelType w:val="multilevel"/>
    <w:tmpl w:val="066C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44D4DF5"/>
    <w:multiLevelType w:val="hybridMultilevel"/>
    <w:tmpl w:val="E35C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F6D207E"/>
    <w:multiLevelType w:val="multilevel"/>
    <w:tmpl w:val="7182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23B0FD4"/>
    <w:multiLevelType w:val="hybridMultilevel"/>
    <w:tmpl w:val="8ABE04A2"/>
    <w:lvl w:ilvl="0" w:tplc="08090001">
      <w:start w:val="1"/>
      <w:numFmt w:val="bullet"/>
      <w:lvlText w:val=""/>
      <w:lvlJc w:val="left"/>
      <w:pPr>
        <w:ind w:left="709" w:hanging="360"/>
      </w:pPr>
      <w:rPr>
        <w:rFonts w:ascii="Symbol" w:hAnsi="Symbol" w:hint="default"/>
      </w:rPr>
    </w:lvl>
    <w:lvl w:ilvl="1" w:tplc="15E8A860">
      <w:numFmt w:val="bullet"/>
      <w:lvlText w:val="–"/>
      <w:lvlJc w:val="left"/>
      <w:pPr>
        <w:ind w:left="1429" w:hanging="360"/>
      </w:pPr>
      <w:rPr>
        <w:rFonts w:ascii="Times New Roman" w:eastAsia="MS Mincho" w:hAnsi="Times New Roman" w:cs="Times New Roman"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0">
    <w:nsid w:val="52DE4E33"/>
    <w:multiLevelType w:val="hybridMultilevel"/>
    <w:tmpl w:val="5E043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5EEB2A66"/>
    <w:multiLevelType w:val="hybridMultilevel"/>
    <w:tmpl w:val="AF027632"/>
    <w:lvl w:ilvl="0" w:tplc="08090001">
      <w:start w:val="1"/>
      <w:numFmt w:val="bullet"/>
      <w:lvlText w:val=""/>
      <w:lvlJc w:val="left"/>
      <w:pPr>
        <w:ind w:left="327" w:hanging="360"/>
      </w:pPr>
      <w:rPr>
        <w:rFonts w:ascii="Symbol" w:hAnsi="Symbol" w:hint="default"/>
      </w:rPr>
    </w:lvl>
    <w:lvl w:ilvl="1" w:tplc="08090003" w:tentative="1">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42">
    <w:nsid w:val="61E96827"/>
    <w:multiLevelType w:val="hybridMultilevel"/>
    <w:tmpl w:val="E7ECF132"/>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3">
    <w:nsid w:val="6CEB333B"/>
    <w:multiLevelType w:val="hybridMultilevel"/>
    <w:tmpl w:val="18BA04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2950ADA"/>
    <w:multiLevelType w:val="hybridMultilevel"/>
    <w:tmpl w:val="25361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3E395B"/>
    <w:multiLevelType w:val="hybridMultilevel"/>
    <w:tmpl w:val="DE3C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8"/>
  </w:num>
  <w:num w:numId="7">
    <w:abstractNumId w:val="9"/>
  </w:num>
  <w:num w:numId="8">
    <w:abstractNumId w:val="12"/>
  </w:num>
  <w:num w:numId="9">
    <w:abstractNumId w:val="14"/>
  </w:num>
  <w:num w:numId="10">
    <w:abstractNumId w:val="17"/>
  </w:num>
  <w:num w:numId="11">
    <w:abstractNumId w:val="19"/>
  </w:num>
  <w:num w:numId="12">
    <w:abstractNumId w:val="20"/>
  </w:num>
  <w:num w:numId="13">
    <w:abstractNumId w:val="21"/>
  </w:num>
  <w:num w:numId="14">
    <w:abstractNumId w:val="22"/>
  </w:num>
  <w:num w:numId="15">
    <w:abstractNumId w:val="24"/>
  </w:num>
  <w:num w:numId="16">
    <w:abstractNumId w:val="27"/>
  </w:num>
  <w:num w:numId="17">
    <w:abstractNumId w:val="28"/>
  </w:num>
  <w:num w:numId="18">
    <w:abstractNumId w:val="29"/>
  </w:num>
  <w:num w:numId="19">
    <w:abstractNumId w:val="30"/>
  </w:num>
  <w:num w:numId="20">
    <w:abstractNumId w:val="36"/>
  </w:num>
  <w:num w:numId="21">
    <w:abstractNumId w:val="35"/>
  </w:num>
  <w:num w:numId="22">
    <w:abstractNumId w:val="31"/>
  </w:num>
  <w:num w:numId="23">
    <w:abstractNumId w:val="41"/>
  </w:num>
  <w:num w:numId="24">
    <w:abstractNumId w:val="39"/>
  </w:num>
  <w:num w:numId="25">
    <w:abstractNumId w:val="42"/>
  </w:num>
  <w:num w:numId="26">
    <w:abstractNumId w:val="32"/>
  </w:num>
  <w:num w:numId="27">
    <w:abstractNumId w:val="45"/>
  </w:num>
  <w:num w:numId="28">
    <w:abstractNumId w:val="33"/>
  </w:num>
  <w:num w:numId="29">
    <w:abstractNumId w:val="37"/>
  </w:num>
  <w:num w:numId="30">
    <w:abstractNumId w:val="44"/>
  </w:num>
  <w:num w:numId="31">
    <w:abstractNumId w:val="38"/>
  </w:num>
  <w:num w:numId="32">
    <w:abstractNumId w:val="34"/>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40"/>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isa Pietila">
    <w15:presenceInfo w15:providerId="AD" w15:userId="S-1-5-21-854356154-2077777384-1924250081-3589"/>
  </w15:person>
  <w15:person w15:author="Katharina Bieberstein">
    <w15:presenceInfo w15:providerId="AD" w15:userId="S-1-5-21-854356154-2077777384-1924250081-3534"/>
  </w15:person>
  <w15:person w15:author="Daniela Guaras">
    <w15:presenceInfo w15:providerId="AD" w15:userId="S-1-5-21-854356154-2077777384-1924250081-20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113"/>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B3039A5A0F814C178E5C8BC0087F9D4F"/>
    <w:docVar w:name="LW_CROSSREFERENCE" w:val="{COM(2015) 478 final}"/>
    <w:docVar w:name="LW_DocType" w:val="NOT"/>
    <w:docVar w:name="LW_EMISSION" w:val="2.10.2015"/>
    <w:docVar w:name="LW_EMISSION_ISODATE" w:val="2015-10-02"/>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Mid-Term Review of the EU Biodiversity Strategy to 2020"/>
    <w:docVar w:name="LW_PART_NBR" w:val="1"/>
    <w:docVar w:name="LW_PART_NBR_TOTAL" w:val="3"/>
    <w:docVar w:name="LW_REF.INST.NEW" w:val="SWD"/>
    <w:docVar w:name="LW_REF.INST.NEW_ADOPTED" w:val="final"/>
    <w:docVar w:name="LW_REF.INST.NEW_TEXT" w:val="(2015) 187"/>
    <w:docVar w:name="LW_REF.INTERNE" w:val="&lt;UNUSED&gt;"/>
    <w:docVar w:name="LW_SUPERTITRE" w:val="&lt;UNUSED&gt;"/>
    <w:docVar w:name="LW_TITRE.OBJ.CP" w:val="EU ASSESSMENT OF PROGRESS IN IMPLEMENTING THE EU BIODIVERSITY STRATEGY TO 2020"/>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footnote text" w:qFormat="1"/>
    <w:lsdException w:name="caption" w:semiHidden="0" w:unhideWhenUsed="0" w:qFormat="1"/>
    <w:lsdException w:name="table of figures" w:uiPriority="99"/>
    <w:lsdException w:name="annotation reference" w:uiPriority="99"/>
    <w:lsdException w:name="line number" w:uiPriority="99"/>
    <w:lsdException w:name="Title" w:semiHidden="0" w:unhideWhenUsed="0" w:qFormat="1"/>
    <w:lsdException w:name="Body Text" w:qFormat="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pPr>
      <w:suppressAutoHyphens/>
      <w:ind w:hanging="11"/>
      <w:jc w:val="both"/>
    </w:pPr>
    <w:rPr>
      <w:sz w:val="24"/>
      <w:lang w:eastAsia="ar-SA"/>
    </w:rPr>
  </w:style>
  <w:style w:type="paragraph" w:styleId="Heading1">
    <w:name w:val="heading 1"/>
    <w:basedOn w:val="Normal"/>
    <w:next w:val="Text1"/>
    <w:qFormat/>
    <w:pPr>
      <w:keepNext/>
      <w:numPr>
        <w:numId w:val="1"/>
      </w:numPr>
      <w:spacing w:before="240" w:after="240"/>
      <w:ind w:left="431" w:hanging="431"/>
      <w:jc w:val="left"/>
      <w:outlineLvl w:val="0"/>
    </w:pPr>
    <w:rPr>
      <w:b/>
      <w:smallCaps/>
      <w:sz w:val="28"/>
      <w:szCs w:val="28"/>
      <w:lang w:val="x-none"/>
    </w:rPr>
  </w:style>
  <w:style w:type="paragraph" w:styleId="Heading2">
    <w:name w:val="heading 2"/>
    <w:basedOn w:val="Normal"/>
    <w:next w:val="Text2"/>
    <w:qFormat/>
    <w:pPr>
      <w:keepNext/>
      <w:spacing w:before="240" w:after="240"/>
      <w:ind w:firstLine="0"/>
      <w:jc w:val="left"/>
      <w:outlineLvl w:val="1"/>
    </w:pPr>
    <w:rPr>
      <w:b/>
      <w:color w:val="1F4E79" w:themeColor="accent1" w:themeShade="80"/>
      <w:sz w:val="32"/>
      <w:lang w:val="x-none"/>
    </w:rPr>
  </w:style>
  <w:style w:type="paragraph" w:styleId="Heading3">
    <w:name w:val="heading 3"/>
    <w:basedOn w:val="Normal"/>
    <w:next w:val="Text3"/>
    <w:qFormat/>
    <w:pPr>
      <w:keepNext/>
      <w:numPr>
        <w:ilvl w:val="2"/>
        <w:numId w:val="1"/>
      </w:numPr>
      <w:spacing w:before="120" w:after="120"/>
      <w:jc w:val="left"/>
      <w:outlineLvl w:val="2"/>
    </w:pPr>
    <w:rPr>
      <w:b/>
      <w:i/>
      <w:lang w:val="x-none"/>
    </w:rPr>
  </w:style>
  <w:style w:type="paragraph" w:styleId="Heading4">
    <w:name w:val="heading 4"/>
    <w:basedOn w:val="Normal"/>
    <w:next w:val="Text4"/>
    <w:qFormat/>
    <w:pPr>
      <w:keepNext/>
      <w:numPr>
        <w:ilvl w:val="3"/>
        <w:numId w:val="1"/>
      </w:numPr>
      <w:outlineLvl w:val="3"/>
    </w:pPr>
    <w:rPr>
      <w:lang w:val="x-none"/>
    </w:rPr>
  </w:style>
  <w:style w:type="paragraph" w:styleId="Heading5">
    <w:name w:val="heading 5"/>
    <w:basedOn w:val="Normal"/>
    <w:next w:val="Normal"/>
    <w:qFormat/>
    <w:pPr>
      <w:numPr>
        <w:ilvl w:val="4"/>
        <w:numId w:val="1"/>
      </w:numPr>
      <w:spacing w:before="240" w:after="60"/>
      <w:outlineLvl w:val="4"/>
    </w:pPr>
    <w:rPr>
      <w:rFonts w:ascii="Arial" w:hAnsi="Arial" w:cs="Arial"/>
      <w:sz w:val="22"/>
    </w:rPr>
  </w:style>
  <w:style w:type="paragraph" w:styleId="Heading6">
    <w:name w:val="heading 6"/>
    <w:basedOn w:val="Normal"/>
    <w:next w:val="Normal"/>
    <w:qFormat/>
    <w:pPr>
      <w:numPr>
        <w:ilvl w:val="5"/>
        <w:numId w:val="1"/>
      </w:numPr>
      <w:spacing w:before="240" w:after="60"/>
      <w:outlineLvl w:val="5"/>
    </w:pPr>
    <w:rPr>
      <w:rFonts w:ascii="Arial" w:hAnsi="Arial" w:cs="Arial"/>
      <w:i/>
      <w:sz w:val="22"/>
    </w:rPr>
  </w:style>
  <w:style w:type="paragraph" w:styleId="Heading7">
    <w:name w:val="heading 7"/>
    <w:basedOn w:val="Normal"/>
    <w:next w:val="Normal"/>
    <w:qFormat/>
    <w:pPr>
      <w:numPr>
        <w:ilvl w:val="6"/>
        <w:numId w:val="1"/>
      </w:numPr>
      <w:spacing w:before="240" w:after="60"/>
      <w:outlineLvl w:val="6"/>
    </w:pPr>
    <w:rPr>
      <w:rFonts w:ascii="Arial" w:hAnsi="Arial" w:cs="Arial"/>
      <w:sz w:val="20"/>
    </w:rPr>
  </w:style>
  <w:style w:type="paragraph" w:styleId="Heading8">
    <w:name w:val="heading 8"/>
    <w:basedOn w:val="Normal"/>
    <w:next w:val="Normal"/>
    <w:qFormat/>
    <w:pPr>
      <w:numPr>
        <w:ilvl w:val="7"/>
        <w:numId w:val="1"/>
      </w:numPr>
      <w:spacing w:before="240" w:after="60"/>
      <w:outlineLvl w:val="7"/>
    </w:pPr>
    <w:rPr>
      <w:rFonts w:ascii="Arial" w:hAnsi="Arial" w:cs="Arial"/>
      <w:i/>
      <w:sz w:val="20"/>
    </w:rPr>
  </w:style>
  <w:style w:type="paragraph" w:styleId="Heading9">
    <w:name w:val="heading 9"/>
    <w:basedOn w:val="Normal"/>
    <w:next w:val="Normal"/>
    <w:qFormat/>
    <w:pPr>
      <w:numPr>
        <w:ilvl w:val="8"/>
        <w:numId w:val="1"/>
      </w:numPr>
      <w:spacing w:before="240" w:after="60"/>
      <w:outlineLvl w:val="8"/>
    </w:pPr>
    <w:rPr>
      <w:rFonts w:ascii="Arial" w:hAnsi="Arial" w:cs="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2z0">
    <w:name w:val="WW8Num2z0"/>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style>
  <w:style w:type="character" w:customStyle="1" w:styleId="WW8Num6z1">
    <w:name w:val="WW8Num6z1"/>
  </w:style>
  <w:style w:type="character" w:customStyle="1" w:styleId="WW8Num6z2">
    <w:name w:val="WW8Num6z2"/>
    <w:rPr>
      <w:rFonts w:ascii="Times New Roman" w:hAnsi="Times New Roman" w:cs="Times New Roman"/>
    </w:rPr>
  </w:style>
  <w:style w:type="character" w:customStyle="1" w:styleId="WW8Num6z3">
    <w:name w:val="WW8Num6z3"/>
    <w:rPr>
      <w:rFonts w:ascii="Symbol" w:hAnsi="Symbol" w:cs="Symbol"/>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lang w:val="en"/>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Symbol"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eastAsia="Times New Roman" w:hAnsi="Symbol" w:cs="Symbol" w:hint="default"/>
      <w:color w:val="auto"/>
      <w:sz w:val="20"/>
      <w:lang w:val="x-none"/>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Times New Roman" w:hAnsi="Times New Roman" w:cs="Times New Roman"/>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u w:val="none"/>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rPr>
  </w:style>
  <w:style w:type="character" w:customStyle="1" w:styleId="WW8Num24z0">
    <w:name w:val="WW8Num24z0"/>
    <w:rPr>
      <w:lang w:val="en-GB"/>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rPr>
  </w:style>
  <w:style w:type="character" w:customStyle="1" w:styleId="WW8Num26z1">
    <w:name w:val="WW8Num26z1"/>
    <w:rPr>
      <w:rFonts w:ascii="Times New Roman" w:eastAsia="MS Mincho" w:hAnsi="Times New Roman" w:cs="Times New Roman" w:hint="default"/>
    </w:rPr>
  </w:style>
  <w:style w:type="character" w:customStyle="1" w:styleId="WW8Num26z2">
    <w:name w:val="WW8Num26z2"/>
    <w:rPr>
      <w:rFonts w:ascii="Wingdings" w:hAnsi="Wingdings" w:cs="Wingdings" w:hint="default"/>
    </w:rPr>
  </w:style>
  <w:style w:type="character" w:customStyle="1" w:styleId="WW8Num26z4">
    <w:name w:val="WW8Num26z4"/>
    <w:rPr>
      <w:rFonts w:ascii="Courier New" w:hAnsi="Courier New" w:cs="Courier New" w:hint="default"/>
    </w:rPr>
  </w:style>
  <w:style w:type="character" w:customStyle="1" w:styleId="WW8Num27z0">
    <w:name w:val="WW8Num27z0"/>
  </w:style>
  <w:style w:type="character" w:customStyle="1" w:styleId="WW8Num27z1">
    <w:name w:val="WW8Num27z1"/>
  </w:style>
  <w:style w:type="character" w:customStyle="1" w:styleId="WW8Num27z2">
    <w:name w:val="WW8Num27z2"/>
    <w:rPr>
      <w:rFonts w:ascii="Times New Roman" w:hAnsi="Times New Roman" w:cs="Times New Roman"/>
    </w:rPr>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9z0">
    <w:name w:val="WW8Num29z0"/>
  </w:style>
  <w:style w:type="character" w:customStyle="1" w:styleId="WW8Num29z1">
    <w:name w:val="WW8Num29z1"/>
  </w:style>
  <w:style w:type="character" w:customStyle="1" w:styleId="WW8Num29z2">
    <w:name w:val="WW8Num29z2"/>
    <w:rPr>
      <w:rFonts w:ascii="Times New Roman" w:hAnsi="Times New Roman" w:cs="Times New Roman"/>
    </w:rPr>
  </w:style>
  <w:style w:type="character" w:customStyle="1" w:styleId="WW8Num29z3">
    <w:name w:val="WW8Num29z3"/>
    <w:rPr>
      <w:rFonts w:ascii="Symbol" w:hAnsi="Symbol" w:cs="Symbol"/>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rPr>
      <w:rFonts w:ascii="Times New Roman" w:hAnsi="Times New Roman" w:cs="Times New Roman"/>
    </w:rPr>
  </w:style>
  <w:style w:type="character" w:customStyle="1" w:styleId="WW8Num30z3">
    <w:name w:val="WW8Num30z3"/>
    <w:rPr>
      <w:rFonts w:ascii="Symbol" w:hAnsi="Symbol" w:cs="Symbol"/>
    </w:rPr>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style>
  <w:style w:type="character" w:customStyle="1" w:styleId="WW8Num32z1">
    <w:name w:val="WW8Num32z1"/>
  </w:style>
  <w:style w:type="character" w:customStyle="1" w:styleId="WW8Num32z2">
    <w:name w:val="WW8Num32z2"/>
    <w:rPr>
      <w:rFonts w:ascii="Times New Roman" w:hAnsi="Times New Roman" w:cs="Times New Roman"/>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rFonts w:ascii="Symbol" w:hAnsi="Symbol" w:cs="Symbol"/>
    </w:rPr>
  </w:style>
  <w:style w:type="character" w:customStyle="1" w:styleId="WW8Num38z0">
    <w:name w:val="WW8Num38z0"/>
    <w:rPr>
      <w:rFonts w:hint="default"/>
    </w:rPr>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0">
    <w:name w:val="WW8Num42z0"/>
    <w:rPr>
      <w:rFonts w:hint="default"/>
    </w:rPr>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Times New Roman" w:hAnsi="Times New Roman" w:cs="Times New Roman"/>
    </w:rPr>
  </w:style>
  <w:style w:type="character" w:customStyle="1" w:styleId="WW8Num45z0">
    <w:name w:val="WW8Num45z0"/>
    <w:rPr>
      <w:rFonts w:ascii="Times New Roman" w:hAnsi="Times New Roman" w:cs="Times New Roman"/>
    </w:rPr>
  </w:style>
  <w:style w:type="character" w:customStyle="1" w:styleId="WW8Num46z0">
    <w:name w:val="WW8Num46z0"/>
    <w:rPr>
      <w:rFonts w:ascii="Times New Roman" w:hAnsi="Times New Roman" w:cs="Times New Roman"/>
    </w:rPr>
  </w:style>
  <w:style w:type="character" w:customStyle="1" w:styleId="WW8Num47z0">
    <w:name w:val="WW8Num47z0"/>
    <w:rPr>
      <w:rFonts w:hint="default"/>
    </w:rPr>
  </w:style>
  <w:style w:type="character" w:customStyle="1" w:styleId="WW8Num48z0">
    <w:name w:val="WW8Num48z0"/>
    <w:rPr>
      <w:rFonts w:ascii="Calibri" w:eastAsia="Calibri" w:hAnsi="Calibri" w:cs="Times New Roman" w:hint="default"/>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rPr>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St38z0">
    <w:name w:val="WW8NumSt38z0"/>
    <w:rPr>
      <w:rFonts w:hint="default"/>
    </w:rPr>
  </w:style>
  <w:style w:type="character" w:customStyle="1" w:styleId="WW8NumSt44z0">
    <w:name w:val="WW8NumSt44z0"/>
    <w:rPr>
      <w:rFonts w:hint="default"/>
    </w:rPr>
  </w:style>
  <w:style w:type="character" w:styleId="FollowedHyperlink">
    <w:name w:val="FollowedHyperlink"/>
    <w:rPr>
      <w:color w:val="800080"/>
      <w:u w:val="single"/>
    </w:rPr>
  </w:style>
  <w:style w:type="character" w:styleId="Hyperlink">
    <w:name w:val="Hyperlink"/>
    <w:uiPriority w:val="99"/>
    <w:rPr>
      <w:color w:val="0000FF"/>
      <w:u w:val="single"/>
    </w:rPr>
  </w:style>
  <w:style w:type="character" w:styleId="PageNumber">
    <w:name w:val="page number"/>
    <w:basedOn w:val="DefaultParagraphFont"/>
  </w:style>
  <w:style w:type="character" w:customStyle="1" w:styleId="textbody1">
    <w:name w:val="textbody1"/>
    <w:rPr>
      <w:rFonts w:ascii="Verdana" w:hAnsi="Verdana" w:cs="Verdana" w:hint="default"/>
      <w:b w:val="0"/>
      <w:bCs w:val="0"/>
      <w:i w:val="0"/>
      <w:iCs w:val="0"/>
      <w:strike w:val="0"/>
      <w:dstrike w:val="0"/>
      <w:color w:val="000000"/>
      <w:sz w:val="15"/>
      <w:szCs w:val="15"/>
      <w:u w:val="none"/>
    </w:rPr>
  </w:style>
  <w:style w:type="character" w:styleId="CommentReference">
    <w:name w:val="annotation reference"/>
    <w:uiPriority w:val="99"/>
    <w:rPr>
      <w:sz w:val="16"/>
      <w:szCs w:val="16"/>
    </w:rPr>
  </w:style>
  <w:style w:type="character" w:customStyle="1" w:styleId="FootnoteTextChar">
    <w:name w:val="Footnote Text Char"/>
    <w:aliases w:val="Footnote Text Char Char Char1,Footnote Text Char Char Char Char Char,Footnote Text1 Char,Footnote Text Char Char Char Char1,Fußnotentextf Char,Geneva 9 Char,Font: Geneva 9 Char,Boston 10 Char,f Char,Footnote text Char"/>
    <w:rPr>
      <w:lang w:val="x-none"/>
    </w:rPr>
  </w:style>
  <w:style w:type="character" w:customStyle="1" w:styleId="Caractresdenotedebasdepage">
    <w:name w:val="Caractères de note de bas de page"/>
    <w:rPr>
      <w:vertAlign w:val="superscript"/>
    </w:rPr>
  </w:style>
  <w:style w:type="character" w:customStyle="1" w:styleId="FooterChar">
    <w:name w:val="Footer Char"/>
    <w:rPr>
      <w:rFonts w:ascii="Arial" w:hAnsi="Arial" w:cs="Arial"/>
      <w:sz w:val="16"/>
    </w:rPr>
  </w:style>
  <w:style w:type="character" w:customStyle="1" w:styleId="Heading1Char">
    <w:name w:val="Heading 1 Char"/>
    <w:uiPriority w:val="9"/>
    <w:rPr>
      <w:b/>
      <w:smallCaps/>
      <w:sz w:val="28"/>
      <w:szCs w:val="28"/>
      <w:lang w:val="x-none"/>
    </w:rPr>
  </w:style>
  <w:style w:type="character" w:customStyle="1" w:styleId="Heading2Char">
    <w:name w:val="Heading 2 Char"/>
    <w:rPr>
      <w:b/>
      <w:sz w:val="24"/>
      <w:lang w:val="x-none"/>
    </w:rPr>
  </w:style>
  <w:style w:type="character" w:customStyle="1" w:styleId="Heading3Char">
    <w:name w:val="Heading 3 Char"/>
    <w:rPr>
      <w:b/>
      <w:i/>
      <w:sz w:val="24"/>
      <w:lang w:val="x-none"/>
    </w:rPr>
  </w:style>
  <w:style w:type="character" w:customStyle="1" w:styleId="Heading4Char">
    <w:name w:val="Heading 4 Char"/>
    <w:rPr>
      <w:sz w:val="24"/>
      <w:lang w:val="x-none"/>
    </w:rPr>
  </w:style>
  <w:style w:type="character" w:customStyle="1" w:styleId="HeaderChar">
    <w:name w:val="Header Char"/>
    <w:rPr>
      <w:sz w:val="24"/>
    </w:rPr>
  </w:style>
  <w:style w:type="character" w:customStyle="1" w:styleId="CommentTextChar">
    <w:name w:val="Comment Text Char"/>
  </w:style>
  <w:style w:type="character" w:customStyle="1" w:styleId="BalloonTextChar">
    <w:name w:val="Balloon Text Char"/>
    <w:rPr>
      <w:rFonts w:ascii="Tahoma" w:hAnsi="Tahoma" w:cs="Tahoma"/>
      <w:sz w:val="16"/>
      <w:szCs w:val="16"/>
    </w:rPr>
  </w:style>
  <w:style w:type="character" w:customStyle="1" w:styleId="CommentSubjectChar">
    <w:name w:val="Comment Subject Char"/>
    <w:rPr>
      <w:b/>
      <w:bCs/>
    </w:rPr>
  </w:style>
  <w:style w:type="character" w:styleId="Emphasis">
    <w:name w:val="Emphasis"/>
    <w:uiPriority w:val="20"/>
    <w:qFormat/>
    <w:rPr>
      <w:b/>
      <w:bCs/>
      <w:i w:val="0"/>
      <w:iCs w:val="0"/>
    </w:rPr>
  </w:style>
  <w:style w:type="character" w:customStyle="1" w:styleId="TextkrperEBARZchn">
    <w:name w:val="Textkörper_EBAR Zchn"/>
    <w:rPr>
      <w:rFonts w:ascii="Cambria" w:eastAsia="Calibri" w:hAnsi="Cambria" w:cs="Cambria"/>
      <w:sz w:val="22"/>
      <w:szCs w:val="22"/>
    </w:rPr>
  </w:style>
  <w:style w:type="character" w:customStyle="1" w:styleId="figmaptableCar">
    <w:name w:val="fig/map/table Car"/>
    <w:rPr>
      <w:rFonts w:ascii="Arial" w:hAnsi="Arial" w:cs="Arial"/>
      <w:b/>
      <w:color w:val="000000"/>
      <w:sz w:val="22"/>
      <w:szCs w:val="22"/>
      <w:lang w:val="en-US"/>
    </w:rPr>
  </w:style>
  <w:style w:type="character" w:customStyle="1" w:styleId="ListParagraphChar">
    <w:name w:val="List Paragraph Char"/>
    <w:uiPriority w:val="34"/>
    <w:rPr>
      <w:rFonts w:ascii="Calibri" w:hAnsi="Calibri" w:cs="Calibri"/>
      <w:sz w:val="22"/>
      <w:szCs w:val="22"/>
    </w:rPr>
  </w:style>
  <w:style w:type="character" w:customStyle="1" w:styleId="BodyTextChar">
    <w:name w:val="Body Text Char"/>
    <w:aliases w:val="EEA - Body Text Char"/>
    <w:rPr>
      <w:sz w:val="24"/>
    </w:rPr>
  </w:style>
  <w:style w:type="character" w:styleId="FootnoteReference">
    <w:name w:val="footnote reference"/>
    <w:aliases w:val="number,Footnote Reference/,SUPERS,Footnote Reference Superscript,Footnote number,-E Fußnotenzeichen,(Footnote Reference),Footnote,Footnote symbol,Char1 Char Char Char Char,stylish,EN Footnote Reference,-E Fuﬂnotenzeichen,cal,note TESI"/>
    <w:rPr>
      <w:vertAlign w:val="superscript"/>
    </w:rPr>
  </w:style>
  <w:style w:type="character" w:styleId="EndnoteReference">
    <w:name w:val="endnote reference"/>
    <w:rPr>
      <w:vertAlign w:val="superscript"/>
    </w:rPr>
  </w:style>
  <w:style w:type="character" w:customStyle="1" w:styleId="Caractresdenotedefin">
    <w:name w:val="Caractères de note de fin"/>
  </w:style>
  <w:style w:type="paragraph" w:customStyle="1" w:styleId="Titre">
    <w:name w:val="Titre"/>
    <w:basedOn w:val="Normal"/>
    <w:next w:val="BodyText"/>
    <w:pPr>
      <w:keepNext/>
      <w:spacing w:before="240" w:after="120"/>
    </w:pPr>
    <w:rPr>
      <w:rFonts w:ascii="Arial" w:eastAsia="Arial Unicode MS" w:hAnsi="Arial" w:cs="Arial Unicode MS"/>
      <w:sz w:val="28"/>
      <w:szCs w:val="28"/>
    </w:rPr>
  </w:style>
  <w:style w:type="paragraph" w:styleId="BodyText">
    <w:name w:val="Body Text"/>
    <w:aliases w:val="EEA - Body Text"/>
    <w:basedOn w:val="Normal"/>
    <w:qFormat/>
    <w:pPr>
      <w:spacing w:after="120"/>
    </w:pPr>
  </w:style>
  <w:style w:type="paragraph" w:styleId="List">
    <w:name w:val="List"/>
    <w:basedOn w:val="Normal"/>
    <w:pPr>
      <w:ind w:left="283" w:hanging="283"/>
    </w:pPr>
  </w:style>
  <w:style w:type="paragraph" w:customStyle="1" w:styleId="Lgende">
    <w:name w:val="Légende"/>
    <w:basedOn w:val="Normal"/>
    <w:pPr>
      <w:suppressLineNumbers/>
      <w:spacing w:before="120" w:after="120"/>
    </w:pPr>
    <w:rPr>
      <w:i/>
      <w:iCs/>
      <w:szCs w:val="24"/>
    </w:rPr>
  </w:style>
  <w:style w:type="paragraph" w:customStyle="1" w:styleId="Index">
    <w:name w:val="Index"/>
    <w:basedOn w:val="Normal"/>
    <w:pPr>
      <w:suppressLineNumbers/>
    </w:pPr>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ind w:left="5103"/>
      <w:jc w:val="center"/>
    </w:pPr>
  </w:style>
  <w:style w:type="paragraph" w:customStyle="1" w:styleId="Enclosures">
    <w:name w:val="Enclosures"/>
    <w:basedOn w:val="Normal"/>
    <w:next w:val="Participants"/>
    <w:pPr>
      <w:keepNext/>
      <w:keepLines/>
      <w:tabs>
        <w:tab w:val="left" w:pos="5670"/>
      </w:tabs>
      <w:spacing w:before="48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jc w:val="left"/>
    </w:pPr>
  </w:style>
  <w:style w:type="paragraph" w:styleId="CommentText">
    <w:name w:val="annotation text"/>
    <w:basedOn w:val="Normal"/>
    <w:rPr>
      <w:sz w:val="20"/>
      <w:lang w:val="x-none"/>
    </w:rPr>
  </w:style>
  <w:style w:type="paragraph" w:styleId="Date">
    <w:name w:val="Date"/>
    <w:basedOn w:val="Normal"/>
    <w:next w:val="References"/>
    <w:pPr>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pPr>
      <w:shd w:val="clear" w:color="auto" w:fill="000080"/>
    </w:pPr>
    <w:rPr>
      <w:rFonts w:ascii="Tahoma" w:hAnsi="Tahoma" w:cs="Tahoma"/>
    </w:rPr>
  </w:style>
  <w:style w:type="paragraph" w:customStyle="1" w:styleId="DoubSign">
    <w:name w:val="DoubSign"/>
    <w:basedOn w:val="Normal"/>
    <w:next w:val="Contact"/>
    <w:pPr>
      <w:tabs>
        <w:tab w:val="left" w:pos="5103"/>
      </w:tabs>
      <w:spacing w:before="1200"/>
      <w:jc w:val="left"/>
    </w:pPr>
  </w:style>
  <w:style w:type="paragraph" w:styleId="EndnoteText">
    <w:name w:val="endnote text"/>
    <w:basedOn w:val="Normal"/>
    <w:rPr>
      <w:sz w:val="20"/>
    </w:rPr>
  </w:style>
  <w:style w:type="paragraph" w:styleId="EnvelopeAddress">
    <w:name w:val="envelope address"/>
    <w:basedOn w:val="Normal"/>
  </w:style>
  <w:style w:type="paragraph" w:styleId="EnvelopeReturn">
    <w:name w:val="envelope return"/>
    <w:basedOn w:val="Normal"/>
    <w:rPr>
      <w:sz w:val="20"/>
    </w:rPr>
  </w:style>
  <w:style w:type="paragraph" w:styleId="Footer">
    <w:name w:val="footer"/>
    <w:basedOn w:val="Normal"/>
    <w:pPr>
      <w:ind w:right="-567"/>
      <w:jc w:val="left"/>
    </w:pPr>
    <w:rPr>
      <w:rFonts w:ascii="Arial" w:hAnsi="Arial" w:cs="Arial"/>
      <w:sz w:val="16"/>
      <w:lang w:val="x-none"/>
    </w:rPr>
  </w:style>
  <w:style w:type="paragraph" w:styleId="FootnoteText">
    <w:name w:val="footnote text"/>
    <w:aliases w:val="Footnote Text Char Char,Footnote Text Char Char Char Char,Footnote Text1,Footnote Text Char Char Char,Fußnotentextf,Geneva 9,Font: Geneva 9,Boston 10,f,Footnote text"/>
    <w:basedOn w:val="Normal"/>
    <w:qFormat/>
    <w:pPr>
      <w:kinsoku w:val="0"/>
      <w:ind w:firstLine="0"/>
      <w:jc w:val="left"/>
    </w:pPr>
    <w:rPr>
      <w:sz w:val="20"/>
      <w:lang w:val="x-none"/>
    </w:rPr>
  </w:style>
  <w:style w:type="paragraph" w:styleId="Header">
    <w:name w:val="header"/>
    <w:basedOn w:val="Normal"/>
    <w:pPr>
      <w:tabs>
        <w:tab w:val="center" w:pos="4153"/>
        <w:tab w:val="right" w:pos="8306"/>
      </w:tabs>
    </w:pPr>
    <w:rPr>
      <w:lang w:val="x-none"/>
    </w:rPr>
  </w:style>
  <w:style w:type="paragraph" w:styleId="Index1">
    <w:name w:val="index 1"/>
    <w:basedOn w:val="Normal"/>
    <w:next w:val="Normal"/>
    <w:pPr>
      <w:ind w:left="240" w:hanging="240"/>
    </w:pPr>
  </w:style>
  <w:style w:type="paragraph" w:styleId="Index2">
    <w:name w:val="index 2"/>
    <w:basedOn w:val="Normal"/>
    <w:next w:val="Normal"/>
    <w:pPr>
      <w:ind w:left="480" w:hanging="240"/>
    </w:pPr>
  </w:style>
  <w:style w:type="paragraph" w:styleId="Index3">
    <w:name w:val="index 3"/>
    <w:basedOn w:val="Normal"/>
    <w:next w:val="Normal"/>
    <w:pPr>
      <w:ind w:left="720" w:hanging="240"/>
    </w:pPr>
  </w:style>
  <w:style w:type="paragraph" w:styleId="Index4">
    <w:name w:val="index 4"/>
    <w:basedOn w:val="Normal"/>
    <w:next w:val="Normal"/>
    <w:pPr>
      <w:ind w:left="960" w:hanging="240"/>
    </w:pPr>
  </w:style>
  <w:style w:type="paragraph" w:styleId="Index5">
    <w:name w:val="index 5"/>
    <w:basedOn w:val="Normal"/>
    <w:next w:val="Normal"/>
    <w:pPr>
      <w:ind w:left="1200" w:hanging="240"/>
    </w:pPr>
  </w:style>
  <w:style w:type="paragraph" w:styleId="Index6">
    <w:name w:val="index 6"/>
    <w:basedOn w:val="Normal"/>
    <w:next w:val="Normal"/>
    <w:pPr>
      <w:ind w:left="1440" w:hanging="240"/>
    </w:pPr>
  </w:style>
  <w:style w:type="paragraph" w:styleId="Index7">
    <w:name w:val="index 7"/>
    <w:basedOn w:val="Normal"/>
    <w:next w:val="Normal"/>
    <w:pPr>
      <w:ind w:left="1680" w:hanging="240"/>
    </w:pPr>
  </w:style>
  <w:style w:type="paragraph" w:styleId="Index8">
    <w:name w:val="index 8"/>
    <w:basedOn w:val="Normal"/>
    <w:next w:val="Normal"/>
    <w:pPr>
      <w:ind w:left="1920" w:hanging="240"/>
    </w:pPr>
  </w:style>
  <w:style w:type="paragraph" w:styleId="Index9">
    <w:name w:val="index 9"/>
    <w:basedOn w:val="Normal"/>
    <w:next w:val="Normal"/>
    <w:pPr>
      <w:ind w:left="2160" w:hanging="240"/>
    </w:pPr>
  </w:style>
  <w:style w:type="paragraph" w:styleId="IndexHeading">
    <w:name w:val="index heading"/>
    <w:basedOn w:val="Normal"/>
    <w:next w:val="Index1"/>
    <w:rPr>
      <w:rFonts w:ascii="Arial" w:hAnsi="Arial" w:cs="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5"/>
      </w:numPr>
    </w:pPr>
  </w:style>
  <w:style w:type="paragraph" w:styleId="ListBullet2">
    <w:name w:val="List Bullet 2"/>
    <w:basedOn w:val="Text2"/>
    <w:pPr>
      <w:numPr>
        <w:numId w:val="9"/>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6"/>
      </w:numPr>
    </w:pPr>
  </w:style>
  <w:style w:type="paragraph" w:styleId="ListBullet5">
    <w:name w:val="List Bullet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Text2"/>
    <w:pPr>
      <w:numPr>
        <w:numId w:val="12"/>
      </w:numPr>
      <w:tabs>
        <w:tab w:val="clear" w:pos="2160"/>
      </w:tabs>
    </w:pPr>
  </w:style>
  <w:style w:type="paragraph" w:styleId="ListNumber3">
    <w:name w:val="List Number 3"/>
    <w:basedOn w:val="Text3"/>
    <w:pPr>
      <w:numPr>
        <w:numId w:val="5"/>
      </w:numPr>
      <w:tabs>
        <w:tab w:val="clear" w:pos="2302"/>
      </w:tabs>
    </w:pPr>
  </w:style>
  <w:style w:type="paragraph" w:styleId="ListNumber4">
    <w:name w:val="List Number 4"/>
    <w:basedOn w:val="Text4"/>
    <w:pPr>
      <w:numPr>
        <w:numId w:val="14"/>
      </w:numPr>
    </w:pPr>
  </w:style>
  <w:style w:type="paragraph" w:styleId="ListNumber5">
    <w:name w:val="List Number 5"/>
    <w:basedOn w:val="Normal"/>
    <w:pPr>
      <w:numPr>
        <w:numId w:val="2"/>
      </w:numPr>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spacing w:after="240"/>
      <w:ind w:hanging="11"/>
      <w:jc w:val="both"/>
    </w:pPr>
    <w:rPr>
      <w:rFonts w:ascii="Courier New" w:hAnsi="Courier New" w:cs="Courier New"/>
      <w:lang w:eastAsia="ar-SA"/>
    </w:rPr>
  </w:style>
  <w:style w:type="paragraph" w:styleId="MessageHeader">
    <w:name w:val="Message Header"/>
    <w:basedOn w:val="Normal"/>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numPr>
        <w:numId w:val="0"/>
      </w:numPr>
      <w:spacing w:before="0"/>
      <w:ind w:hanging="11"/>
    </w:pPr>
    <w:rPr>
      <w:b w:val="0"/>
      <w:smallCaps w:val="0"/>
    </w:rPr>
  </w:style>
  <w:style w:type="paragraph" w:customStyle="1" w:styleId="NumPar2">
    <w:name w:val="NumPar 2"/>
    <w:basedOn w:val="Heading2"/>
    <w:next w:val="Text2"/>
    <w:pPr>
      <w:keepNext w:val="0"/>
      <w:ind w:hanging="11"/>
    </w:pPr>
    <w:rPr>
      <w:b w:val="0"/>
    </w:rPr>
  </w:style>
  <w:style w:type="paragraph" w:customStyle="1" w:styleId="NumPar3">
    <w:name w:val="NumPar 3"/>
    <w:basedOn w:val="Heading3"/>
    <w:next w:val="Text3"/>
    <w:pPr>
      <w:keepNext w:val="0"/>
      <w:numPr>
        <w:ilvl w:val="0"/>
        <w:numId w:val="0"/>
      </w:numPr>
      <w:ind w:hanging="11"/>
    </w:pPr>
    <w:rPr>
      <w:i w:val="0"/>
    </w:rPr>
  </w:style>
  <w:style w:type="paragraph" w:customStyle="1" w:styleId="NumPar4">
    <w:name w:val="NumPar 4"/>
    <w:basedOn w:val="Heading4"/>
    <w:next w:val="Text4"/>
    <w:pPr>
      <w:keepNext w:val="0"/>
      <w:numPr>
        <w:ilvl w:val="0"/>
        <w:numId w:val="0"/>
      </w:numPr>
      <w:ind w:hanging="11"/>
    </w:pPr>
  </w:style>
  <w:style w:type="paragraph" w:styleId="PlainText">
    <w:name w:val="Plain Text"/>
    <w:basedOn w:val="Normal"/>
    <w:link w:val="PlainTextChar"/>
    <w:uiPriority w:val="99"/>
    <w:rPr>
      <w:rFonts w:ascii="Courier New" w:hAnsi="Courier New" w:cs="Courier New"/>
      <w:sz w:val="20"/>
    </w:rPr>
  </w:style>
  <w:style w:type="paragraph" w:styleId="Salutation">
    <w:name w:val="Salutation"/>
    <w:basedOn w:val="Normal"/>
    <w:next w:val="Normal"/>
  </w:style>
  <w:style w:type="paragraph" w:styleId="Subtitle">
    <w:name w:val="Subtitle"/>
    <w:basedOn w:val="Normal"/>
    <w:next w:val="BodyText"/>
    <w:qFormat/>
    <w:pPr>
      <w:spacing w:after="60"/>
      <w:jc w:val="center"/>
    </w:pPr>
    <w:rPr>
      <w:rFonts w:ascii="Arial" w:hAnsi="Arial" w:cs="Arial"/>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
    <w:qFormat/>
    <w:pPr>
      <w:spacing w:before="240" w:after="60"/>
      <w:jc w:val="center"/>
    </w:pPr>
    <w:rPr>
      <w:rFonts w:ascii="Arial" w:hAnsi="Arial" w:cs="Arial"/>
      <w:b/>
      <w:kern w:val="1"/>
      <w:sz w:val="32"/>
    </w:rPr>
  </w:style>
  <w:style w:type="paragraph" w:styleId="TOAHeading">
    <w:name w:val="toa heading"/>
    <w:basedOn w:val="Normal"/>
    <w:next w:val="Normal"/>
    <w:pPr>
      <w:spacing w:before="120"/>
    </w:pPr>
    <w:rPr>
      <w:rFonts w:ascii="Arial" w:hAnsi="Arial" w:cs="Arial"/>
      <w:b/>
    </w:rPr>
  </w:style>
  <w:style w:type="paragraph" w:styleId="TOC1">
    <w:name w:val="toc 1"/>
    <w:basedOn w:val="Normal"/>
    <w:next w:val="Normal"/>
    <w:uiPriority w:val="39"/>
    <w:pPr>
      <w:tabs>
        <w:tab w:val="right" w:leader="dot" w:pos="9639"/>
      </w:tabs>
      <w:spacing w:before="240" w:after="120"/>
      <w:ind w:firstLine="0"/>
    </w:pPr>
    <w:rPr>
      <w:caps/>
    </w:rPr>
  </w:style>
  <w:style w:type="paragraph" w:styleId="TOC2">
    <w:name w:val="toc 2"/>
    <w:basedOn w:val="Normal"/>
    <w:next w:val="Normal"/>
    <w:uiPriority w:val="39"/>
    <w:pPr>
      <w:tabs>
        <w:tab w:val="right" w:leader="dot" w:pos="9639"/>
      </w:tabs>
      <w:spacing w:after="120"/>
      <w:ind w:left="510" w:firstLine="0"/>
    </w:pPr>
  </w:style>
  <w:style w:type="paragraph" w:styleId="TOC3">
    <w:name w:val="toc 3"/>
    <w:basedOn w:val="Normal"/>
    <w:next w:val="Normal"/>
    <w:uiPriority w:val="39"/>
    <w:pPr>
      <w:tabs>
        <w:tab w:val="right" w:leader="dot" w:pos="8640"/>
      </w:tabs>
      <w:ind w:left="1916" w:right="720" w:hanging="839"/>
    </w:pPr>
    <w:rPr>
      <w:sz w:val="20"/>
    </w:r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pPr>
      <w:ind w:left="1200"/>
    </w:pPr>
  </w:style>
  <w:style w:type="paragraph" w:styleId="TOC7">
    <w:name w:val="toc 7"/>
    <w:basedOn w:val="Normal"/>
    <w:next w:val="Normal"/>
    <w:pPr>
      <w:ind w:left="1440"/>
    </w:pPr>
  </w:style>
  <w:style w:type="paragraph" w:styleId="TOC8">
    <w:name w:val="toc 8"/>
    <w:basedOn w:val="Normal"/>
    <w:next w:val="Normal"/>
    <w:pPr>
      <w:ind w:left="1680"/>
    </w:pPr>
  </w:style>
  <w:style w:type="paragraph" w:styleId="TOC9">
    <w:name w:val="toc 9"/>
    <w:basedOn w:val="Normal"/>
    <w:next w:val="Normal"/>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0"/>
      </w:numPr>
    </w:pPr>
  </w:style>
  <w:style w:type="paragraph" w:customStyle="1" w:styleId="ListDash">
    <w:name w:val="List Dash"/>
    <w:basedOn w:val="Normal"/>
    <w:pPr>
      <w:numPr>
        <w:numId w:val="16"/>
      </w:numPr>
    </w:pPr>
  </w:style>
  <w:style w:type="paragraph" w:customStyle="1" w:styleId="ListDash1">
    <w:name w:val="List Dash 1"/>
    <w:basedOn w:val="Text1"/>
    <w:pPr>
      <w:numPr>
        <w:numId w:val="18"/>
      </w:numPr>
    </w:pPr>
  </w:style>
  <w:style w:type="paragraph" w:customStyle="1" w:styleId="ListDash2">
    <w:name w:val="List Dash 2"/>
    <w:basedOn w:val="Text2"/>
    <w:pPr>
      <w:numPr>
        <w:numId w:val="17"/>
      </w:numPr>
      <w:tabs>
        <w:tab w:val="clear" w:pos="2160"/>
      </w:tabs>
    </w:pPr>
  </w:style>
  <w:style w:type="paragraph" w:customStyle="1" w:styleId="ListDash3">
    <w:name w:val="List Dash 3"/>
    <w:basedOn w:val="Text3"/>
    <w:pPr>
      <w:numPr>
        <w:numId w:val="19"/>
      </w:numPr>
      <w:tabs>
        <w:tab w:val="clear" w:pos="2302"/>
      </w:tabs>
    </w:pPr>
  </w:style>
  <w:style w:type="paragraph" w:customStyle="1" w:styleId="ListDash4">
    <w:name w:val="List Dash 4"/>
    <w:basedOn w:val="Text4"/>
    <w:pPr>
      <w:numPr>
        <w:numId w:val="8"/>
      </w:numPr>
    </w:pPr>
  </w:style>
  <w:style w:type="paragraph" w:customStyle="1" w:styleId="ListNumberLevel2">
    <w:name w:val="List Number (Level 2)"/>
    <w:basedOn w:val="Normal"/>
    <w:pPr>
      <w:tabs>
        <w:tab w:val="num" w:pos="709"/>
      </w:tabs>
      <w:ind w:left="709" w:hanging="709"/>
    </w:pPr>
  </w:style>
  <w:style w:type="paragraph" w:customStyle="1" w:styleId="ListNumberLevel3">
    <w:name w:val="List Number (Level 3)"/>
    <w:basedOn w:val="Normal"/>
    <w:pPr>
      <w:tabs>
        <w:tab w:val="num" w:pos="709"/>
      </w:tabs>
      <w:ind w:left="709" w:hanging="709"/>
    </w:pPr>
  </w:style>
  <w:style w:type="paragraph" w:customStyle="1" w:styleId="ListNumberLevel4">
    <w:name w:val="List Number (Level 4)"/>
    <w:basedOn w:val="Normal"/>
    <w:pPr>
      <w:tabs>
        <w:tab w:val="num" w:pos="709"/>
      </w:tabs>
      <w:ind w:left="709" w:hanging="709"/>
    </w:pPr>
  </w:style>
  <w:style w:type="paragraph" w:customStyle="1" w:styleId="ListNumber1">
    <w:name w:val="List Number 1"/>
    <w:basedOn w:val="Text1"/>
    <w:pPr>
      <w:numPr>
        <w:numId w:val="13"/>
      </w:numPr>
    </w:pPr>
  </w:style>
  <w:style w:type="paragraph" w:customStyle="1" w:styleId="ListNumber1Level2">
    <w:name w:val="List Number 1 (Level 2)"/>
    <w:basedOn w:val="Text1"/>
    <w:pPr>
      <w:tabs>
        <w:tab w:val="num" w:pos="1191"/>
      </w:tabs>
      <w:ind w:left="1191" w:hanging="709"/>
    </w:pPr>
  </w:style>
  <w:style w:type="paragraph" w:customStyle="1" w:styleId="ListNumber1Level3">
    <w:name w:val="List Number 1 (Level 3)"/>
    <w:basedOn w:val="Text1"/>
    <w:pPr>
      <w:tabs>
        <w:tab w:val="num" w:pos="1191"/>
      </w:tabs>
      <w:ind w:left="1191" w:hanging="709"/>
    </w:pPr>
  </w:style>
  <w:style w:type="paragraph" w:customStyle="1" w:styleId="ListNumber1Level4">
    <w:name w:val="List Number 1 (Level 4)"/>
    <w:basedOn w:val="Text1"/>
    <w:pPr>
      <w:tabs>
        <w:tab w:val="num" w:pos="1191"/>
      </w:tabs>
      <w:ind w:left="1191" w:hanging="709"/>
    </w:pPr>
  </w:style>
  <w:style w:type="paragraph" w:customStyle="1" w:styleId="ListNumber2Level2">
    <w:name w:val="List Number 2 (Level 2)"/>
    <w:basedOn w:val="Text2"/>
    <w:pPr>
      <w:tabs>
        <w:tab w:val="clear" w:pos="2160"/>
        <w:tab w:val="num" w:pos="1786"/>
      </w:tabs>
      <w:ind w:left="1786" w:hanging="709"/>
    </w:pPr>
  </w:style>
  <w:style w:type="paragraph" w:customStyle="1" w:styleId="ListNumber2Level3">
    <w:name w:val="List Number 2 (Level 3)"/>
    <w:basedOn w:val="Text2"/>
    <w:pPr>
      <w:tabs>
        <w:tab w:val="clear" w:pos="2160"/>
        <w:tab w:val="num" w:pos="1786"/>
      </w:tabs>
      <w:ind w:left="1786" w:hanging="709"/>
    </w:pPr>
  </w:style>
  <w:style w:type="paragraph" w:customStyle="1" w:styleId="ListNumber2Level4">
    <w:name w:val="List Number 2 (Level 4)"/>
    <w:basedOn w:val="Text2"/>
    <w:pPr>
      <w:tabs>
        <w:tab w:val="clear" w:pos="2160"/>
        <w:tab w:val="num" w:pos="1786"/>
      </w:tabs>
      <w:ind w:left="3901" w:hanging="703"/>
    </w:pPr>
  </w:style>
  <w:style w:type="paragraph" w:customStyle="1" w:styleId="ListNumber3Level2">
    <w:name w:val="List Number 3 (Level 2)"/>
    <w:basedOn w:val="Text3"/>
    <w:pPr>
      <w:tabs>
        <w:tab w:val="clear" w:pos="2302"/>
        <w:tab w:val="num" w:pos="2625"/>
      </w:tabs>
      <w:ind w:left="2625" w:hanging="709"/>
    </w:pPr>
  </w:style>
  <w:style w:type="paragraph" w:customStyle="1" w:styleId="ListNumber3Level3">
    <w:name w:val="List Number 3 (Level 3)"/>
    <w:basedOn w:val="Text3"/>
    <w:pPr>
      <w:tabs>
        <w:tab w:val="clear" w:pos="2302"/>
        <w:tab w:val="num" w:pos="2625"/>
      </w:tabs>
      <w:ind w:left="2625" w:hanging="709"/>
    </w:pPr>
  </w:style>
  <w:style w:type="paragraph" w:customStyle="1" w:styleId="ListNumber3Level4">
    <w:name w:val="List Number 3 (Level 4)"/>
    <w:basedOn w:val="Text3"/>
    <w:pPr>
      <w:tabs>
        <w:tab w:val="clear" w:pos="2302"/>
        <w:tab w:val="num" w:pos="2625"/>
      </w:tabs>
      <w:ind w:left="2625" w:hanging="709"/>
    </w:pPr>
  </w:style>
  <w:style w:type="paragraph" w:customStyle="1" w:styleId="ListNumber4Level2">
    <w:name w:val="List Number 4 (Level 2)"/>
    <w:basedOn w:val="Text4"/>
    <w:pPr>
      <w:tabs>
        <w:tab w:val="num" w:pos="3589"/>
      </w:tabs>
      <w:ind w:left="3589" w:hanging="709"/>
    </w:pPr>
  </w:style>
  <w:style w:type="paragraph" w:customStyle="1" w:styleId="ListNumber4Level3">
    <w:name w:val="List Number 4 (Level 3)"/>
    <w:basedOn w:val="Text4"/>
    <w:pPr>
      <w:tabs>
        <w:tab w:val="num" w:pos="3589"/>
      </w:tabs>
      <w:ind w:left="3589" w:hanging="709"/>
    </w:pPr>
  </w:style>
  <w:style w:type="paragraph" w:customStyle="1" w:styleId="ListNumber4Level4">
    <w:name w:val="List Number 4 (Level 4)"/>
    <w:basedOn w:val="Text4"/>
    <w:pPr>
      <w:tabs>
        <w:tab w:val="num" w:pos="3589"/>
      </w:tabs>
      <w:ind w:left="3589" w:hanging="709"/>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Enclosures"/>
    <w:pPr>
      <w:spacing w:before="48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000000"/>
      </w:pBdr>
      <w:spacing w:before="480"/>
    </w:pPr>
    <w:rPr>
      <w:i/>
    </w:rPr>
  </w:style>
  <w:style w:type="paragraph" w:customStyle="1" w:styleId="DisclaimerSJ">
    <w:name w:val="Disclaimer_SJ"/>
    <w:basedOn w:val="Normal"/>
    <w:next w:val="Normal"/>
    <w:rPr>
      <w:rFonts w:ascii="Arial" w:hAnsi="Arial" w:cs="Arial"/>
      <w:b/>
      <w:sz w:val="16"/>
    </w:rPr>
  </w:style>
  <w:style w:type="paragraph" w:customStyle="1" w:styleId="ZCom">
    <w:name w:val="Z_Com"/>
    <w:basedOn w:val="Normal"/>
    <w:next w:val="ZDGName"/>
    <w:pPr>
      <w:widowControl w:val="0"/>
      <w:autoSpaceDE w:val="0"/>
      <w:ind w:right="85"/>
    </w:pPr>
    <w:rPr>
      <w:rFonts w:ascii="Arial" w:hAnsi="Arial" w:cs="Arial"/>
      <w:szCs w:val="24"/>
    </w:rPr>
  </w:style>
  <w:style w:type="paragraph" w:customStyle="1" w:styleId="ZDGName">
    <w:name w:val="Z_DGName"/>
    <w:basedOn w:val="Normal"/>
    <w:pPr>
      <w:widowControl w:val="0"/>
      <w:autoSpaceDE w:val="0"/>
      <w:ind w:right="85"/>
      <w:jc w:val="left"/>
    </w:pPr>
    <w:rPr>
      <w:rFonts w:ascii="Arial" w:hAnsi="Arial" w:cs="Arial"/>
      <w:sz w:val="16"/>
      <w:szCs w:val="16"/>
    </w:rPr>
  </w:style>
  <w:style w:type="paragraph" w:styleId="BalloonText">
    <w:name w:val="Balloon Text"/>
    <w:basedOn w:val="Normal"/>
    <w:rPr>
      <w:rFonts w:ascii="Tahoma" w:hAnsi="Tahoma" w:cs="Tahoma"/>
      <w:sz w:val="16"/>
      <w:szCs w:val="16"/>
      <w:lang w:val="x-none"/>
    </w:rPr>
  </w:style>
  <w:style w:type="paragraph" w:styleId="CommentSubject">
    <w:name w:val="annotation subject"/>
    <w:basedOn w:val="CommentText"/>
    <w:next w:val="CommentText"/>
    <w:rPr>
      <w:b/>
      <w:bCs/>
    </w:rPr>
  </w:style>
  <w:style w:type="paragraph" w:customStyle="1" w:styleId="Default">
    <w:name w:val="Default"/>
    <w:pPr>
      <w:suppressAutoHyphens/>
      <w:autoSpaceDE w:val="0"/>
      <w:ind w:hanging="11"/>
      <w:jc w:val="both"/>
    </w:pPr>
    <w:rPr>
      <w:rFonts w:eastAsia="MS Mincho"/>
      <w:color w:val="000000"/>
      <w:sz w:val="24"/>
      <w:szCs w:val="24"/>
      <w:lang w:eastAsia="ar-SA"/>
    </w:rPr>
  </w:style>
  <w:style w:type="paragraph" w:styleId="ListParagraph">
    <w:name w:val="List Paragraph"/>
    <w:basedOn w:val="Normal"/>
    <w:uiPriority w:val="34"/>
    <w:qFormat/>
    <w:pPr>
      <w:spacing w:after="200" w:line="276" w:lineRule="auto"/>
      <w:ind w:left="720"/>
      <w:jc w:val="left"/>
    </w:pPr>
    <w:rPr>
      <w:rFonts w:ascii="Calibri" w:hAnsi="Calibri"/>
      <w:sz w:val="22"/>
      <w:szCs w:val="22"/>
    </w:rPr>
  </w:style>
  <w:style w:type="paragraph" w:customStyle="1" w:styleId="ManualHeading1">
    <w:name w:val="Manual Heading 1"/>
    <w:basedOn w:val="Normal"/>
    <w:next w:val="Normal"/>
    <w:pPr>
      <w:keepNext/>
      <w:tabs>
        <w:tab w:val="left" w:pos="850"/>
      </w:tabs>
      <w:spacing w:before="360" w:after="120"/>
      <w:ind w:left="850" w:hanging="850"/>
    </w:pPr>
    <w:rPr>
      <w:b/>
      <w:smallCaps/>
      <w:szCs w:val="24"/>
    </w:rPr>
  </w:style>
  <w:style w:type="paragraph" w:customStyle="1" w:styleId="ManualHeading2">
    <w:name w:val="Manual Heading 2"/>
    <w:basedOn w:val="Normal"/>
    <w:next w:val="Text2"/>
    <w:pPr>
      <w:keepNext/>
      <w:tabs>
        <w:tab w:val="left" w:pos="850"/>
      </w:tabs>
      <w:spacing w:before="120" w:after="120"/>
      <w:ind w:left="850" w:hanging="850"/>
    </w:pPr>
    <w:rPr>
      <w:b/>
      <w:szCs w:val="24"/>
    </w:rPr>
  </w:style>
  <w:style w:type="paragraph" w:customStyle="1" w:styleId="SectionTitle">
    <w:name w:val="SectionTitle"/>
    <w:basedOn w:val="Normal"/>
    <w:next w:val="Heading1"/>
    <w:pPr>
      <w:keepNext/>
      <w:spacing w:before="120" w:after="360"/>
      <w:jc w:val="center"/>
    </w:pPr>
    <w:rPr>
      <w:b/>
      <w:smallCaps/>
      <w:sz w:val="28"/>
      <w:szCs w:val="24"/>
    </w:rPr>
  </w:style>
  <w:style w:type="paragraph" w:styleId="Revision">
    <w:name w:val="Revision"/>
    <w:pPr>
      <w:suppressAutoHyphens/>
      <w:ind w:hanging="11"/>
      <w:jc w:val="both"/>
    </w:pPr>
    <w:rPr>
      <w:rFonts w:ascii="Calibri" w:eastAsia="Calibri" w:hAnsi="Calibri" w:cs="Calibri"/>
      <w:sz w:val="22"/>
      <w:szCs w:val="22"/>
      <w:lang w:eastAsia="ar-SA"/>
    </w:rPr>
  </w:style>
  <w:style w:type="paragraph" w:customStyle="1" w:styleId="a3520normal">
    <w:name w:val="a___35__20_normal"/>
    <w:basedOn w:val="Normal"/>
    <w:pPr>
      <w:spacing w:after="120"/>
    </w:pPr>
    <w:rPr>
      <w:szCs w:val="24"/>
    </w:rPr>
  </w:style>
  <w:style w:type="paragraph" w:styleId="NormalWeb">
    <w:name w:val="Normal (Web)"/>
    <w:basedOn w:val="Normal"/>
    <w:uiPriority w:val="99"/>
    <w:pPr>
      <w:spacing w:before="100" w:after="100"/>
      <w:ind w:left="357" w:hanging="357"/>
      <w:jc w:val="left"/>
    </w:pPr>
    <w:rPr>
      <w:szCs w:val="24"/>
    </w:rPr>
  </w:style>
  <w:style w:type="paragraph" w:customStyle="1" w:styleId="Bullettext">
    <w:name w:val="Bullet text"/>
    <w:basedOn w:val="Normal"/>
    <w:pPr>
      <w:numPr>
        <w:numId w:val="4"/>
      </w:numPr>
      <w:spacing w:after="120"/>
      <w:jc w:val="left"/>
    </w:pPr>
    <w:rPr>
      <w:rFonts w:eastAsia="ヒラギノ角ゴ Pro W3"/>
      <w:color w:val="000000"/>
      <w:sz w:val="22"/>
      <w:szCs w:val="24"/>
    </w:rPr>
  </w:style>
  <w:style w:type="paragraph" w:customStyle="1" w:styleId="TextkrperEBAR">
    <w:name w:val="Textkörper_EBAR"/>
    <w:basedOn w:val="Normal"/>
    <w:pPr>
      <w:widowControl w:val="0"/>
      <w:spacing w:line="480" w:lineRule="auto"/>
      <w:ind w:firstLine="0"/>
    </w:pPr>
    <w:rPr>
      <w:rFonts w:ascii="Cambria" w:eastAsia="Calibri" w:hAnsi="Cambria" w:cs="Cambria"/>
      <w:sz w:val="22"/>
      <w:szCs w:val="22"/>
    </w:rPr>
  </w:style>
  <w:style w:type="paragraph" w:customStyle="1" w:styleId="Graphicsourcenotes">
    <w:name w:val="Graphic source/notes"/>
    <w:basedOn w:val="Normal"/>
    <w:next w:val="Normal"/>
    <w:pPr>
      <w:overflowPunct w:val="0"/>
      <w:autoSpaceDE w:val="0"/>
      <w:spacing w:after="120"/>
      <w:ind w:firstLine="0"/>
      <w:jc w:val="left"/>
      <w:textAlignment w:val="baseline"/>
    </w:pPr>
    <w:rPr>
      <w:rFonts w:ascii="Arial" w:hAnsi="Arial" w:cs="Arial"/>
      <w:sz w:val="18"/>
    </w:rPr>
  </w:style>
  <w:style w:type="paragraph" w:customStyle="1" w:styleId="figmaptable">
    <w:name w:val="fig/map/table"/>
    <w:basedOn w:val="BodyText"/>
    <w:qFormat/>
    <w:pPr>
      <w:overflowPunct w:val="0"/>
      <w:autoSpaceDE w:val="0"/>
      <w:spacing w:after="240"/>
      <w:ind w:firstLine="0"/>
      <w:jc w:val="left"/>
      <w:textAlignment w:val="baseline"/>
    </w:pPr>
    <w:rPr>
      <w:rFonts w:ascii="Arial" w:hAnsi="Arial" w:cs="Arial"/>
      <w:b/>
      <w:color w:val="000000"/>
      <w:sz w:val="22"/>
      <w:szCs w:val="22"/>
      <w:lang w:val="en-US"/>
    </w:rPr>
  </w:style>
  <w:style w:type="paragraph" w:customStyle="1" w:styleId="Tabledesmatiresniveau10">
    <w:name w:val="Table des matières niveau 10"/>
    <w:basedOn w:val="Index"/>
    <w:pPr>
      <w:tabs>
        <w:tab w:val="right" w:leader="dot" w:pos="7091"/>
      </w:tabs>
      <w:ind w:left="2547" w:firstLine="0"/>
    </w:pPr>
  </w:style>
  <w:style w:type="paragraph" w:customStyle="1" w:styleId="Contenuducadre">
    <w:name w:val="Contenu du cadre"/>
    <w:basedOn w:val="BodyText"/>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customStyle="1" w:styleId="PlainTextChar">
    <w:name w:val="Plain Text Char"/>
    <w:link w:val="PlainText"/>
    <w:uiPriority w:val="99"/>
    <w:rPr>
      <w:rFonts w:ascii="Courier New" w:hAnsi="Courier New" w:cs="Courier New"/>
      <w:lang w:eastAsia="ar-SA"/>
    </w:rPr>
  </w:style>
  <w:style w:type="paragraph" w:customStyle="1" w:styleId="bodytitle3">
    <w:name w:val="body title 3"/>
    <w:basedOn w:val="Normal"/>
    <w:uiPriority w:val="99"/>
    <w:pPr>
      <w:keepNext/>
      <w:keepLines/>
      <w:widowControl w:val="0"/>
      <w:autoSpaceDE w:val="0"/>
      <w:autoSpaceDN w:val="0"/>
      <w:adjustRightInd w:val="0"/>
      <w:spacing w:before="113" w:after="113" w:line="236" w:lineRule="atLeast"/>
      <w:ind w:firstLine="0"/>
    </w:pPr>
    <w:rPr>
      <w:rFonts w:ascii="Arial" w:hAnsi="Arial" w:cs="MyriadPro-SemiboldIt"/>
      <w:i/>
      <w:iCs/>
      <w:color w:val="5E6389"/>
      <w:sz w:val="20"/>
      <w:lang w:eastAsia="en-US"/>
    </w:rPr>
  </w:style>
  <w:style w:type="paragraph" w:customStyle="1" w:styleId="footnote">
    <w:name w:val="footnote"/>
    <w:basedOn w:val="Normal"/>
    <w:uiPriority w:val="99"/>
    <w:pPr>
      <w:widowControl w:val="0"/>
      <w:autoSpaceDE w:val="0"/>
      <w:autoSpaceDN w:val="0"/>
      <w:adjustRightInd w:val="0"/>
      <w:spacing w:after="113" w:line="150" w:lineRule="atLeast"/>
      <w:ind w:left="170" w:hanging="170"/>
      <w:jc w:val="left"/>
    </w:pPr>
    <w:rPr>
      <w:rFonts w:ascii="Arial" w:hAnsi="Arial" w:cs="MyriadPro-Light"/>
      <w:color w:val="000000"/>
      <w:position w:val="-2"/>
      <w:sz w:val="13"/>
      <w:szCs w:val="13"/>
      <w:lang w:eastAsia="en-US"/>
    </w:rPr>
  </w:style>
  <w:style w:type="paragraph" w:customStyle="1" w:styleId="graph-table-maptitle">
    <w:name w:val="graph-table-map title"/>
    <w:basedOn w:val="Normal"/>
    <w:uiPriority w:val="99"/>
    <w:pPr>
      <w:keepNext/>
      <w:keepLines/>
      <w:widowControl w:val="0"/>
      <w:autoSpaceDE w:val="0"/>
      <w:autoSpaceDN w:val="0"/>
      <w:adjustRightInd w:val="0"/>
      <w:spacing w:before="113" w:after="170" w:line="260" w:lineRule="atLeast"/>
      <w:ind w:firstLine="0"/>
      <w:jc w:val="left"/>
    </w:pPr>
    <w:rPr>
      <w:rFonts w:ascii="Arial" w:hAnsi="Arial" w:cs="MyriadPro-Regular"/>
      <w:color w:val="7F7F7F"/>
      <w:spacing w:val="-2"/>
      <w:sz w:val="22"/>
      <w:szCs w:val="22"/>
      <w:lang w:eastAsia="en-US"/>
    </w:rPr>
  </w:style>
  <w:style w:type="paragraph" w:customStyle="1" w:styleId="source">
    <w:name w:val="source"/>
    <w:basedOn w:val="Normal"/>
    <w:uiPriority w:val="99"/>
    <w:pPr>
      <w:suppressAutoHyphens w:val="0"/>
      <w:spacing w:after="113" w:line="236" w:lineRule="atLeast"/>
      <w:ind w:firstLine="0"/>
      <w:jc w:val="left"/>
    </w:pPr>
    <w:rPr>
      <w:rFonts w:ascii="Arial" w:hAnsi="Arial"/>
      <w:i/>
      <w:sz w:val="14"/>
      <w:szCs w:val="24"/>
      <w:lang w:val="en-US" w:eastAsia="en-US"/>
    </w:rPr>
  </w:style>
  <w:style w:type="paragraph" w:customStyle="1" w:styleId="BodyText1">
    <w:name w:val="Body Text1"/>
    <w:basedOn w:val="Normal"/>
    <w:uiPriority w:val="99"/>
    <w:pPr>
      <w:widowControl w:val="0"/>
      <w:suppressAutoHyphens w:val="0"/>
      <w:autoSpaceDE w:val="0"/>
      <w:autoSpaceDN w:val="0"/>
      <w:adjustRightInd w:val="0"/>
      <w:spacing w:after="113" w:line="236" w:lineRule="atLeast"/>
      <w:ind w:firstLine="0"/>
    </w:pPr>
    <w:rPr>
      <w:rFonts w:ascii="Times" w:eastAsia="Cambria" w:hAnsi="Times"/>
      <w:color w:val="000000"/>
      <w:sz w:val="20"/>
      <w:lang w:val="en-US"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FootnoteCharacters">
    <w:name w:val="Footnote Characters"/>
    <w:rPr>
      <w:vertAlign w:val="superscript"/>
    </w:rPr>
  </w:style>
  <w:style w:type="character" w:customStyle="1" w:styleId="link-external">
    <w:name w:val="link-external"/>
    <w:basedOn w:val="DefaultParagraphFont"/>
  </w:style>
  <w:style w:type="character" w:customStyle="1" w:styleId="citation3">
    <w:name w:val="citation3"/>
    <w:basedOn w:val="DefaultParagraphFont"/>
    <w:rPr>
      <w:vanish w:val="0"/>
      <w:webHidden w:val="0"/>
      <w:color w:val="666666"/>
      <w:sz w:val="19"/>
      <w:szCs w:val="19"/>
      <w:specVanish w:val="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uppressAutoHyphens w:val="0"/>
      <w:ind w:firstLine="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smallCaps/>
      <w:szCs w:val="26"/>
    </w:rPr>
  </w:style>
  <w:style w:type="character" w:customStyle="1" w:styleId="FooterCoverPageChar">
    <w:name w:val="Footer Cover Page Char"/>
    <w:basedOn w:val="DefaultParagraphFont"/>
    <w:link w:val="FooterCoverPage"/>
    <w:rPr>
      <w:smallCaps/>
      <w:sz w:val="24"/>
      <w:szCs w:val="26"/>
      <w:lang w:eastAsia="ar-SA"/>
    </w:rPr>
  </w:style>
  <w:style w:type="paragraph" w:customStyle="1" w:styleId="HeaderCoverPage">
    <w:name w:val="Header Cover Page"/>
    <w:basedOn w:val="Normal"/>
    <w:link w:val="HeaderCoverPageChar"/>
    <w:pPr>
      <w:tabs>
        <w:tab w:val="center" w:pos="4535"/>
        <w:tab w:val="right" w:pos="9071"/>
      </w:tabs>
      <w:spacing w:after="120"/>
    </w:pPr>
    <w:rPr>
      <w:smallCaps/>
      <w:szCs w:val="26"/>
    </w:rPr>
  </w:style>
  <w:style w:type="character" w:customStyle="1" w:styleId="HeaderCoverPageChar">
    <w:name w:val="Header Cover Page Char"/>
    <w:basedOn w:val="DefaultParagraphFont"/>
    <w:link w:val="HeaderCoverPage"/>
    <w:rPr>
      <w:smallCaps/>
      <w:sz w:val="24"/>
      <w:szCs w:val="26"/>
      <w:lang w:eastAsia="ar-SA"/>
    </w:rPr>
  </w:style>
  <w:style w:type="character" w:customStyle="1" w:styleId="caractresdenotedebasdepage0">
    <w:name w:val="caractresdenotedebasdepage"/>
    <w:basedOn w:val="DefaultParagraphFont"/>
  </w:style>
  <w:style w:type="paragraph" w:customStyle="1" w:styleId="Style1">
    <w:name w:val="Style1"/>
    <w:basedOn w:val="FootnoteText"/>
    <w:qFormat/>
    <w:pPr>
      <w:ind w:left="11" w:hanging="11"/>
    </w:pPr>
  </w:style>
  <w:style w:type="paragraph" w:customStyle="1" w:styleId="SourceNote">
    <w:name w:val="Source/Note"/>
    <w:basedOn w:val="BodyText"/>
    <w:link w:val="SourceNoteChar"/>
    <w:qFormat/>
    <w:pPr>
      <w:suppressAutoHyphens w:val="0"/>
      <w:overflowPunct w:val="0"/>
      <w:autoSpaceDE w:val="0"/>
      <w:autoSpaceDN w:val="0"/>
      <w:adjustRightInd w:val="0"/>
      <w:spacing w:before="120" w:after="240"/>
      <w:ind w:left="284" w:firstLine="0"/>
      <w:textAlignment w:val="baseline"/>
    </w:pPr>
    <w:rPr>
      <w:rFonts w:ascii="Arial" w:hAnsi="Arial" w:cs="Arial"/>
      <w:sz w:val="16"/>
      <w:szCs w:val="22"/>
      <w:lang w:eastAsia="da-DK"/>
    </w:rPr>
  </w:style>
  <w:style w:type="character" w:customStyle="1" w:styleId="SourceNoteChar">
    <w:name w:val="Source/Note Char"/>
    <w:basedOn w:val="DefaultParagraphFont"/>
    <w:link w:val="SourceNote"/>
    <w:rPr>
      <w:rFonts w:ascii="Arial" w:hAnsi="Arial" w:cs="Arial"/>
      <w:sz w:val="16"/>
      <w:szCs w:val="22"/>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footnote text" w:qFormat="1"/>
    <w:lsdException w:name="caption" w:semiHidden="0" w:unhideWhenUsed="0" w:qFormat="1"/>
    <w:lsdException w:name="table of figures" w:uiPriority="99"/>
    <w:lsdException w:name="annotation reference" w:uiPriority="99"/>
    <w:lsdException w:name="line number" w:uiPriority="99"/>
    <w:lsdException w:name="Title" w:semiHidden="0" w:unhideWhenUsed="0" w:qFormat="1"/>
    <w:lsdException w:name="Body Text" w:qFormat="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pPr>
      <w:suppressAutoHyphens/>
      <w:ind w:hanging="11"/>
      <w:jc w:val="both"/>
    </w:pPr>
    <w:rPr>
      <w:sz w:val="24"/>
      <w:lang w:eastAsia="ar-SA"/>
    </w:rPr>
  </w:style>
  <w:style w:type="paragraph" w:styleId="Heading1">
    <w:name w:val="heading 1"/>
    <w:basedOn w:val="Normal"/>
    <w:next w:val="Text1"/>
    <w:qFormat/>
    <w:pPr>
      <w:keepNext/>
      <w:numPr>
        <w:numId w:val="1"/>
      </w:numPr>
      <w:spacing w:before="240" w:after="240"/>
      <w:ind w:left="431" w:hanging="431"/>
      <w:jc w:val="left"/>
      <w:outlineLvl w:val="0"/>
    </w:pPr>
    <w:rPr>
      <w:b/>
      <w:smallCaps/>
      <w:sz w:val="28"/>
      <w:szCs w:val="28"/>
      <w:lang w:val="x-none"/>
    </w:rPr>
  </w:style>
  <w:style w:type="paragraph" w:styleId="Heading2">
    <w:name w:val="heading 2"/>
    <w:basedOn w:val="Normal"/>
    <w:next w:val="Text2"/>
    <w:qFormat/>
    <w:pPr>
      <w:keepNext/>
      <w:spacing w:before="240" w:after="240"/>
      <w:ind w:firstLine="0"/>
      <w:jc w:val="left"/>
      <w:outlineLvl w:val="1"/>
    </w:pPr>
    <w:rPr>
      <w:b/>
      <w:color w:val="1F4E79" w:themeColor="accent1" w:themeShade="80"/>
      <w:sz w:val="32"/>
      <w:lang w:val="x-none"/>
    </w:rPr>
  </w:style>
  <w:style w:type="paragraph" w:styleId="Heading3">
    <w:name w:val="heading 3"/>
    <w:basedOn w:val="Normal"/>
    <w:next w:val="Text3"/>
    <w:qFormat/>
    <w:pPr>
      <w:keepNext/>
      <w:numPr>
        <w:ilvl w:val="2"/>
        <w:numId w:val="1"/>
      </w:numPr>
      <w:spacing w:before="120" w:after="120"/>
      <w:jc w:val="left"/>
      <w:outlineLvl w:val="2"/>
    </w:pPr>
    <w:rPr>
      <w:b/>
      <w:i/>
      <w:lang w:val="x-none"/>
    </w:rPr>
  </w:style>
  <w:style w:type="paragraph" w:styleId="Heading4">
    <w:name w:val="heading 4"/>
    <w:basedOn w:val="Normal"/>
    <w:next w:val="Text4"/>
    <w:qFormat/>
    <w:pPr>
      <w:keepNext/>
      <w:numPr>
        <w:ilvl w:val="3"/>
        <w:numId w:val="1"/>
      </w:numPr>
      <w:outlineLvl w:val="3"/>
    </w:pPr>
    <w:rPr>
      <w:lang w:val="x-none"/>
    </w:rPr>
  </w:style>
  <w:style w:type="paragraph" w:styleId="Heading5">
    <w:name w:val="heading 5"/>
    <w:basedOn w:val="Normal"/>
    <w:next w:val="Normal"/>
    <w:qFormat/>
    <w:pPr>
      <w:numPr>
        <w:ilvl w:val="4"/>
        <w:numId w:val="1"/>
      </w:numPr>
      <w:spacing w:before="240" w:after="60"/>
      <w:outlineLvl w:val="4"/>
    </w:pPr>
    <w:rPr>
      <w:rFonts w:ascii="Arial" w:hAnsi="Arial" w:cs="Arial"/>
      <w:sz w:val="22"/>
    </w:rPr>
  </w:style>
  <w:style w:type="paragraph" w:styleId="Heading6">
    <w:name w:val="heading 6"/>
    <w:basedOn w:val="Normal"/>
    <w:next w:val="Normal"/>
    <w:qFormat/>
    <w:pPr>
      <w:numPr>
        <w:ilvl w:val="5"/>
        <w:numId w:val="1"/>
      </w:numPr>
      <w:spacing w:before="240" w:after="60"/>
      <w:outlineLvl w:val="5"/>
    </w:pPr>
    <w:rPr>
      <w:rFonts w:ascii="Arial" w:hAnsi="Arial" w:cs="Arial"/>
      <w:i/>
      <w:sz w:val="22"/>
    </w:rPr>
  </w:style>
  <w:style w:type="paragraph" w:styleId="Heading7">
    <w:name w:val="heading 7"/>
    <w:basedOn w:val="Normal"/>
    <w:next w:val="Normal"/>
    <w:qFormat/>
    <w:pPr>
      <w:numPr>
        <w:ilvl w:val="6"/>
        <w:numId w:val="1"/>
      </w:numPr>
      <w:spacing w:before="240" w:after="60"/>
      <w:outlineLvl w:val="6"/>
    </w:pPr>
    <w:rPr>
      <w:rFonts w:ascii="Arial" w:hAnsi="Arial" w:cs="Arial"/>
      <w:sz w:val="20"/>
    </w:rPr>
  </w:style>
  <w:style w:type="paragraph" w:styleId="Heading8">
    <w:name w:val="heading 8"/>
    <w:basedOn w:val="Normal"/>
    <w:next w:val="Normal"/>
    <w:qFormat/>
    <w:pPr>
      <w:numPr>
        <w:ilvl w:val="7"/>
        <w:numId w:val="1"/>
      </w:numPr>
      <w:spacing w:before="240" w:after="60"/>
      <w:outlineLvl w:val="7"/>
    </w:pPr>
    <w:rPr>
      <w:rFonts w:ascii="Arial" w:hAnsi="Arial" w:cs="Arial"/>
      <w:i/>
      <w:sz w:val="20"/>
    </w:rPr>
  </w:style>
  <w:style w:type="paragraph" w:styleId="Heading9">
    <w:name w:val="heading 9"/>
    <w:basedOn w:val="Normal"/>
    <w:next w:val="Normal"/>
    <w:qFormat/>
    <w:pPr>
      <w:numPr>
        <w:ilvl w:val="8"/>
        <w:numId w:val="1"/>
      </w:numPr>
      <w:spacing w:before="240" w:after="60"/>
      <w:outlineLvl w:val="8"/>
    </w:pPr>
    <w:rPr>
      <w:rFonts w:ascii="Arial" w:hAnsi="Arial" w:cs="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2z0">
    <w:name w:val="WW8Num2z0"/>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style>
  <w:style w:type="character" w:customStyle="1" w:styleId="WW8Num6z1">
    <w:name w:val="WW8Num6z1"/>
  </w:style>
  <w:style w:type="character" w:customStyle="1" w:styleId="WW8Num6z2">
    <w:name w:val="WW8Num6z2"/>
    <w:rPr>
      <w:rFonts w:ascii="Times New Roman" w:hAnsi="Times New Roman" w:cs="Times New Roman"/>
    </w:rPr>
  </w:style>
  <w:style w:type="character" w:customStyle="1" w:styleId="WW8Num6z3">
    <w:name w:val="WW8Num6z3"/>
    <w:rPr>
      <w:rFonts w:ascii="Symbol" w:hAnsi="Symbol" w:cs="Symbol"/>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lang w:val="en"/>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Symbol"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eastAsia="Times New Roman" w:hAnsi="Symbol" w:cs="Symbol" w:hint="default"/>
      <w:color w:val="auto"/>
      <w:sz w:val="20"/>
      <w:lang w:val="x-none"/>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Times New Roman" w:hAnsi="Times New Roman" w:cs="Times New Roman"/>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u w:val="none"/>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rPr>
  </w:style>
  <w:style w:type="character" w:customStyle="1" w:styleId="WW8Num24z0">
    <w:name w:val="WW8Num24z0"/>
    <w:rPr>
      <w:lang w:val="en-GB"/>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rPr>
  </w:style>
  <w:style w:type="character" w:customStyle="1" w:styleId="WW8Num26z1">
    <w:name w:val="WW8Num26z1"/>
    <w:rPr>
      <w:rFonts w:ascii="Times New Roman" w:eastAsia="MS Mincho" w:hAnsi="Times New Roman" w:cs="Times New Roman" w:hint="default"/>
    </w:rPr>
  </w:style>
  <w:style w:type="character" w:customStyle="1" w:styleId="WW8Num26z2">
    <w:name w:val="WW8Num26z2"/>
    <w:rPr>
      <w:rFonts w:ascii="Wingdings" w:hAnsi="Wingdings" w:cs="Wingdings" w:hint="default"/>
    </w:rPr>
  </w:style>
  <w:style w:type="character" w:customStyle="1" w:styleId="WW8Num26z4">
    <w:name w:val="WW8Num26z4"/>
    <w:rPr>
      <w:rFonts w:ascii="Courier New" w:hAnsi="Courier New" w:cs="Courier New" w:hint="default"/>
    </w:rPr>
  </w:style>
  <w:style w:type="character" w:customStyle="1" w:styleId="WW8Num27z0">
    <w:name w:val="WW8Num27z0"/>
  </w:style>
  <w:style w:type="character" w:customStyle="1" w:styleId="WW8Num27z1">
    <w:name w:val="WW8Num27z1"/>
  </w:style>
  <w:style w:type="character" w:customStyle="1" w:styleId="WW8Num27z2">
    <w:name w:val="WW8Num27z2"/>
    <w:rPr>
      <w:rFonts w:ascii="Times New Roman" w:hAnsi="Times New Roman" w:cs="Times New Roman"/>
    </w:rPr>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9z0">
    <w:name w:val="WW8Num29z0"/>
  </w:style>
  <w:style w:type="character" w:customStyle="1" w:styleId="WW8Num29z1">
    <w:name w:val="WW8Num29z1"/>
  </w:style>
  <w:style w:type="character" w:customStyle="1" w:styleId="WW8Num29z2">
    <w:name w:val="WW8Num29z2"/>
    <w:rPr>
      <w:rFonts w:ascii="Times New Roman" w:hAnsi="Times New Roman" w:cs="Times New Roman"/>
    </w:rPr>
  </w:style>
  <w:style w:type="character" w:customStyle="1" w:styleId="WW8Num29z3">
    <w:name w:val="WW8Num29z3"/>
    <w:rPr>
      <w:rFonts w:ascii="Symbol" w:hAnsi="Symbol" w:cs="Symbol"/>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rPr>
      <w:rFonts w:ascii="Times New Roman" w:hAnsi="Times New Roman" w:cs="Times New Roman"/>
    </w:rPr>
  </w:style>
  <w:style w:type="character" w:customStyle="1" w:styleId="WW8Num30z3">
    <w:name w:val="WW8Num30z3"/>
    <w:rPr>
      <w:rFonts w:ascii="Symbol" w:hAnsi="Symbol" w:cs="Symbol"/>
    </w:rPr>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style>
  <w:style w:type="character" w:customStyle="1" w:styleId="WW8Num32z1">
    <w:name w:val="WW8Num32z1"/>
  </w:style>
  <w:style w:type="character" w:customStyle="1" w:styleId="WW8Num32z2">
    <w:name w:val="WW8Num32z2"/>
    <w:rPr>
      <w:rFonts w:ascii="Times New Roman" w:hAnsi="Times New Roman" w:cs="Times New Roman"/>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rFonts w:ascii="Symbol" w:hAnsi="Symbol" w:cs="Symbol"/>
    </w:rPr>
  </w:style>
  <w:style w:type="character" w:customStyle="1" w:styleId="WW8Num38z0">
    <w:name w:val="WW8Num38z0"/>
    <w:rPr>
      <w:rFonts w:hint="default"/>
    </w:rPr>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0">
    <w:name w:val="WW8Num42z0"/>
    <w:rPr>
      <w:rFonts w:hint="default"/>
    </w:rPr>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Times New Roman" w:hAnsi="Times New Roman" w:cs="Times New Roman"/>
    </w:rPr>
  </w:style>
  <w:style w:type="character" w:customStyle="1" w:styleId="WW8Num45z0">
    <w:name w:val="WW8Num45z0"/>
    <w:rPr>
      <w:rFonts w:ascii="Times New Roman" w:hAnsi="Times New Roman" w:cs="Times New Roman"/>
    </w:rPr>
  </w:style>
  <w:style w:type="character" w:customStyle="1" w:styleId="WW8Num46z0">
    <w:name w:val="WW8Num46z0"/>
    <w:rPr>
      <w:rFonts w:ascii="Times New Roman" w:hAnsi="Times New Roman" w:cs="Times New Roman"/>
    </w:rPr>
  </w:style>
  <w:style w:type="character" w:customStyle="1" w:styleId="WW8Num47z0">
    <w:name w:val="WW8Num47z0"/>
    <w:rPr>
      <w:rFonts w:hint="default"/>
    </w:rPr>
  </w:style>
  <w:style w:type="character" w:customStyle="1" w:styleId="WW8Num48z0">
    <w:name w:val="WW8Num48z0"/>
    <w:rPr>
      <w:rFonts w:ascii="Calibri" w:eastAsia="Calibri" w:hAnsi="Calibri" w:cs="Times New Roman" w:hint="default"/>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rPr>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St38z0">
    <w:name w:val="WW8NumSt38z0"/>
    <w:rPr>
      <w:rFonts w:hint="default"/>
    </w:rPr>
  </w:style>
  <w:style w:type="character" w:customStyle="1" w:styleId="WW8NumSt44z0">
    <w:name w:val="WW8NumSt44z0"/>
    <w:rPr>
      <w:rFonts w:hint="default"/>
    </w:rPr>
  </w:style>
  <w:style w:type="character" w:styleId="FollowedHyperlink">
    <w:name w:val="FollowedHyperlink"/>
    <w:rPr>
      <w:color w:val="800080"/>
      <w:u w:val="single"/>
    </w:rPr>
  </w:style>
  <w:style w:type="character" w:styleId="Hyperlink">
    <w:name w:val="Hyperlink"/>
    <w:uiPriority w:val="99"/>
    <w:rPr>
      <w:color w:val="0000FF"/>
      <w:u w:val="single"/>
    </w:rPr>
  </w:style>
  <w:style w:type="character" w:styleId="PageNumber">
    <w:name w:val="page number"/>
    <w:basedOn w:val="DefaultParagraphFont"/>
  </w:style>
  <w:style w:type="character" w:customStyle="1" w:styleId="textbody1">
    <w:name w:val="textbody1"/>
    <w:rPr>
      <w:rFonts w:ascii="Verdana" w:hAnsi="Verdana" w:cs="Verdana" w:hint="default"/>
      <w:b w:val="0"/>
      <w:bCs w:val="0"/>
      <w:i w:val="0"/>
      <w:iCs w:val="0"/>
      <w:strike w:val="0"/>
      <w:dstrike w:val="0"/>
      <w:color w:val="000000"/>
      <w:sz w:val="15"/>
      <w:szCs w:val="15"/>
      <w:u w:val="none"/>
    </w:rPr>
  </w:style>
  <w:style w:type="character" w:styleId="CommentReference">
    <w:name w:val="annotation reference"/>
    <w:uiPriority w:val="99"/>
    <w:rPr>
      <w:sz w:val="16"/>
      <w:szCs w:val="16"/>
    </w:rPr>
  </w:style>
  <w:style w:type="character" w:customStyle="1" w:styleId="FootnoteTextChar">
    <w:name w:val="Footnote Text Char"/>
    <w:aliases w:val="Footnote Text Char Char Char1,Footnote Text Char Char Char Char Char,Footnote Text1 Char,Footnote Text Char Char Char Char1,Fußnotentextf Char,Geneva 9 Char,Font: Geneva 9 Char,Boston 10 Char,f Char,Footnote text Char"/>
    <w:rPr>
      <w:lang w:val="x-none"/>
    </w:rPr>
  </w:style>
  <w:style w:type="character" w:customStyle="1" w:styleId="Caractresdenotedebasdepage">
    <w:name w:val="Caractères de note de bas de page"/>
    <w:rPr>
      <w:vertAlign w:val="superscript"/>
    </w:rPr>
  </w:style>
  <w:style w:type="character" w:customStyle="1" w:styleId="FooterChar">
    <w:name w:val="Footer Char"/>
    <w:rPr>
      <w:rFonts w:ascii="Arial" w:hAnsi="Arial" w:cs="Arial"/>
      <w:sz w:val="16"/>
    </w:rPr>
  </w:style>
  <w:style w:type="character" w:customStyle="1" w:styleId="Heading1Char">
    <w:name w:val="Heading 1 Char"/>
    <w:uiPriority w:val="9"/>
    <w:rPr>
      <w:b/>
      <w:smallCaps/>
      <w:sz w:val="28"/>
      <w:szCs w:val="28"/>
      <w:lang w:val="x-none"/>
    </w:rPr>
  </w:style>
  <w:style w:type="character" w:customStyle="1" w:styleId="Heading2Char">
    <w:name w:val="Heading 2 Char"/>
    <w:rPr>
      <w:b/>
      <w:sz w:val="24"/>
      <w:lang w:val="x-none"/>
    </w:rPr>
  </w:style>
  <w:style w:type="character" w:customStyle="1" w:styleId="Heading3Char">
    <w:name w:val="Heading 3 Char"/>
    <w:rPr>
      <w:b/>
      <w:i/>
      <w:sz w:val="24"/>
      <w:lang w:val="x-none"/>
    </w:rPr>
  </w:style>
  <w:style w:type="character" w:customStyle="1" w:styleId="Heading4Char">
    <w:name w:val="Heading 4 Char"/>
    <w:rPr>
      <w:sz w:val="24"/>
      <w:lang w:val="x-none"/>
    </w:rPr>
  </w:style>
  <w:style w:type="character" w:customStyle="1" w:styleId="HeaderChar">
    <w:name w:val="Header Char"/>
    <w:rPr>
      <w:sz w:val="24"/>
    </w:rPr>
  </w:style>
  <w:style w:type="character" w:customStyle="1" w:styleId="CommentTextChar">
    <w:name w:val="Comment Text Char"/>
  </w:style>
  <w:style w:type="character" w:customStyle="1" w:styleId="BalloonTextChar">
    <w:name w:val="Balloon Text Char"/>
    <w:rPr>
      <w:rFonts w:ascii="Tahoma" w:hAnsi="Tahoma" w:cs="Tahoma"/>
      <w:sz w:val="16"/>
      <w:szCs w:val="16"/>
    </w:rPr>
  </w:style>
  <w:style w:type="character" w:customStyle="1" w:styleId="CommentSubjectChar">
    <w:name w:val="Comment Subject Char"/>
    <w:rPr>
      <w:b/>
      <w:bCs/>
    </w:rPr>
  </w:style>
  <w:style w:type="character" w:styleId="Emphasis">
    <w:name w:val="Emphasis"/>
    <w:uiPriority w:val="20"/>
    <w:qFormat/>
    <w:rPr>
      <w:b/>
      <w:bCs/>
      <w:i w:val="0"/>
      <w:iCs w:val="0"/>
    </w:rPr>
  </w:style>
  <w:style w:type="character" w:customStyle="1" w:styleId="TextkrperEBARZchn">
    <w:name w:val="Textkörper_EBAR Zchn"/>
    <w:rPr>
      <w:rFonts w:ascii="Cambria" w:eastAsia="Calibri" w:hAnsi="Cambria" w:cs="Cambria"/>
      <w:sz w:val="22"/>
      <w:szCs w:val="22"/>
    </w:rPr>
  </w:style>
  <w:style w:type="character" w:customStyle="1" w:styleId="figmaptableCar">
    <w:name w:val="fig/map/table Car"/>
    <w:rPr>
      <w:rFonts w:ascii="Arial" w:hAnsi="Arial" w:cs="Arial"/>
      <w:b/>
      <w:color w:val="000000"/>
      <w:sz w:val="22"/>
      <w:szCs w:val="22"/>
      <w:lang w:val="en-US"/>
    </w:rPr>
  </w:style>
  <w:style w:type="character" w:customStyle="1" w:styleId="ListParagraphChar">
    <w:name w:val="List Paragraph Char"/>
    <w:uiPriority w:val="34"/>
    <w:rPr>
      <w:rFonts w:ascii="Calibri" w:hAnsi="Calibri" w:cs="Calibri"/>
      <w:sz w:val="22"/>
      <w:szCs w:val="22"/>
    </w:rPr>
  </w:style>
  <w:style w:type="character" w:customStyle="1" w:styleId="BodyTextChar">
    <w:name w:val="Body Text Char"/>
    <w:aliases w:val="EEA - Body Text Char"/>
    <w:rPr>
      <w:sz w:val="24"/>
    </w:rPr>
  </w:style>
  <w:style w:type="character" w:styleId="FootnoteReference">
    <w:name w:val="footnote reference"/>
    <w:aliases w:val="number,Footnote Reference/,SUPERS,Footnote Reference Superscript,Footnote number,-E Fußnotenzeichen,(Footnote Reference),Footnote,Footnote symbol,Char1 Char Char Char Char,stylish,EN Footnote Reference,-E Fuﬂnotenzeichen,cal,note TESI"/>
    <w:rPr>
      <w:vertAlign w:val="superscript"/>
    </w:rPr>
  </w:style>
  <w:style w:type="character" w:styleId="EndnoteReference">
    <w:name w:val="endnote reference"/>
    <w:rPr>
      <w:vertAlign w:val="superscript"/>
    </w:rPr>
  </w:style>
  <w:style w:type="character" w:customStyle="1" w:styleId="Caractresdenotedefin">
    <w:name w:val="Caractères de note de fin"/>
  </w:style>
  <w:style w:type="paragraph" w:customStyle="1" w:styleId="Titre">
    <w:name w:val="Titre"/>
    <w:basedOn w:val="Normal"/>
    <w:next w:val="BodyText"/>
    <w:pPr>
      <w:keepNext/>
      <w:spacing w:before="240" w:after="120"/>
    </w:pPr>
    <w:rPr>
      <w:rFonts w:ascii="Arial" w:eastAsia="Arial Unicode MS" w:hAnsi="Arial" w:cs="Arial Unicode MS"/>
      <w:sz w:val="28"/>
      <w:szCs w:val="28"/>
    </w:rPr>
  </w:style>
  <w:style w:type="paragraph" w:styleId="BodyText">
    <w:name w:val="Body Text"/>
    <w:aliases w:val="EEA - Body Text"/>
    <w:basedOn w:val="Normal"/>
    <w:qFormat/>
    <w:pPr>
      <w:spacing w:after="120"/>
    </w:pPr>
  </w:style>
  <w:style w:type="paragraph" w:styleId="List">
    <w:name w:val="List"/>
    <w:basedOn w:val="Normal"/>
    <w:pPr>
      <w:ind w:left="283" w:hanging="283"/>
    </w:pPr>
  </w:style>
  <w:style w:type="paragraph" w:customStyle="1" w:styleId="Lgende">
    <w:name w:val="Légende"/>
    <w:basedOn w:val="Normal"/>
    <w:pPr>
      <w:suppressLineNumbers/>
      <w:spacing w:before="120" w:after="120"/>
    </w:pPr>
    <w:rPr>
      <w:i/>
      <w:iCs/>
      <w:szCs w:val="24"/>
    </w:rPr>
  </w:style>
  <w:style w:type="paragraph" w:customStyle="1" w:styleId="Index">
    <w:name w:val="Index"/>
    <w:basedOn w:val="Normal"/>
    <w:pPr>
      <w:suppressLineNumbers/>
    </w:pPr>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ind w:left="5103"/>
      <w:jc w:val="center"/>
    </w:pPr>
  </w:style>
  <w:style w:type="paragraph" w:customStyle="1" w:styleId="Enclosures">
    <w:name w:val="Enclosures"/>
    <w:basedOn w:val="Normal"/>
    <w:next w:val="Participants"/>
    <w:pPr>
      <w:keepNext/>
      <w:keepLines/>
      <w:tabs>
        <w:tab w:val="left" w:pos="5670"/>
      </w:tabs>
      <w:spacing w:before="48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jc w:val="left"/>
    </w:pPr>
  </w:style>
  <w:style w:type="paragraph" w:styleId="CommentText">
    <w:name w:val="annotation text"/>
    <w:basedOn w:val="Normal"/>
    <w:rPr>
      <w:sz w:val="20"/>
      <w:lang w:val="x-none"/>
    </w:rPr>
  </w:style>
  <w:style w:type="paragraph" w:styleId="Date">
    <w:name w:val="Date"/>
    <w:basedOn w:val="Normal"/>
    <w:next w:val="References"/>
    <w:pPr>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pPr>
      <w:shd w:val="clear" w:color="auto" w:fill="000080"/>
    </w:pPr>
    <w:rPr>
      <w:rFonts w:ascii="Tahoma" w:hAnsi="Tahoma" w:cs="Tahoma"/>
    </w:rPr>
  </w:style>
  <w:style w:type="paragraph" w:customStyle="1" w:styleId="DoubSign">
    <w:name w:val="DoubSign"/>
    <w:basedOn w:val="Normal"/>
    <w:next w:val="Contact"/>
    <w:pPr>
      <w:tabs>
        <w:tab w:val="left" w:pos="5103"/>
      </w:tabs>
      <w:spacing w:before="1200"/>
      <w:jc w:val="left"/>
    </w:pPr>
  </w:style>
  <w:style w:type="paragraph" w:styleId="EndnoteText">
    <w:name w:val="endnote text"/>
    <w:basedOn w:val="Normal"/>
    <w:rPr>
      <w:sz w:val="20"/>
    </w:rPr>
  </w:style>
  <w:style w:type="paragraph" w:styleId="EnvelopeAddress">
    <w:name w:val="envelope address"/>
    <w:basedOn w:val="Normal"/>
  </w:style>
  <w:style w:type="paragraph" w:styleId="EnvelopeReturn">
    <w:name w:val="envelope return"/>
    <w:basedOn w:val="Normal"/>
    <w:rPr>
      <w:sz w:val="20"/>
    </w:rPr>
  </w:style>
  <w:style w:type="paragraph" w:styleId="Footer">
    <w:name w:val="footer"/>
    <w:basedOn w:val="Normal"/>
    <w:pPr>
      <w:ind w:right="-567"/>
      <w:jc w:val="left"/>
    </w:pPr>
    <w:rPr>
      <w:rFonts w:ascii="Arial" w:hAnsi="Arial" w:cs="Arial"/>
      <w:sz w:val="16"/>
      <w:lang w:val="x-none"/>
    </w:rPr>
  </w:style>
  <w:style w:type="paragraph" w:styleId="FootnoteText">
    <w:name w:val="footnote text"/>
    <w:aliases w:val="Footnote Text Char Char,Footnote Text Char Char Char Char,Footnote Text1,Footnote Text Char Char Char,Fußnotentextf,Geneva 9,Font: Geneva 9,Boston 10,f,Footnote text"/>
    <w:basedOn w:val="Normal"/>
    <w:qFormat/>
    <w:pPr>
      <w:kinsoku w:val="0"/>
      <w:ind w:firstLine="0"/>
      <w:jc w:val="left"/>
    </w:pPr>
    <w:rPr>
      <w:sz w:val="20"/>
      <w:lang w:val="x-none"/>
    </w:rPr>
  </w:style>
  <w:style w:type="paragraph" w:styleId="Header">
    <w:name w:val="header"/>
    <w:basedOn w:val="Normal"/>
    <w:pPr>
      <w:tabs>
        <w:tab w:val="center" w:pos="4153"/>
        <w:tab w:val="right" w:pos="8306"/>
      </w:tabs>
    </w:pPr>
    <w:rPr>
      <w:lang w:val="x-none"/>
    </w:rPr>
  </w:style>
  <w:style w:type="paragraph" w:styleId="Index1">
    <w:name w:val="index 1"/>
    <w:basedOn w:val="Normal"/>
    <w:next w:val="Normal"/>
    <w:pPr>
      <w:ind w:left="240" w:hanging="240"/>
    </w:pPr>
  </w:style>
  <w:style w:type="paragraph" w:styleId="Index2">
    <w:name w:val="index 2"/>
    <w:basedOn w:val="Normal"/>
    <w:next w:val="Normal"/>
    <w:pPr>
      <w:ind w:left="480" w:hanging="240"/>
    </w:pPr>
  </w:style>
  <w:style w:type="paragraph" w:styleId="Index3">
    <w:name w:val="index 3"/>
    <w:basedOn w:val="Normal"/>
    <w:next w:val="Normal"/>
    <w:pPr>
      <w:ind w:left="720" w:hanging="240"/>
    </w:pPr>
  </w:style>
  <w:style w:type="paragraph" w:styleId="Index4">
    <w:name w:val="index 4"/>
    <w:basedOn w:val="Normal"/>
    <w:next w:val="Normal"/>
    <w:pPr>
      <w:ind w:left="960" w:hanging="240"/>
    </w:pPr>
  </w:style>
  <w:style w:type="paragraph" w:styleId="Index5">
    <w:name w:val="index 5"/>
    <w:basedOn w:val="Normal"/>
    <w:next w:val="Normal"/>
    <w:pPr>
      <w:ind w:left="1200" w:hanging="240"/>
    </w:pPr>
  </w:style>
  <w:style w:type="paragraph" w:styleId="Index6">
    <w:name w:val="index 6"/>
    <w:basedOn w:val="Normal"/>
    <w:next w:val="Normal"/>
    <w:pPr>
      <w:ind w:left="1440" w:hanging="240"/>
    </w:pPr>
  </w:style>
  <w:style w:type="paragraph" w:styleId="Index7">
    <w:name w:val="index 7"/>
    <w:basedOn w:val="Normal"/>
    <w:next w:val="Normal"/>
    <w:pPr>
      <w:ind w:left="1680" w:hanging="240"/>
    </w:pPr>
  </w:style>
  <w:style w:type="paragraph" w:styleId="Index8">
    <w:name w:val="index 8"/>
    <w:basedOn w:val="Normal"/>
    <w:next w:val="Normal"/>
    <w:pPr>
      <w:ind w:left="1920" w:hanging="240"/>
    </w:pPr>
  </w:style>
  <w:style w:type="paragraph" w:styleId="Index9">
    <w:name w:val="index 9"/>
    <w:basedOn w:val="Normal"/>
    <w:next w:val="Normal"/>
    <w:pPr>
      <w:ind w:left="2160" w:hanging="240"/>
    </w:pPr>
  </w:style>
  <w:style w:type="paragraph" w:styleId="IndexHeading">
    <w:name w:val="index heading"/>
    <w:basedOn w:val="Normal"/>
    <w:next w:val="Index1"/>
    <w:rPr>
      <w:rFonts w:ascii="Arial" w:hAnsi="Arial" w:cs="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5"/>
      </w:numPr>
    </w:pPr>
  </w:style>
  <w:style w:type="paragraph" w:styleId="ListBullet2">
    <w:name w:val="List Bullet 2"/>
    <w:basedOn w:val="Text2"/>
    <w:pPr>
      <w:numPr>
        <w:numId w:val="9"/>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6"/>
      </w:numPr>
    </w:pPr>
  </w:style>
  <w:style w:type="paragraph" w:styleId="ListBullet5">
    <w:name w:val="List Bullet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Text2"/>
    <w:pPr>
      <w:numPr>
        <w:numId w:val="12"/>
      </w:numPr>
      <w:tabs>
        <w:tab w:val="clear" w:pos="2160"/>
      </w:tabs>
    </w:pPr>
  </w:style>
  <w:style w:type="paragraph" w:styleId="ListNumber3">
    <w:name w:val="List Number 3"/>
    <w:basedOn w:val="Text3"/>
    <w:pPr>
      <w:numPr>
        <w:numId w:val="5"/>
      </w:numPr>
      <w:tabs>
        <w:tab w:val="clear" w:pos="2302"/>
      </w:tabs>
    </w:pPr>
  </w:style>
  <w:style w:type="paragraph" w:styleId="ListNumber4">
    <w:name w:val="List Number 4"/>
    <w:basedOn w:val="Text4"/>
    <w:pPr>
      <w:numPr>
        <w:numId w:val="14"/>
      </w:numPr>
    </w:pPr>
  </w:style>
  <w:style w:type="paragraph" w:styleId="ListNumber5">
    <w:name w:val="List Number 5"/>
    <w:basedOn w:val="Normal"/>
    <w:pPr>
      <w:numPr>
        <w:numId w:val="2"/>
      </w:numPr>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spacing w:after="240"/>
      <w:ind w:hanging="11"/>
      <w:jc w:val="both"/>
    </w:pPr>
    <w:rPr>
      <w:rFonts w:ascii="Courier New" w:hAnsi="Courier New" w:cs="Courier New"/>
      <w:lang w:eastAsia="ar-SA"/>
    </w:rPr>
  </w:style>
  <w:style w:type="paragraph" w:styleId="MessageHeader">
    <w:name w:val="Message Header"/>
    <w:basedOn w:val="Normal"/>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numPr>
        <w:numId w:val="0"/>
      </w:numPr>
      <w:spacing w:before="0"/>
      <w:ind w:hanging="11"/>
    </w:pPr>
    <w:rPr>
      <w:b w:val="0"/>
      <w:smallCaps w:val="0"/>
    </w:rPr>
  </w:style>
  <w:style w:type="paragraph" w:customStyle="1" w:styleId="NumPar2">
    <w:name w:val="NumPar 2"/>
    <w:basedOn w:val="Heading2"/>
    <w:next w:val="Text2"/>
    <w:pPr>
      <w:keepNext w:val="0"/>
      <w:ind w:hanging="11"/>
    </w:pPr>
    <w:rPr>
      <w:b w:val="0"/>
    </w:rPr>
  </w:style>
  <w:style w:type="paragraph" w:customStyle="1" w:styleId="NumPar3">
    <w:name w:val="NumPar 3"/>
    <w:basedOn w:val="Heading3"/>
    <w:next w:val="Text3"/>
    <w:pPr>
      <w:keepNext w:val="0"/>
      <w:numPr>
        <w:ilvl w:val="0"/>
        <w:numId w:val="0"/>
      </w:numPr>
      <w:ind w:hanging="11"/>
    </w:pPr>
    <w:rPr>
      <w:i w:val="0"/>
    </w:rPr>
  </w:style>
  <w:style w:type="paragraph" w:customStyle="1" w:styleId="NumPar4">
    <w:name w:val="NumPar 4"/>
    <w:basedOn w:val="Heading4"/>
    <w:next w:val="Text4"/>
    <w:pPr>
      <w:keepNext w:val="0"/>
      <w:numPr>
        <w:ilvl w:val="0"/>
        <w:numId w:val="0"/>
      </w:numPr>
      <w:ind w:hanging="11"/>
    </w:pPr>
  </w:style>
  <w:style w:type="paragraph" w:styleId="PlainText">
    <w:name w:val="Plain Text"/>
    <w:basedOn w:val="Normal"/>
    <w:link w:val="PlainTextChar"/>
    <w:uiPriority w:val="99"/>
    <w:rPr>
      <w:rFonts w:ascii="Courier New" w:hAnsi="Courier New" w:cs="Courier New"/>
      <w:sz w:val="20"/>
    </w:rPr>
  </w:style>
  <w:style w:type="paragraph" w:styleId="Salutation">
    <w:name w:val="Salutation"/>
    <w:basedOn w:val="Normal"/>
    <w:next w:val="Normal"/>
  </w:style>
  <w:style w:type="paragraph" w:styleId="Subtitle">
    <w:name w:val="Subtitle"/>
    <w:basedOn w:val="Normal"/>
    <w:next w:val="BodyText"/>
    <w:qFormat/>
    <w:pPr>
      <w:spacing w:after="60"/>
      <w:jc w:val="center"/>
    </w:pPr>
    <w:rPr>
      <w:rFonts w:ascii="Arial" w:hAnsi="Arial" w:cs="Arial"/>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
    <w:qFormat/>
    <w:pPr>
      <w:spacing w:before="240" w:after="60"/>
      <w:jc w:val="center"/>
    </w:pPr>
    <w:rPr>
      <w:rFonts w:ascii="Arial" w:hAnsi="Arial" w:cs="Arial"/>
      <w:b/>
      <w:kern w:val="1"/>
      <w:sz w:val="32"/>
    </w:rPr>
  </w:style>
  <w:style w:type="paragraph" w:styleId="TOAHeading">
    <w:name w:val="toa heading"/>
    <w:basedOn w:val="Normal"/>
    <w:next w:val="Normal"/>
    <w:pPr>
      <w:spacing w:before="120"/>
    </w:pPr>
    <w:rPr>
      <w:rFonts w:ascii="Arial" w:hAnsi="Arial" w:cs="Arial"/>
      <w:b/>
    </w:rPr>
  </w:style>
  <w:style w:type="paragraph" w:styleId="TOC1">
    <w:name w:val="toc 1"/>
    <w:basedOn w:val="Normal"/>
    <w:next w:val="Normal"/>
    <w:uiPriority w:val="39"/>
    <w:pPr>
      <w:tabs>
        <w:tab w:val="right" w:leader="dot" w:pos="9639"/>
      </w:tabs>
      <w:spacing w:before="240" w:after="120"/>
      <w:ind w:firstLine="0"/>
    </w:pPr>
    <w:rPr>
      <w:caps/>
    </w:rPr>
  </w:style>
  <w:style w:type="paragraph" w:styleId="TOC2">
    <w:name w:val="toc 2"/>
    <w:basedOn w:val="Normal"/>
    <w:next w:val="Normal"/>
    <w:uiPriority w:val="39"/>
    <w:pPr>
      <w:tabs>
        <w:tab w:val="right" w:leader="dot" w:pos="9639"/>
      </w:tabs>
      <w:spacing w:after="120"/>
      <w:ind w:left="510" w:firstLine="0"/>
    </w:pPr>
  </w:style>
  <w:style w:type="paragraph" w:styleId="TOC3">
    <w:name w:val="toc 3"/>
    <w:basedOn w:val="Normal"/>
    <w:next w:val="Normal"/>
    <w:uiPriority w:val="39"/>
    <w:pPr>
      <w:tabs>
        <w:tab w:val="right" w:leader="dot" w:pos="8640"/>
      </w:tabs>
      <w:ind w:left="1916" w:right="720" w:hanging="839"/>
    </w:pPr>
    <w:rPr>
      <w:sz w:val="20"/>
    </w:r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pPr>
      <w:ind w:left="1200"/>
    </w:pPr>
  </w:style>
  <w:style w:type="paragraph" w:styleId="TOC7">
    <w:name w:val="toc 7"/>
    <w:basedOn w:val="Normal"/>
    <w:next w:val="Normal"/>
    <w:pPr>
      <w:ind w:left="1440"/>
    </w:pPr>
  </w:style>
  <w:style w:type="paragraph" w:styleId="TOC8">
    <w:name w:val="toc 8"/>
    <w:basedOn w:val="Normal"/>
    <w:next w:val="Normal"/>
    <w:pPr>
      <w:ind w:left="1680"/>
    </w:pPr>
  </w:style>
  <w:style w:type="paragraph" w:styleId="TOC9">
    <w:name w:val="toc 9"/>
    <w:basedOn w:val="Normal"/>
    <w:next w:val="Normal"/>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0"/>
      </w:numPr>
    </w:pPr>
  </w:style>
  <w:style w:type="paragraph" w:customStyle="1" w:styleId="ListDash">
    <w:name w:val="List Dash"/>
    <w:basedOn w:val="Normal"/>
    <w:pPr>
      <w:numPr>
        <w:numId w:val="16"/>
      </w:numPr>
    </w:pPr>
  </w:style>
  <w:style w:type="paragraph" w:customStyle="1" w:styleId="ListDash1">
    <w:name w:val="List Dash 1"/>
    <w:basedOn w:val="Text1"/>
    <w:pPr>
      <w:numPr>
        <w:numId w:val="18"/>
      </w:numPr>
    </w:pPr>
  </w:style>
  <w:style w:type="paragraph" w:customStyle="1" w:styleId="ListDash2">
    <w:name w:val="List Dash 2"/>
    <w:basedOn w:val="Text2"/>
    <w:pPr>
      <w:numPr>
        <w:numId w:val="17"/>
      </w:numPr>
      <w:tabs>
        <w:tab w:val="clear" w:pos="2160"/>
      </w:tabs>
    </w:pPr>
  </w:style>
  <w:style w:type="paragraph" w:customStyle="1" w:styleId="ListDash3">
    <w:name w:val="List Dash 3"/>
    <w:basedOn w:val="Text3"/>
    <w:pPr>
      <w:numPr>
        <w:numId w:val="19"/>
      </w:numPr>
      <w:tabs>
        <w:tab w:val="clear" w:pos="2302"/>
      </w:tabs>
    </w:pPr>
  </w:style>
  <w:style w:type="paragraph" w:customStyle="1" w:styleId="ListDash4">
    <w:name w:val="List Dash 4"/>
    <w:basedOn w:val="Text4"/>
    <w:pPr>
      <w:numPr>
        <w:numId w:val="8"/>
      </w:numPr>
    </w:pPr>
  </w:style>
  <w:style w:type="paragraph" w:customStyle="1" w:styleId="ListNumberLevel2">
    <w:name w:val="List Number (Level 2)"/>
    <w:basedOn w:val="Normal"/>
    <w:pPr>
      <w:tabs>
        <w:tab w:val="num" w:pos="709"/>
      </w:tabs>
      <w:ind w:left="709" w:hanging="709"/>
    </w:pPr>
  </w:style>
  <w:style w:type="paragraph" w:customStyle="1" w:styleId="ListNumberLevel3">
    <w:name w:val="List Number (Level 3)"/>
    <w:basedOn w:val="Normal"/>
    <w:pPr>
      <w:tabs>
        <w:tab w:val="num" w:pos="709"/>
      </w:tabs>
      <w:ind w:left="709" w:hanging="709"/>
    </w:pPr>
  </w:style>
  <w:style w:type="paragraph" w:customStyle="1" w:styleId="ListNumberLevel4">
    <w:name w:val="List Number (Level 4)"/>
    <w:basedOn w:val="Normal"/>
    <w:pPr>
      <w:tabs>
        <w:tab w:val="num" w:pos="709"/>
      </w:tabs>
      <w:ind w:left="709" w:hanging="709"/>
    </w:pPr>
  </w:style>
  <w:style w:type="paragraph" w:customStyle="1" w:styleId="ListNumber1">
    <w:name w:val="List Number 1"/>
    <w:basedOn w:val="Text1"/>
    <w:pPr>
      <w:numPr>
        <w:numId w:val="13"/>
      </w:numPr>
    </w:pPr>
  </w:style>
  <w:style w:type="paragraph" w:customStyle="1" w:styleId="ListNumber1Level2">
    <w:name w:val="List Number 1 (Level 2)"/>
    <w:basedOn w:val="Text1"/>
    <w:pPr>
      <w:tabs>
        <w:tab w:val="num" w:pos="1191"/>
      </w:tabs>
      <w:ind w:left="1191" w:hanging="709"/>
    </w:pPr>
  </w:style>
  <w:style w:type="paragraph" w:customStyle="1" w:styleId="ListNumber1Level3">
    <w:name w:val="List Number 1 (Level 3)"/>
    <w:basedOn w:val="Text1"/>
    <w:pPr>
      <w:tabs>
        <w:tab w:val="num" w:pos="1191"/>
      </w:tabs>
      <w:ind w:left="1191" w:hanging="709"/>
    </w:pPr>
  </w:style>
  <w:style w:type="paragraph" w:customStyle="1" w:styleId="ListNumber1Level4">
    <w:name w:val="List Number 1 (Level 4)"/>
    <w:basedOn w:val="Text1"/>
    <w:pPr>
      <w:tabs>
        <w:tab w:val="num" w:pos="1191"/>
      </w:tabs>
      <w:ind w:left="1191" w:hanging="709"/>
    </w:pPr>
  </w:style>
  <w:style w:type="paragraph" w:customStyle="1" w:styleId="ListNumber2Level2">
    <w:name w:val="List Number 2 (Level 2)"/>
    <w:basedOn w:val="Text2"/>
    <w:pPr>
      <w:tabs>
        <w:tab w:val="clear" w:pos="2160"/>
        <w:tab w:val="num" w:pos="1786"/>
      </w:tabs>
      <w:ind w:left="1786" w:hanging="709"/>
    </w:pPr>
  </w:style>
  <w:style w:type="paragraph" w:customStyle="1" w:styleId="ListNumber2Level3">
    <w:name w:val="List Number 2 (Level 3)"/>
    <w:basedOn w:val="Text2"/>
    <w:pPr>
      <w:tabs>
        <w:tab w:val="clear" w:pos="2160"/>
        <w:tab w:val="num" w:pos="1786"/>
      </w:tabs>
      <w:ind w:left="1786" w:hanging="709"/>
    </w:pPr>
  </w:style>
  <w:style w:type="paragraph" w:customStyle="1" w:styleId="ListNumber2Level4">
    <w:name w:val="List Number 2 (Level 4)"/>
    <w:basedOn w:val="Text2"/>
    <w:pPr>
      <w:tabs>
        <w:tab w:val="clear" w:pos="2160"/>
        <w:tab w:val="num" w:pos="1786"/>
      </w:tabs>
      <w:ind w:left="3901" w:hanging="703"/>
    </w:pPr>
  </w:style>
  <w:style w:type="paragraph" w:customStyle="1" w:styleId="ListNumber3Level2">
    <w:name w:val="List Number 3 (Level 2)"/>
    <w:basedOn w:val="Text3"/>
    <w:pPr>
      <w:tabs>
        <w:tab w:val="clear" w:pos="2302"/>
        <w:tab w:val="num" w:pos="2625"/>
      </w:tabs>
      <w:ind w:left="2625" w:hanging="709"/>
    </w:pPr>
  </w:style>
  <w:style w:type="paragraph" w:customStyle="1" w:styleId="ListNumber3Level3">
    <w:name w:val="List Number 3 (Level 3)"/>
    <w:basedOn w:val="Text3"/>
    <w:pPr>
      <w:tabs>
        <w:tab w:val="clear" w:pos="2302"/>
        <w:tab w:val="num" w:pos="2625"/>
      </w:tabs>
      <w:ind w:left="2625" w:hanging="709"/>
    </w:pPr>
  </w:style>
  <w:style w:type="paragraph" w:customStyle="1" w:styleId="ListNumber3Level4">
    <w:name w:val="List Number 3 (Level 4)"/>
    <w:basedOn w:val="Text3"/>
    <w:pPr>
      <w:tabs>
        <w:tab w:val="clear" w:pos="2302"/>
        <w:tab w:val="num" w:pos="2625"/>
      </w:tabs>
      <w:ind w:left="2625" w:hanging="709"/>
    </w:pPr>
  </w:style>
  <w:style w:type="paragraph" w:customStyle="1" w:styleId="ListNumber4Level2">
    <w:name w:val="List Number 4 (Level 2)"/>
    <w:basedOn w:val="Text4"/>
    <w:pPr>
      <w:tabs>
        <w:tab w:val="num" w:pos="3589"/>
      </w:tabs>
      <w:ind w:left="3589" w:hanging="709"/>
    </w:pPr>
  </w:style>
  <w:style w:type="paragraph" w:customStyle="1" w:styleId="ListNumber4Level3">
    <w:name w:val="List Number 4 (Level 3)"/>
    <w:basedOn w:val="Text4"/>
    <w:pPr>
      <w:tabs>
        <w:tab w:val="num" w:pos="3589"/>
      </w:tabs>
      <w:ind w:left="3589" w:hanging="709"/>
    </w:pPr>
  </w:style>
  <w:style w:type="paragraph" w:customStyle="1" w:styleId="ListNumber4Level4">
    <w:name w:val="List Number 4 (Level 4)"/>
    <w:basedOn w:val="Text4"/>
    <w:pPr>
      <w:tabs>
        <w:tab w:val="num" w:pos="3589"/>
      </w:tabs>
      <w:ind w:left="3589" w:hanging="709"/>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Enclosures"/>
    <w:pPr>
      <w:spacing w:before="48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000000"/>
      </w:pBdr>
      <w:spacing w:before="480"/>
    </w:pPr>
    <w:rPr>
      <w:i/>
    </w:rPr>
  </w:style>
  <w:style w:type="paragraph" w:customStyle="1" w:styleId="DisclaimerSJ">
    <w:name w:val="Disclaimer_SJ"/>
    <w:basedOn w:val="Normal"/>
    <w:next w:val="Normal"/>
    <w:rPr>
      <w:rFonts w:ascii="Arial" w:hAnsi="Arial" w:cs="Arial"/>
      <w:b/>
      <w:sz w:val="16"/>
    </w:rPr>
  </w:style>
  <w:style w:type="paragraph" w:customStyle="1" w:styleId="ZCom">
    <w:name w:val="Z_Com"/>
    <w:basedOn w:val="Normal"/>
    <w:next w:val="ZDGName"/>
    <w:pPr>
      <w:widowControl w:val="0"/>
      <w:autoSpaceDE w:val="0"/>
      <w:ind w:right="85"/>
    </w:pPr>
    <w:rPr>
      <w:rFonts w:ascii="Arial" w:hAnsi="Arial" w:cs="Arial"/>
      <w:szCs w:val="24"/>
    </w:rPr>
  </w:style>
  <w:style w:type="paragraph" w:customStyle="1" w:styleId="ZDGName">
    <w:name w:val="Z_DGName"/>
    <w:basedOn w:val="Normal"/>
    <w:pPr>
      <w:widowControl w:val="0"/>
      <w:autoSpaceDE w:val="0"/>
      <w:ind w:right="85"/>
      <w:jc w:val="left"/>
    </w:pPr>
    <w:rPr>
      <w:rFonts w:ascii="Arial" w:hAnsi="Arial" w:cs="Arial"/>
      <w:sz w:val="16"/>
      <w:szCs w:val="16"/>
    </w:rPr>
  </w:style>
  <w:style w:type="paragraph" w:styleId="BalloonText">
    <w:name w:val="Balloon Text"/>
    <w:basedOn w:val="Normal"/>
    <w:rPr>
      <w:rFonts w:ascii="Tahoma" w:hAnsi="Tahoma" w:cs="Tahoma"/>
      <w:sz w:val="16"/>
      <w:szCs w:val="16"/>
      <w:lang w:val="x-none"/>
    </w:rPr>
  </w:style>
  <w:style w:type="paragraph" w:styleId="CommentSubject">
    <w:name w:val="annotation subject"/>
    <w:basedOn w:val="CommentText"/>
    <w:next w:val="CommentText"/>
    <w:rPr>
      <w:b/>
      <w:bCs/>
    </w:rPr>
  </w:style>
  <w:style w:type="paragraph" w:customStyle="1" w:styleId="Default">
    <w:name w:val="Default"/>
    <w:pPr>
      <w:suppressAutoHyphens/>
      <w:autoSpaceDE w:val="0"/>
      <w:ind w:hanging="11"/>
      <w:jc w:val="both"/>
    </w:pPr>
    <w:rPr>
      <w:rFonts w:eastAsia="MS Mincho"/>
      <w:color w:val="000000"/>
      <w:sz w:val="24"/>
      <w:szCs w:val="24"/>
      <w:lang w:eastAsia="ar-SA"/>
    </w:rPr>
  </w:style>
  <w:style w:type="paragraph" w:styleId="ListParagraph">
    <w:name w:val="List Paragraph"/>
    <w:basedOn w:val="Normal"/>
    <w:uiPriority w:val="34"/>
    <w:qFormat/>
    <w:pPr>
      <w:spacing w:after="200" w:line="276" w:lineRule="auto"/>
      <w:ind w:left="720"/>
      <w:jc w:val="left"/>
    </w:pPr>
    <w:rPr>
      <w:rFonts w:ascii="Calibri" w:hAnsi="Calibri"/>
      <w:sz w:val="22"/>
      <w:szCs w:val="22"/>
    </w:rPr>
  </w:style>
  <w:style w:type="paragraph" w:customStyle="1" w:styleId="ManualHeading1">
    <w:name w:val="Manual Heading 1"/>
    <w:basedOn w:val="Normal"/>
    <w:next w:val="Normal"/>
    <w:pPr>
      <w:keepNext/>
      <w:tabs>
        <w:tab w:val="left" w:pos="850"/>
      </w:tabs>
      <w:spacing w:before="360" w:after="120"/>
      <w:ind w:left="850" w:hanging="850"/>
    </w:pPr>
    <w:rPr>
      <w:b/>
      <w:smallCaps/>
      <w:szCs w:val="24"/>
    </w:rPr>
  </w:style>
  <w:style w:type="paragraph" w:customStyle="1" w:styleId="ManualHeading2">
    <w:name w:val="Manual Heading 2"/>
    <w:basedOn w:val="Normal"/>
    <w:next w:val="Text2"/>
    <w:pPr>
      <w:keepNext/>
      <w:tabs>
        <w:tab w:val="left" w:pos="850"/>
      </w:tabs>
      <w:spacing w:before="120" w:after="120"/>
      <w:ind w:left="850" w:hanging="850"/>
    </w:pPr>
    <w:rPr>
      <w:b/>
      <w:szCs w:val="24"/>
    </w:rPr>
  </w:style>
  <w:style w:type="paragraph" w:customStyle="1" w:styleId="SectionTitle">
    <w:name w:val="SectionTitle"/>
    <w:basedOn w:val="Normal"/>
    <w:next w:val="Heading1"/>
    <w:pPr>
      <w:keepNext/>
      <w:spacing w:before="120" w:after="360"/>
      <w:jc w:val="center"/>
    </w:pPr>
    <w:rPr>
      <w:b/>
      <w:smallCaps/>
      <w:sz w:val="28"/>
      <w:szCs w:val="24"/>
    </w:rPr>
  </w:style>
  <w:style w:type="paragraph" w:styleId="Revision">
    <w:name w:val="Revision"/>
    <w:pPr>
      <w:suppressAutoHyphens/>
      <w:ind w:hanging="11"/>
      <w:jc w:val="both"/>
    </w:pPr>
    <w:rPr>
      <w:rFonts w:ascii="Calibri" w:eastAsia="Calibri" w:hAnsi="Calibri" w:cs="Calibri"/>
      <w:sz w:val="22"/>
      <w:szCs w:val="22"/>
      <w:lang w:eastAsia="ar-SA"/>
    </w:rPr>
  </w:style>
  <w:style w:type="paragraph" w:customStyle="1" w:styleId="a3520normal">
    <w:name w:val="a___35__20_normal"/>
    <w:basedOn w:val="Normal"/>
    <w:pPr>
      <w:spacing w:after="120"/>
    </w:pPr>
    <w:rPr>
      <w:szCs w:val="24"/>
    </w:rPr>
  </w:style>
  <w:style w:type="paragraph" w:styleId="NormalWeb">
    <w:name w:val="Normal (Web)"/>
    <w:basedOn w:val="Normal"/>
    <w:uiPriority w:val="99"/>
    <w:pPr>
      <w:spacing w:before="100" w:after="100"/>
      <w:ind w:left="357" w:hanging="357"/>
      <w:jc w:val="left"/>
    </w:pPr>
    <w:rPr>
      <w:szCs w:val="24"/>
    </w:rPr>
  </w:style>
  <w:style w:type="paragraph" w:customStyle="1" w:styleId="Bullettext">
    <w:name w:val="Bullet text"/>
    <w:basedOn w:val="Normal"/>
    <w:pPr>
      <w:numPr>
        <w:numId w:val="4"/>
      </w:numPr>
      <w:spacing w:after="120"/>
      <w:jc w:val="left"/>
    </w:pPr>
    <w:rPr>
      <w:rFonts w:eastAsia="ヒラギノ角ゴ Pro W3"/>
      <w:color w:val="000000"/>
      <w:sz w:val="22"/>
      <w:szCs w:val="24"/>
    </w:rPr>
  </w:style>
  <w:style w:type="paragraph" w:customStyle="1" w:styleId="TextkrperEBAR">
    <w:name w:val="Textkörper_EBAR"/>
    <w:basedOn w:val="Normal"/>
    <w:pPr>
      <w:widowControl w:val="0"/>
      <w:spacing w:line="480" w:lineRule="auto"/>
      <w:ind w:firstLine="0"/>
    </w:pPr>
    <w:rPr>
      <w:rFonts w:ascii="Cambria" w:eastAsia="Calibri" w:hAnsi="Cambria" w:cs="Cambria"/>
      <w:sz w:val="22"/>
      <w:szCs w:val="22"/>
    </w:rPr>
  </w:style>
  <w:style w:type="paragraph" w:customStyle="1" w:styleId="Graphicsourcenotes">
    <w:name w:val="Graphic source/notes"/>
    <w:basedOn w:val="Normal"/>
    <w:next w:val="Normal"/>
    <w:pPr>
      <w:overflowPunct w:val="0"/>
      <w:autoSpaceDE w:val="0"/>
      <w:spacing w:after="120"/>
      <w:ind w:firstLine="0"/>
      <w:jc w:val="left"/>
      <w:textAlignment w:val="baseline"/>
    </w:pPr>
    <w:rPr>
      <w:rFonts w:ascii="Arial" w:hAnsi="Arial" w:cs="Arial"/>
      <w:sz w:val="18"/>
    </w:rPr>
  </w:style>
  <w:style w:type="paragraph" w:customStyle="1" w:styleId="figmaptable">
    <w:name w:val="fig/map/table"/>
    <w:basedOn w:val="BodyText"/>
    <w:qFormat/>
    <w:pPr>
      <w:overflowPunct w:val="0"/>
      <w:autoSpaceDE w:val="0"/>
      <w:spacing w:after="240"/>
      <w:ind w:firstLine="0"/>
      <w:jc w:val="left"/>
      <w:textAlignment w:val="baseline"/>
    </w:pPr>
    <w:rPr>
      <w:rFonts w:ascii="Arial" w:hAnsi="Arial" w:cs="Arial"/>
      <w:b/>
      <w:color w:val="000000"/>
      <w:sz w:val="22"/>
      <w:szCs w:val="22"/>
      <w:lang w:val="en-US"/>
    </w:rPr>
  </w:style>
  <w:style w:type="paragraph" w:customStyle="1" w:styleId="Tabledesmatiresniveau10">
    <w:name w:val="Table des matières niveau 10"/>
    <w:basedOn w:val="Index"/>
    <w:pPr>
      <w:tabs>
        <w:tab w:val="right" w:leader="dot" w:pos="7091"/>
      </w:tabs>
      <w:ind w:left="2547" w:firstLine="0"/>
    </w:pPr>
  </w:style>
  <w:style w:type="paragraph" w:customStyle="1" w:styleId="Contenuducadre">
    <w:name w:val="Contenu du cadre"/>
    <w:basedOn w:val="BodyText"/>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customStyle="1" w:styleId="PlainTextChar">
    <w:name w:val="Plain Text Char"/>
    <w:link w:val="PlainText"/>
    <w:uiPriority w:val="99"/>
    <w:rPr>
      <w:rFonts w:ascii="Courier New" w:hAnsi="Courier New" w:cs="Courier New"/>
      <w:lang w:eastAsia="ar-SA"/>
    </w:rPr>
  </w:style>
  <w:style w:type="paragraph" w:customStyle="1" w:styleId="bodytitle3">
    <w:name w:val="body title 3"/>
    <w:basedOn w:val="Normal"/>
    <w:uiPriority w:val="99"/>
    <w:pPr>
      <w:keepNext/>
      <w:keepLines/>
      <w:widowControl w:val="0"/>
      <w:autoSpaceDE w:val="0"/>
      <w:autoSpaceDN w:val="0"/>
      <w:adjustRightInd w:val="0"/>
      <w:spacing w:before="113" w:after="113" w:line="236" w:lineRule="atLeast"/>
      <w:ind w:firstLine="0"/>
    </w:pPr>
    <w:rPr>
      <w:rFonts w:ascii="Arial" w:hAnsi="Arial" w:cs="MyriadPro-SemiboldIt"/>
      <w:i/>
      <w:iCs/>
      <w:color w:val="5E6389"/>
      <w:sz w:val="20"/>
      <w:lang w:eastAsia="en-US"/>
    </w:rPr>
  </w:style>
  <w:style w:type="paragraph" w:customStyle="1" w:styleId="footnote">
    <w:name w:val="footnote"/>
    <w:basedOn w:val="Normal"/>
    <w:uiPriority w:val="99"/>
    <w:pPr>
      <w:widowControl w:val="0"/>
      <w:autoSpaceDE w:val="0"/>
      <w:autoSpaceDN w:val="0"/>
      <w:adjustRightInd w:val="0"/>
      <w:spacing w:after="113" w:line="150" w:lineRule="atLeast"/>
      <w:ind w:left="170" w:hanging="170"/>
      <w:jc w:val="left"/>
    </w:pPr>
    <w:rPr>
      <w:rFonts w:ascii="Arial" w:hAnsi="Arial" w:cs="MyriadPro-Light"/>
      <w:color w:val="000000"/>
      <w:position w:val="-2"/>
      <w:sz w:val="13"/>
      <w:szCs w:val="13"/>
      <w:lang w:eastAsia="en-US"/>
    </w:rPr>
  </w:style>
  <w:style w:type="paragraph" w:customStyle="1" w:styleId="graph-table-maptitle">
    <w:name w:val="graph-table-map title"/>
    <w:basedOn w:val="Normal"/>
    <w:uiPriority w:val="99"/>
    <w:pPr>
      <w:keepNext/>
      <w:keepLines/>
      <w:widowControl w:val="0"/>
      <w:autoSpaceDE w:val="0"/>
      <w:autoSpaceDN w:val="0"/>
      <w:adjustRightInd w:val="0"/>
      <w:spacing w:before="113" w:after="170" w:line="260" w:lineRule="atLeast"/>
      <w:ind w:firstLine="0"/>
      <w:jc w:val="left"/>
    </w:pPr>
    <w:rPr>
      <w:rFonts w:ascii="Arial" w:hAnsi="Arial" w:cs="MyriadPro-Regular"/>
      <w:color w:val="7F7F7F"/>
      <w:spacing w:val="-2"/>
      <w:sz w:val="22"/>
      <w:szCs w:val="22"/>
      <w:lang w:eastAsia="en-US"/>
    </w:rPr>
  </w:style>
  <w:style w:type="paragraph" w:customStyle="1" w:styleId="source">
    <w:name w:val="source"/>
    <w:basedOn w:val="Normal"/>
    <w:uiPriority w:val="99"/>
    <w:pPr>
      <w:suppressAutoHyphens w:val="0"/>
      <w:spacing w:after="113" w:line="236" w:lineRule="atLeast"/>
      <w:ind w:firstLine="0"/>
      <w:jc w:val="left"/>
    </w:pPr>
    <w:rPr>
      <w:rFonts w:ascii="Arial" w:hAnsi="Arial"/>
      <w:i/>
      <w:sz w:val="14"/>
      <w:szCs w:val="24"/>
      <w:lang w:val="en-US" w:eastAsia="en-US"/>
    </w:rPr>
  </w:style>
  <w:style w:type="paragraph" w:customStyle="1" w:styleId="BodyText1">
    <w:name w:val="Body Text1"/>
    <w:basedOn w:val="Normal"/>
    <w:uiPriority w:val="99"/>
    <w:pPr>
      <w:widowControl w:val="0"/>
      <w:suppressAutoHyphens w:val="0"/>
      <w:autoSpaceDE w:val="0"/>
      <w:autoSpaceDN w:val="0"/>
      <w:adjustRightInd w:val="0"/>
      <w:spacing w:after="113" w:line="236" w:lineRule="atLeast"/>
      <w:ind w:firstLine="0"/>
    </w:pPr>
    <w:rPr>
      <w:rFonts w:ascii="Times" w:eastAsia="Cambria" w:hAnsi="Times"/>
      <w:color w:val="000000"/>
      <w:sz w:val="20"/>
      <w:lang w:val="en-US"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FootnoteCharacters">
    <w:name w:val="Footnote Characters"/>
    <w:rPr>
      <w:vertAlign w:val="superscript"/>
    </w:rPr>
  </w:style>
  <w:style w:type="character" w:customStyle="1" w:styleId="link-external">
    <w:name w:val="link-external"/>
    <w:basedOn w:val="DefaultParagraphFont"/>
  </w:style>
  <w:style w:type="character" w:customStyle="1" w:styleId="citation3">
    <w:name w:val="citation3"/>
    <w:basedOn w:val="DefaultParagraphFont"/>
    <w:rPr>
      <w:vanish w:val="0"/>
      <w:webHidden w:val="0"/>
      <w:color w:val="666666"/>
      <w:sz w:val="19"/>
      <w:szCs w:val="19"/>
      <w:specVanish w:val="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uppressAutoHyphens w:val="0"/>
      <w:ind w:firstLine="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smallCaps/>
      <w:szCs w:val="26"/>
    </w:rPr>
  </w:style>
  <w:style w:type="character" w:customStyle="1" w:styleId="FooterCoverPageChar">
    <w:name w:val="Footer Cover Page Char"/>
    <w:basedOn w:val="DefaultParagraphFont"/>
    <w:link w:val="FooterCoverPage"/>
    <w:rPr>
      <w:smallCaps/>
      <w:sz w:val="24"/>
      <w:szCs w:val="26"/>
      <w:lang w:eastAsia="ar-SA"/>
    </w:rPr>
  </w:style>
  <w:style w:type="paragraph" w:customStyle="1" w:styleId="HeaderCoverPage">
    <w:name w:val="Header Cover Page"/>
    <w:basedOn w:val="Normal"/>
    <w:link w:val="HeaderCoverPageChar"/>
    <w:pPr>
      <w:tabs>
        <w:tab w:val="center" w:pos="4535"/>
        <w:tab w:val="right" w:pos="9071"/>
      </w:tabs>
      <w:spacing w:after="120"/>
    </w:pPr>
    <w:rPr>
      <w:smallCaps/>
      <w:szCs w:val="26"/>
    </w:rPr>
  </w:style>
  <w:style w:type="character" w:customStyle="1" w:styleId="HeaderCoverPageChar">
    <w:name w:val="Header Cover Page Char"/>
    <w:basedOn w:val="DefaultParagraphFont"/>
    <w:link w:val="HeaderCoverPage"/>
    <w:rPr>
      <w:smallCaps/>
      <w:sz w:val="24"/>
      <w:szCs w:val="26"/>
      <w:lang w:eastAsia="ar-SA"/>
    </w:rPr>
  </w:style>
  <w:style w:type="character" w:customStyle="1" w:styleId="caractresdenotedebasdepage0">
    <w:name w:val="caractresdenotedebasdepage"/>
    <w:basedOn w:val="DefaultParagraphFont"/>
  </w:style>
  <w:style w:type="paragraph" w:customStyle="1" w:styleId="Style1">
    <w:name w:val="Style1"/>
    <w:basedOn w:val="FootnoteText"/>
    <w:qFormat/>
    <w:pPr>
      <w:ind w:left="11" w:hanging="11"/>
    </w:pPr>
  </w:style>
  <w:style w:type="paragraph" w:customStyle="1" w:styleId="SourceNote">
    <w:name w:val="Source/Note"/>
    <w:basedOn w:val="BodyText"/>
    <w:link w:val="SourceNoteChar"/>
    <w:qFormat/>
    <w:pPr>
      <w:suppressAutoHyphens w:val="0"/>
      <w:overflowPunct w:val="0"/>
      <w:autoSpaceDE w:val="0"/>
      <w:autoSpaceDN w:val="0"/>
      <w:adjustRightInd w:val="0"/>
      <w:spacing w:before="120" w:after="240"/>
      <w:ind w:left="284" w:firstLine="0"/>
      <w:textAlignment w:val="baseline"/>
    </w:pPr>
    <w:rPr>
      <w:rFonts w:ascii="Arial" w:hAnsi="Arial" w:cs="Arial"/>
      <w:sz w:val="16"/>
      <w:szCs w:val="22"/>
      <w:lang w:eastAsia="da-DK"/>
    </w:rPr>
  </w:style>
  <w:style w:type="character" w:customStyle="1" w:styleId="SourceNoteChar">
    <w:name w:val="Source/Note Char"/>
    <w:basedOn w:val="DefaultParagraphFont"/>
    <w:link w:val="SourceNote"/>
    <w:rPr>
      <w:rFonts w:ascii="Arial" w:hAnsi="Arial" w:cs="Arial"/>
      <w:sz w:val="16"/>
      <w:szCs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16133">
      <w:bodyDiv w:val="1"/>
      <w:marLeft w:val="0"/>
      <w:marRight w:val="0"/>
      <w:marTop w:val="0"/>
      <w:marBottom w:val="0"/>
      <w:divBdr>
        <w:top w:val="none" w:sz="0" w:space="0" w:color="auto"/>
        <w:left w:val="none" w:sz="0" w:space="0" w:color="auto"/>
        <w:bottom w:val="none" w:sz="0" w:space="0" w:color="auto"/>
        <w:right w:val="none" w:sz="0" w:space="0" w:color="auto"/>
      </w:divBdr>
    </w:div>
    <w:div w:id="274143989">
      <w:bodyDiv w:val="1"/>
      <w:marLeft w:val="0"/>
      <w:marRight w:val="0"/>
      <w:marTop w:val="0"/>
      <w:marBottom w:val="0"/>
      <w:divBdr>
        <w:top w:val="none" w:sz="0" w:space="0" w:color="auto"/>
        <w:left w:val="none" w:sz="0" w:space="0" w:color="auto"/>
        <w:bottom w:val="none" w:sz="0" w:space="0" w:color="auto"/>
        <w:right w:val="none" w:sz="0" w:space="0" w:color="auto"/>
      </w:divBdr>
    </w:div>
    <w:div w:id="294413196">
      <w:bodyDiv w:val="1"/>
      <w:marLeft w:val="0"/>
      <w:marRight w:val="0"/>
      <w:marTop w:val="0"/>
      <w:marBottom w:val="0"/>
      <w:divBdr>
        <w:top w:val="none" w:sz="0" w:space="0" w:color="auto"/>
        <w:left w:val="none" w:sz="0" w:space="0" w:color="auto"/>
        <w:bottom w:val="none" w:sz="0" w:space="0" w:color="auto"/>
        <w:right w:val="none" w:sz="0" w:space="0" w:color="auto"/>
      </w:divBdr>
    </w:div>
    <w:div w:id="338580951">
      <w:bodyDiv w:val="1"/>
      <w:marLeft w:val="0"/>
      <w:marRight w:val="0"/>
      <w:marTop w:val="0"/>
      <w:marBottom w:val="0"/>
      <w:divBdr>
        <w:top w:val="none" w:sz="0" w:space="0" w:color="auto"/>
        <w:left w:val="none" w:sz="0" w:space="0" w:color="auto"/>
        <w:bottom w:val="none" w:sz="0" w:space="0" w:color="auto"/>
        <w:right w:val="none" w:sz="0" w:space="0" w:color="auto"/>
      </w:divBdr>
    </w:div>
    <w:div w:id="360401873">
      <w:bodyDiv w:val="1"/>
      <w:marLeft w:val="0"/>
      <w:marRight w:val="0"/>
      <w:marTop w:val="0"/>
      <w:marBottom w:val="0"/>
      <w:divBdr>
        <w:top w:val="none" w:sz="0" w:space="0" w:color="auto"/>
        <w:left w:val="none" w:sz="0" w:space="0" w:color="auto"/>
        <w:bottom w:val="none" w:sz="0" w:space="0" w:color="auto"/>
        <w:right w:val="none" w:sz="0" w:space="0" w:color="auto"/>
      </w:divBdr>
    </w:div>
    <w:div w:id="413861386">
      <w:bodyDiv w:val="1"/>
      <w:marLeft w:val="0"/>
      <w:marRight w:val="0"/>
      <w:marTop w:val="0"/>
      <w:marBottom w:val="0"/>
      <w:divBdr>
        <w:top w:val="none" w:sz="0" w:space="0" w:color="auto"/>
        <w:left w:val="none" w:sz="0" w:space="0" w:color="auto"/>
        <w:bottom w:val="none" w:sz="0" w:space="0" w:color="auto"/>
        <w:right w:val="none" w:sz="0" w:space="0" w:color="auto"/>
      </w:divBdr>
    </w:div>
    <w:div w:id="429857472">
      <w:bodyDiv w:val="1"/>
      <w:marLeft w:val="0"/>
      <w:marRight w:val="0"/>
      <w:marTop w:val="0"/>
      <w:marBottom w:val="0"/>
      <w:divBdr>
        <w:top w:val="none" w:sz="0" w:space="0" w:color="auto"/>
        <w:left w:val="none" w:sz="0" w:space="0" w:color="auto"/>
        <w:bottom w:val="none" w:sz="0" w:space="0" w:color="auto"/>
        <w:right w:val="none" w:sz="0" w:space="0" w:color="auto"/>
      </w:divBdr>
    </w:div>
    <w:div w:id="446698036">
      <w:bodyDiv w:val="1"/>
      <w:marLeft w:val="0"/>
      <w:marRight w:val="0"/>
      <w:marTop w:val="0"/>
      <w:marBottom w:val="0"/>
      <w:divBdr>
        <w:top w:val="none" w:sz="0" w:space="0" w:color="auto"/>
        <w:left w:val="none" w:sz="0" w:space="0" w:color="auto"/>
        <w:bottom w:val="none" w:sz="0" w:space="0" w:color="auto"/>
        <w:right w:val="none" w:sz="0" w:space="0" w:color="auto"/>
      </w:divBdr>
      <w:divsChild>
        <w:div w:id="1256017946">
          <w:marLeft w:val="0"/>
          <w:marRight w:val="0"/>
          <w:marTop w:val="0"/>
          <w:marBottom w:val="0"/>
          <w:divBdr>
            <w:top w:val="none" w:sz="0" w:space="0" w:color="auto"/>
            <w:left w:val="none" w:sz="0" w:space="0" w:color="auto"/>
            <w:bottom w:val="none" w:sz="0" w:space="0" w:color="auto"/>
            <w:right w:val="none" w:sz="0" w:space="0" w:color="auto"/>
          </w:divBdr>
          <w:divsChild>
            <w:div w:id="2016153973">
              <w:marLeft w:val="0"/>
              <w:marRight w:val="0"/>
              <w:marTop w:val="0"/>
              <w:marBottom w:val="0"/>
              <w:divBdr>
                <w:top w:val="none" w:sz="0" w:space="0" w:color="auto"/>
                <w:left w:val="none" w:sz="0" w:space="0" w:color="auto"/>
                <w:bottom w:val="none" w:sz="0" w:space="0" w:color="auto"/>
                <w:right w:val="none" w:sz="0" w:space="0" w:color="auto"/>
              </w:divBdr>
              <w:divsChild>
                <w:div w:id="664632752">
                  <w:marLeft w:val="0"/>
                  <w:marRight w:val="0"/>
                  <w:marTop w:val="0"/>
                  <w:marBottom w:val="0"/>
                  <w:divBdr>
                    <w:top w:val="none" w:sz="0" w:space="0" w:color="auto"/>
                    <w:left w:val="none" w:sz="0" w:space="0" w:color="auto"/>
                    <w:bottom w:val="none" w:sz="0" w:space="0" w:color="auto"/>
                    <w:right w:val="none" w:sz="0" w:space="0" w:color="auto"/>
                  </w:divBdr>
                  <w:divsChild>
                    <w:div w:id="1176306159">
                      <w:marLeft w:val="0"/>
                      <w:marRight w:val="0"/>
                      <w:marTop w:val="0"/>
                      <w:marBottom w:val="0"/>
                      <w:divBdr>
                        <w:top w:val="none" w:sz="0" w:space="0" w:color="auto"/>
                        <w:left w:val="none" w:sz="0" w:space="0" w:color="auto"/>
                        <w:bottom w:val="none" w:sz="0" w:space="0" w:color="auto"/>
                        <w:right w:val="none" w:sz="0" w:space="0" w:color="auto"/>
                      </w:divBdr>
                      <w:divsChild>
                        <w:div w:id="901328547">
                          <w:marLeft w:val="0"/>
                          <w:marRight w:val="0"/>
                          <w:marTop w:val="0"/>
                          <w:marBottom w:val="0"/>
                          <w:divBdr>
                            <w:top w:val="none" w:sz="0" w:space="0" w:color="auto"/>
                            <w:left w:val="none" w:sz="0" w:space="0" w:color="auto"/>
                            <w:bottom w:val="none" w:sz="0" w:space="0" w:color="auto"/>
                            <w:right w:val="none" w:sz="0" w:space="0" w:color="auto"/>
                          </w:divBdr>
                          <w:divsChild>
                            <w:div w:id="863443401">
                              <w:marLeft w:val="0"/>
                              <w:marRight w:val="0"/>
                              <w:marTop w:val="0"/>
                              <w:marBottom w:val="0"/>
                              <w:divBdr>
                                <w:top w:val="none" w:sz="0" w:space="0" w:color="auto"/>
                                <w:left w:val="none" w:sz="0" w:space="0" w:color="auto"/>
                                <w:bottom w:val="none" w:sz="0" w:space="0" w:color="auto"/>
                                <w:right w:val="none" w:sz="0" w:space="0" w:color="auto"/>
                              </w:divBdr>
                              <w:divsChild>
                                <w:div w:id="15772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401048">
      <w:bodyDiv w:val="1"/>
      <w:marLeft w:val="0"/>
      <w:marRight w:val="0"/>
      <w:marTop w:val="0"/>
      <w:marBottom w:val="0"/>
      <w:divBdr>
        <w:top w:val="none" w:sz="0" w:space="0" w:color="auto"/>
        <w:left w:val="none" w:sz="0" w:space="0" w:color="auto"/>
        <w:bottom w:val="none" w:sz="0" w:space="0" w:color="auto"/>
        <w:right w:val="none" w:sz="0" w:space="0" w:color="auto"/>
      </w:divBdr>
    </w:div>
    <w:div w:id="500241518">
      <w:bodyDiv w:val="1"/>
      <w:marLeft w:val="0"/>
      <w:marRight w:val="0"/>
      <w:marTop w:val="0"/>
      <w:marBottom w:val="0"/>
      <w:divBdr>
        <w:top w:val="none" w:sz="0" w:space="0" w:color="auto"/>
        <w:left w:val="none" w:sz="0" w:space="0" w:color="auto"/>
        <w:bottom w:val="none" w:sz="0" w:space="0" w:color="auto"/>
        <w:right w:val="none" w:sz="0" w:space="0" w:color="auto"/>
      </w:divBdr>
    </w:div>
    <w:div w:id="541135808">
      <w:bodyDiv w:val="1"/>
      <w:marLeft w:val="0"/>
      <w:marRight w:val="0"/>
      <w:marTop w:val="0"/>
      <w:marBottom w:val="0"/>
      <w:divBdr>
        <w:top w:val="none" w:sz="0" w:space="0" w:color="auto"/>
        <w:left w:val="none" w:sz="0" w:space="0" w:color="auto"/>
        <w:bottom w:val="none" w:sz="0" w:space="0" w:color="auto"/>
        <w:right w:val="none" w:sz="0" w:space="0" w:color="auto"/>
      </w:divBdr>
    </w:div>
    <w:div w:id="616061795">
      <w:bodyDiv w:val="1"/>
      <w:marLeft w:val="0"/>
      <w:marRight w:val="0"/>
      <w:marTop w:val="0"/>
      <w:marBottom w:val="0"/>
      <w:divBdr>
        <w:top w:val="none" w:sz="0" w:space="0" w:color="auto"/>
        <w:left w:val="none" w:sz="0" w:space="0" w:color="auto"/>
        <w:bottom w:val="none" w:sz="0" w:space="0" w:color="auto"/>
        <w:right w:val="none" w:sz="0" w:space="0" w:color="auto"/>
      </w:divBdr>
    </w:div>
    <w:div w:id="709569506">
      <w:bodyDiv w:val="1"/>
      <w:marLeft w:val="0"/>
      <w:marRight w:val="0"/>
      <w:marTop w:val="0"/>
      <w:marBottom w:val="0"/>
      <w:divBdr>
        <w:top w:val="none" w:sz="0" w:space="0" w:color="auto"/>
        <w:left w:val="none" w:sz="0" w:space="0" w:color="auto"/>
        <w:bottom w:val="none" w:sz="0" w:space="0" w:color="auto"/>
        <w:right w:val="none" w:sz="0" w:space="0" w:color="auto"/>
      </w:divBdr>
      <w:divsChild>
        <w:div w:id="863058992">
          <w:marLeft w:val="0"/>
          <w:marRight w:val="0"/>
          <w:marTop w:val="0"/>
          <w:marBottom w:val="0"/>
          <w:divBdr>
            <w:top w:val="single" w:sz="2" w:space="0" w:color="336699"/>
            <w:left w:val="single" w:sz="6" w:space="0" w:color="336699"/>
            <w:bottom w:val="single" w:sz="6" w:space="0" w:color="336699"/>
            <w:right w:val="single" w:sz="6" w:space="0" w:color="336699"/>
          </w:divBdr>
          <w:divsChild>
            <w:div w:id="1434667338">
              <w:marLeft w:val="0"/>
              <w:marRight w:val="0"/>
              <w:marTop w:val="0"/>
              <w:marBottom w:val="0"/>
              <w:divBdr>
                <w:top w:val="none" w:sz="0" w:space="0" w:color="auto"/>
                <w:left w:val="none" w:sz="0" w:space="0" w:color="auto"/>
                <w:bottom w:val="none" w:sz="0" w:space="0" w:color="auto"/>
                <w:right w:val="none" w:sz="0" w:space="0" w:color="auto"/>
              </w:divBdr>
              <w:divsChild>
                <w:div w:id="1383210468">
                  <w:marLeft w:val="0"/>
                  <w:marRight w:val="0"/>
                  <w:marTop w:val="0"/>
                  <w:marBottom w:val="0"/>
                  <w:divBdr>
                    <w:top w:val="none" w:sz="0" w:space="0" w:color="auto"/>
                    <w:left w:val="none" w:sz="0" w:space="0" w:color="auto"/>
                    <w:bottom w:val="none" w:sz="0" w:space="0" w:color="auto"/>
                    <w:right w:val="none" w:sz="0" w:space="0" w:color="auto"/>
                  </w:divBdr>
                  <w:divsChild>
                    <w:div w:id="1921133693">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852609">
      <w:bodyDiv w:val="1"/>
      <w:marLeft w:val="0"/>
      <w:marRight w:val="0"/>
      <w:marTop w:val="0"/>
      <w:marBottom w:val="0"/>
      <w:divBdr>
        <w:top w:val="none" w:sz="0" w:space="0" w:color="auto"/>
        <w:left w:val="none" w:sz="0" w:space="0" w:color="auto"/>
        <w:bottom w:val="none" w:sz="0" w:space="0" w:color="auto"/>
        <w:right w:val="none" w:sz="0" w:space="0" w:color="auto"/>
      </w:divBdr>
    </w:div>
    <w:div w:id="773868481">
      <w:bodyDiv w:val="1"/>
      <w:marLeft w:val="0"/>
      <w:marRight w:val="0"/>
      <w:marTop w:val="0"/>
      <w:marBottom w:val="0"/>
      <w:divBdr>
        <w:top w:val="none" w:sz="0" w:space="0" w:color="auto"/>
        <w:left w:val="none" w:sz="0" w:space="0" w:color="auto"/>
        <w:bottom w:val="none" w:sz="0" w:space="0" w:color="auto"/>
        <w:right w:val="none" w:sz="0" w:space="0" w:color="auto"/>
      </w:divBdr>
    </w:div>
    <w:div w:id="795949787">
      <w:bodyDiv w:val="1"/>
      <w:marLeft w:val="0"/>
      <w:marRight w:val="0"/>
      <w:marTop w:val="0"/>
      <w:marBottom w:val="0"/>
      <w:divBdr>
        <w:top w:val="none" w:sz="0" w:space="0" w:color="auto"/>
        <w:left w:val="none" w:sz="0" w:space="0" w:color="auto"/>
        <w:bottom w:val="none" w:sz="0" w:space="0" w:color="auto"/>
        <w:right w:val="none" w:sz="0" w:space="0" w:color="auto"/>
      </w:divBdr>
    </w:div>
    <w:div w:id="838233545">
      <w:bodyDiv w:val="1"/>
      <w:marLeft w:val="0"/>
      <w:marRight w:val="0"/>
      <w:marTop w:val="0"/>
      <w:marBottom w:val="0"/>
      <w:divBdr>
        <w:top w:val="none" w:sz="0" w:space="0" w:color="auto"/>
        <w:left w:val="none" w:sz="0" w:space="0" w:color="auto"/>
        <w:bottom w:val="none" w:sz="0" w:space="0" w:color="auto"/>
        <w:right w:val="none" w:sz="0" w:space="0" w:color="auto"/>
      </w:divBdr>
    </w:div>
    <w:div w:id="853764908">
      <w:bodyDiv w:val="1"/>
      <w:marLeft w:val="0"/>
      <w:marRight w:val="0"/>
      <w:marTop w:val="0"/>
      <w:marBottom w:val="0"/>
      <w:divBdr>
        <w:top w:val="none" w:sz="0" w:space="0" w:color="auto"/>
        <w:left w:val="none" w:sz="0" w:space="0" w:color="auto"/>
        <w:bottom w:val="none" w:sz="0" w:space="0" w:color="auto"/>
        <w:right w:val="none" w:sz="0" w:space="0" w:color="auto"/>
      </w:divBdr>
    </w:div>
    <w:div w:id="855732956">
      <w:bodyDiv w:val="1"/>
      <w:marLeft w:val="0"/>
      <w:marRight w:val="0"/>
      <w:marTop w:val="0"/>
      <w:marBottom w:val="0"/>
      <w:divBdr>
        <w:top w:val="none" w:sz="0" w:space="0" w:color="auto"/>
        <w:left w:val="none" w:sz="0" w:space="0" w:color="auto"/>
        <w:bottom w:val="none" w:sz="0" w:space="0" w:color="auto"/>
        <w:right w:val="none" w:sz="0" w:space="0" w:color="auto"/>
      </w:divBdr>
    </w:div>
    <w:div w:id="880093961">
      <w:bodyDiv w:val="1"/>
      <w:marLeft w:val="0"/>
      <w:marRight w:val="0"/>
      <w:marTop w:val="0"/>
      <w:marBottom w:val="0"/>
      <w:divBdr>
        <w:top w:val="none" w:sz="0" w:space="0" w:color="auto"/>
        <w:left w:val="none" w:sz="0" w:space="0" w:color="auto"/>
        <w:bottom w:val="none" w:sz="0" w:space="0" w:color="auto"/>
        <w:right w:val="none" w:sz="0" w:space="0" w:color="auto"/>
      </w:divBdr>
      <w:divsChild>
        <w:div w:id="1246113543">
          <w:marLeft w:val="0"/>
          <w:marRight w:val="0"/>
          <w:marTop w:val="0"/>
          <w:marBottom w:val="0"/>
          <w:divBdr>
            <w:top w:val="none" w:sz="0" w:space="0" w:color="auto"/>
            <w:left w:val="none" w:sz="0" w:space="0" w:color="auto"/>
            <w:bottom w:val="none" w:sz="0" w:space="0" w:color="auto"/>
            <w:right w:val="none" w:sz="0" w:space="0" w:color="auto"/>
          </w:divBdr>
          <w:divsChild>
            <w:div w:id="1492871327">
              <w:marLeft w:val="0"/>
              <w:marRight w:val="0"/>
              <w:marTop w:val="0"/>
              <w:marBottom w:val="0"/>
              <w:divBdr>
                <w:top w:val="none" w:sz="0" w:space="0" w:color="auto"/>
                <w:left w:val="none" w:sz="0" w:space="0" w:color="auto"/>
                <w:bottom w:val="none" w:sz="0" w:space="0" w:color="auto"/>
                <w:right w:val="none" w:sz="0" w:space="0" w:color="auto"/>
              </w:divBdr>
              <w:divsChild>
                <w:div w:id="847914786">
                  <w:marLeft w:val="0"/>
                  <w:marRight w:val="0"/>
                  <w:marTop w:val="0"/>
                  <w:marBottom w:val="300"/>
                  <w:divBdr>
                    <w:top w:val="none" w:sz="0" w:space="0" w:color="auto"/>
                    <w:left w:val="none" w:sz="0" w:space="0" w:color="auto"/>
                    <w:bottom w:val="none" w:sz="0" w:space="0" w:color="auto"/>
                    <w:right w:val="none" w:sz="0" w:space="0" w:color="auto"/>
                  </w:divBdr>
                  <w:divsChild>
                    <w:div w:id="2018265685">
                      <w:marLeft w:val="-225"/>
                      <w:marRight w:val="-225"/>
                      <w:marTop w:val="0"/>
                      <w:marBottom w:val="0"/>
                      <w:divBdr>
                        <w:top w:val="none" w:sz="0" w:space="0" w:color="auto"/>
                        <w:left w:val="none" w:sz="0" w:space="0" w:color="auto"/>
                        <w:bottom w:val="none" w:sz="0" w:space="0" w:color="auto"/>
                        <w:right w:val="none" w:sz="0" w:space="0" w:color="auto"/>
                      </w:divBdr>
                      <w:divsChild>
                        <w:div w:id="741221882">
                          <w:marLeft w:val="0"/>
                          <w:marRight w:val="0"/>
                          <w:marTop w:val="0"/>
                          <w:marBottom w:val="0"/>
                          <w:divBdr>
                            <w:top w:val="none" w:sz="0" w:space="0" w:color="auto"/>
                            <w:left w:val="none" w:sz="0" w:space="0" w:color="auto"/>
                            <w:bottom w:val="none" w:sz="0" w:space="0" w:color="auto"/>
                            <w:right w:val="none" w:sz="0" w:space="0" w:color="auto"/>
                          </w:divBdr>
                          <w:divsChild>
                            <w:div w:id="902103495">
                              <w:marLeft w:val="0"/>
                              <w:marRight w:val="0"/>
                              <w:marTop w:val="0"/>
                              <w:marBottom w:val="0"/>
                              <w:divBdr>
                                <w:top w:val="none" w:sz="0" w:space="0" w:color="auto"/>
                                <w:left w:val="none" w:sz="0" w:space="0" w:color="auto"/>
                                <w:bottom w:val="none" w:sz="0" w:space="0" w:color="auto"/>
                                <w:right w:val="none" w:sz="0" w:space="0" w:color="auto"/>
                              </w:divBdr>
                              <w:divsChild>
                                <w:div w:id="1245459649">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532852">
      <w:bodyDiv w:val="1"/>
      <w:marLeft w:val="0"/>
      <w:marRight w:val="0"/>
      <w:marTop w:val="0"/>
      <w:marBottom w:val="0"/>
      <w:divBdr>
        <w:top w:val="none" w:sz="0" w:space="0" w:color="auto"/>
        <w:left w:val="none" w:sz="0" w:space="0" w:color="auto"/>
        <w:bottom w:val="none" w:sz="0" w:space="0" w:color="auto"/>
        <w:right w:val="none" w:sz="0" w:space="0" w:color="auto"/>
      </w:divBdr>
    </w:div>
    <w:div w:id="922421304">
      <w:bodyDiv w:val="1"/>
      <w:marLeft w:val="0"/>
      <w:marRight w:val="0"/>
      <w:marTop w:val="0"/>
      <w:marBottom w:val="0"/>
      <w:divBdr>
        <w:top w:val="none" w:sz="0" w:space="0" w:color="auto"/>
        <w:left w:val="none" w:sz="0" w:space="0" w:color="auto"/>
        <w:bottom w:val="none" w:sz="0" w:space="0" w:color="auto"/>
        <w:right w:val="none" w:sz="0" w:space="0" w:color="auto"/>
      </w:divBdr>
    </w:div>
    <w:div w:id="949168321">
      <w:bodyDiv w:val="1"/>
      <w:marLeft w:val="0"/>
      <w:marRight w:val="0"/>
      <w:marTop w:val="0"/>
      <w:marBottom w:val="0"/>
      <w:divBdr>
        <w:top w:val="none" w:sz="0" w:space="0" w:color="auto"/>
        <w:left w:val="none" w:sz="0" w:space="0" w:color="auto"/>
        <w:bottom w:val="none" w:sz="0" w:space="0" w:color="auto"/>
        <w:right w:val="none" w:sz="0" w:space="0" w:color="auto"/>
      </w:divBdr>
    </w:div>
    <w:div w:id="1010453204">
      <w:bodyDiv w:val="1"/>
      <w:marLeft w:val="0"/>
      <w:marRight w:val="0"/>
      <w:marTop w:val="0"/>
      <w:marBottom w:val="0"/>
      <w:divBdr>
        <w:top w:val="none" w:sz="0" w:space="0" w:color="auto"/>
        <w:left w:val="none" w:sz="0" w:space="0" w:color="auto"/>
        <w:bottom w:val="none" w:sz="0" w:space="0" w:color="auto"/>
        <w:right w:val="none" w:sz="0" w:space="0" w:color="auto"/>
      </w:divBdr>
    </w:div>
    <w:div w:id="1071388928">
      <w:bodyDiv w:val="1"/>
      <w:marLeft w:val="0"/>
      <w:marRight w:val="0"/>
      <w:marTop w:val="0"/>
      <w:marBottom w:val="0"/>
      <w:divBdr>
        <w:top w:val="none" w:sz="0" w:space="0" w:color="auto"/>
        <w:left w:val="none" w:sz="0" w:space="0" w:color="auto"/>
        <w:bottom w:val="none" w:sz="0" w:space="0" w:color="auto"/>
        <w:right w:val="none" w:sz="0" w:space="0" w:color="auto"/>
      </w:divBdr>
      <w:divsChild>
        <w:div w:id="548108535">
          <w:marLeft w:val="0"/>
          <w:marRight w:val="0"/>
          <w:marTop w:val="0"/>
          <w:marBottom w:val="0"/>
          <w:divBdr>
            <w:top w:val="none" w:sz="0" w:space="0" w:color="auto"/>
            <w:left w:val="none" w:sz="0" w:space="0" w:color="auto"/>
            <w:bottom w:val="none" w:sz="0" w:space="0" w:color="auto"/>
            <w:right w:val="none" w:sz="0" w:space="0" w:color="auto"/>
          </w:divBdr>
          <w:divsChild>
            <w:div w:id="1888371057">
              <w:marLeft w:val="0"/>
              <w:marRight w:val="0"/>
              <w:marTop w:val="0"/>
              <w:marBottom w:val="0"/>
              <w:divBdr>
                <w:top w:val="none" w:sz="0" w:space="0" w:color="auto"/>
                <w:left w:val="none" w:sz="0" w:space="0" w:color="auto"/>
                <w:bottom w:val="none" w:sz="0" w:space="0" w:color="auto"/>
                <w:right w:val="none" w:sz="0" w:space="0" w:color="auto"/>
              </w:divBdr>
              <w:divsChild>
                <w:div w:id="1148471017">
                  <w:marLeft w:val="0"/>
                  <w:marRight w:val="0"/>
                  <w:marTop w:val="0"/>
                  <w:marBottom w:val="0"/>
                  <w:divBdr>
                    <w:top w:val="none" w:sz="0" w:space="0" w:color="auto"/>
                    <w:left w:val="none" w:sz="0" w:space="0" w:color="auto"/>
                    <w:bottom w:val="none" w:sz="0" w:space="0" w:color="auto"/>
                    <w:right w:val="none" w:sz="0" w:space="0" w:color="auto"/>
                  </w:divBdr>
                  <w:divsChild>
                    <w:div w:id="1397244978">
                      <w:marLeft w:val="0"/>
                      <w:marRight w:val="0"/>
                      <w:marTop w:val="0"/>
                      <w:marBottom w:val="0"/>
                      <w:divBdr>
                        <w:top w:val="none" w:sz="0" w:space="0" w:color="auto"/>
                        <w:left w:val="none" w:sz="0" w:space="0" w:color="auto"/>
                        <w:bottom w:val="none" w:sz="0" w:space="0" w:color="auto"/>
                        <w:right w:val="none" w:sz="0" w:space="0" w:color="auto"/>
                      </w:divBdr>
                      <w:divsChild>
                        <w:div w:id="1648970863">
                          <w:marLeft w:val="0"/>
                          <w:marRight w:val="0"/>
                          <w:marTop w:val="0"/>
                          <w:marBottom w:val="0"/>
                          <w:divBdr>
                            <w:top w:val="none" w:sz="0" w:space="0" w:color="auto"/>
                            <w:left w:val="none" w:sz="0" w:space="0" w:color="auto"/>
                            <w:bottom w:val="none" w:sz="0" w:space="0" w:color="auto"/>
                            <w:right w:val="none" w:sz="0" w:space="0" w:color="auto"/>
                          </w:divBdr>
                          <w:divsChild>
                            <w:div w:id="1679238156">
                              <w:marLeft w:val="0"/>
                              <w:marRight w:val="0"/>
                              <w:marTop w:val="0"/>
                              <w:marBottom w:val="0"/>
                              <w:divBdr>
                                <w:top w:val="none" w:sz="0" w:space="0" w:color="auto"/>
                                <w:left w:val="none" w:sz="0" w:space="0" w:color="auto"/>
                                <w:bottom w:val="none" w:sz="0" w:space="0" w:color="auto"/>
                                <w:right w:val="none" w:sz="0" w:space="0" w:color="auto"/>
                              </w:divBdr>
                              <w:divsChild>
                                <w:div w:id="1843163774">
                                  <w:marLeft w:val="45"/>
                                  <w:marRight w:val="45"/>
                                  <w:marTop w:val="0"/>
                                  <w:marBottom w:val="0"/>
                                  <w:divBdr>
                                    <w:top w:val="none" w:sz="0" w:space="0" w:color="auto"/>
                                    <w:left w:val="none" w:sz="0" w:space="0" w:color="auto"/>
                                    <w:bottom w:val="none" w:sz="0" w:space="0" w:color="auto"/>
                                    <w:right w:val="none" w:sz="0" w:space="0" w:color="auto"/>
                                  </w:divBdr>
                                  <w:divsChild>
                                    <w:div w:id="1629555866">
                                      <w:marLeft w:val="0"/>
                                      <w:marRight w:val="0"/>
                                      <w:marTop w:val="0"/>
                                      <w:marBottom w:val="0"/>
                                      <w:divBdr>
                                        <w:top w:val="none" w:sz="0" w:space="0" w:color="auto"/>
                                        <w:left w:val="none" w:sz="0" w:space="0" w:color="auto"/>
                                        <w:bottom w:val="none" w:sz="0" w:space="0" w:color="auto"/>
                                        <w:right w:val="none" w:sz="0" w:space="0" w:color="auto"/>
                                      </w:divBdr>
                                      <w:divsChild>
                                        <w:div w:id="1828939412">
                                          <w:marLeft w:val="0"/>
                                          <w:marRight w:val="0"/>
                                          <w:marTop w:val="0"/>
                                          <w:marBottom w:val="0"/>
                                          <w:divBdr>
                                            <w:top w:val="none" w:sz="0" w:space="0" w:color="auto"/>
                                            <w:left w:val="none" w:sz="0" w:space="0" w:color="auto"/>
                                            <w:bottom w:val="none" w:sz="0" w:space="0" w:color="auto"/>
                                            <w:right w:val="none" w:sz="0" w:space="0" w:color="auto"/>
                                          </w:divBdr>
                                          <w:divsChild>
                                            <w:div w:id="18019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401013">
      <w:bodyDiv w:val="1"/>
      <w:marLeft w:val="0"/>
      <w:marRight w:val="0"/>
      <w:marTop w:val="0"/>
      <w:marBottom w:val="0"/>
      <w:divBdr>
        <w:top w:val="none" w:sz="0" w:space="0" w:color="auto"/>
        <w:left w:val="none" w:sz="0" w:space="0" w:color="auto"/>
        <w:bottom w:val="none" w:sz="0" w:space="0" w:color="auto"/>
        <w:right w:val="none" w:sz="0" w:space="0" w:color="auto"/>
      </w:divBdr>
    </w:div>
    <w:div w:id="1093551005">
      <w:bodyDiv w:val="1"/>
      <w:marLeft w:val="0"/>
      <w:marRight w:val="0"/>
      <w:marTop w:val="0"/>
      <w:marBottom w:val="0"/>
      <w:divBdr>
        <w:top w:val="none" w:sz="0" w:space="0" w:color="auto"/>
        <w:left w:val="none" w:sz="0" w:space="0" w:color="auto"/>
        <w:bottom w:val="none" w:sz="0" w:space="0" w:color="auto"/>
        <w:right w:val="none" w:sz="0" w:space="0" w:color="auto"/>
      </w:divBdr>
      <w:divsChild>
        <w:div w:id="758646162">
          <w:marLeft w:val="0"/>
          <w:marRight w:val="0"/>
          <w:marTop w:val="0"/>
          <w:marBottom w:val="0"/>
          <w:divBdr>
            <w:top w:val="none" w:sz="0" w:space="0" w:color="auto"/>
            <w:left w:val="none" w:sz="0" w:space="0" w:color="auto"/>
            <w:bottom w:val="none" w:sz="0" w:space="0" w:color="auto"/>
            <w:right w:val="none" w:sz="0" w:space="0" w:color="auto"/>
          </w:divBdr>
        </w:div>
      </w:divsChild>
    </w:div>
    <w:div w:id="1116411054">
      <w:bodyDiv w:val="1"/>
      <w:marLeft w:val="0"/>
      <w:marRight w:val="0"/>
      <w:marTop w:val="0"/>
      <w:marBottom w:val="0"/>
      <w:divBdr>
        <w:top w:val="none" w:sz="0" w:space="0" w:color="auto"/>
        <w:left w:val="none" w:sz="0" w:space="0" w:color="auto"/>
        <w:bottom w:val="none" w:sz="0" w:space="0" w:color="auto"/>
        <w:right w:val="none" w:sz="0" w:space="0" w:color="auto"/>
      </w:divBdr>
      <w:divsChild>
        <w:div w:id="503787635">
          <w:marLeft w:val="0"/>
          <w:marRight w:val="0"/>
          <w:marTop w:val="0"/>
          <w:marBottom w:val="0"/>
          <w:divBdr>
            <w:top w:val="none" w:sz="0" w:space="0" w:color="auto"/>
            <w:left w:val="none" w:sz="0" w:space="0" w:color="auto"/>
            <w:bottom w:val="none" w:sz="0" w:space="0" w:color="auto"/>
            <w:right w:val="none" w:sz="0" w:space="0" w:color="auto"/>
          </w:divBdr>
          <w:divsChild>
            <w:div w:id="1889487925">
              <w:marLeft w:val="0"/>
              <w:marRight w:val="0"/>
              <w:marTop w:val="0"/>
              <w:marBottom w:val="0"/>
              <w:divBdr>
                <w:top w:val="none" w:sz="0" w:space="0" w:color="auto"/>
                <w:left w:val="none" w:sz="0" w:space="0" w:color="auto"/>
                <w:bottom w:val="none" w:sz="0" w:space="0" w:color="auto"/>
                <w:right w:val="none" w:sz="0" w:space="0" w:color="auto"/>
              </w:divBdr>
              <w:divsChild>
                <w:div w:id="888684842">
                  <w:marLeft w:val="0"/>
                  <w:marRight w:val="0"/>
                  <w:marTop w:val="0"/>
                  <w:marBottom w:val="0"/>
                  <w:divBdr>
                    <w:top w:val="none" w:sz="0" w:space="0" w:color="auto"/>
                    <w:left w:val="none" w:sz="0" w:space="0" w:color="auto"/>
                    <w:bottom w:val="none" w:sz="0" w:space="0" w:color="auto"/>
                    <w:right w:val="none" w:sz="0" w:space="0" w:color="auto"/>
                  </w:divBdr>
                  <w:divsChild>
                    <w:div w:id="1946309566">
                      <w:marLeft w:val="0"/>
                      <w:marRight w:val="0"/>
                      <w:marTop w:val="0"/>
                      <w:marBottom w:val="0"/>
                      <w:divBdr>
                        <w:top w:val="none" w:sz="0" w:space="0" w:color="auto"/>
                        <w:left w:val="none" w:sz="0" w:space="0" w:color="auto"/>
                        <w:bottom w:val="none" w:sz="0" w:space="0" w:color="auto"/>
                        <w:right w:val="none" w:sz="0" w:space="0" w:color="auto"/>
                      </w:divBdr>
                      <w:divsChild>
                        <w:div w:id="140080052">
                          <w:marLeft w:val="0"/>
                          <w:marRight w:val="0"/>
                          <w:marTop w:val="0"/>
                          <w:marBottom w:val="0"/>
                          <w:divBdr>
                            <w:top w:val="none" w:sz="0" w:space="0" w:color="auto"/>
                            <w:left w:val="none" w:sz="0" w:space="0" w:color="auto"/>
                            <w:bottom w:val="none" w:sz="0" w:space="0" w:color="auto"/>
                            <w:right w:val="none" w:sz="0" w:space="0" w:color="auto"/>
                          </w:divBdr>
                          <w:divsChild>
                            <w:div w:id="1041441481">
                              <w:marLeft w:val="0"/>
                              <w:marRight w:val="0"/>
                              <w:marTop w:val="0"/>
                              <w:marBottom w:val="0"/>
                              <w:divBdr>
                                <w:top w:val="none" w:sz="0" w:space="0" w:color="auto"/>
                                <w:left w:val="none" w:sz="0" w:space="0" w:color="auto"/>
                                <w:bottom w:val="none" w:sz="0" w:space="0" w:color="auto"/>
                                <w:right w:val="none" w:sz="0" w:space="0" w:color="auto"/>
                              </w:divBdr>
                              <w:divsChild>
                                <w:div w:id="142954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823046">
      <w:bodyDiv w:val="1"/>
      <w:marLeft w:val="0"/>
      <w:marRight w:val="0"/>
      <w:marTop w:val="0"/>
      <w:marBottom w:val="0"/>
      <w:divBdr>
        <w:top w:val="none" w:sz="0" w:space="0" w:color="auto"/>
        <w:left w:val="none" w:sz="0" w:space="0" w:color="auto"/>
        <w:bottom w:val="none" w:sz="0" w:space="0" w:color="auto"/>
        <w:right w:val="none" w:sz="0" w:space="0" w:color="auto"/>
      </w:divBdr>
    </w:div>
    <w:div w:id="1142622857">
      <w:bodyDiv w:val="1"/>
      <w:marLeft w:val="0"/>
      <w:marRight w:val="0"/>
      <w:marTop w:val="0"/>
      <w:marBottom w:val="0"/>
      <w:divBdr>
        <w:top w:val="none" w:sz="0" w:space="0" w:color="auto"/>
        <w:left w:val="none" w:sz="0" w:space="0" w:color="auto"/>
        <w:bottom w:val="none" w:sz="0" w:space="0" w:color="auto"/>
        <w:right w:val="none" w:sz="0" w:space="0" w:color="auto"/>
      </w:divBdr>
    </w:div>
    <w:div w:id="1183977519">
      <w:bodyDiv w:val="1"/>
      <w:marLeft w:val="0"/>
      <w:marRight w:val="0"/>
      <w:marTop w:val="0"/>
      <w:marBottom w:val="0"/>
      <w:divBdr>
        <w:top w:val="none" w:sz="0" w:space="0" w:color="auto"/>
        <w:left w:val="none" w:sz="0" w:space="0" w:color="auto"/>
        <w:bottom w:val="none" w:sz="0" w:space="0" w:color="auto"/>
        <w:right w:val="none" w:sz="0" w:space="0" w:color="auto"/>
      </w:divBdr>
    </w:div>
    <w:div w:id="1184709182">
      <w:bodyDiv w:val="1"/>
      <w:marLeft w:val="0"/>
      <w:marRight w:val="0"/>
      <w:marTop w:val="0"/>
      <w:marBottom w:val="0"/>
      <w:divBdr>
        <w:top w:val="none" w:sz="0" w:space="0" w:color="auto"/>
        <w:left w:val="none" w:sz="0" w:space="0" w:color="auto"/>
        <w:bottom w:val="none" w:sz="0" w:space="0" w:color="auto"/>
        <w:right w:val="none" w:sz="0" w:space="0" w:color="auto"/>
      </w:divBdr>
      <w:divsChild>
        <w:div w:id="1292831042">
          <w:marLeft w:val="0"/>
          <w:marRight w:val="0"/>
          <w:marTop w:val="0"/>
          <w:marBottom w:val="0"/>
          <w:divBdr>
            <w:top w:val="none" w:sz="0" w:space="0" w:color="auto"/>
            <w:left w:val="none" w:sz="0" w:space="0" w:color="auto"/>
            <w:bottom w:val="none" w:sz="0" w:space="0" w:color="auto"/>
            <w:right w:val="none" w:sz="0" w:space="0" w:color="auto"/>
          </w:divBdr>
          <w:divsChild>
            <w:div w:id="1375159022">
              <w:marLeft w:val="0"/>
              <w:marRight w:val="0"/>
              <w:marTop w:val="0"/>
              <w:marBottom w:val="0"/>
              <w:divBdr>
                <w:top w:val="none" w:sz="0" w:space="0" w:color="auto"/>
                <w:left w:val="none" w:sz="0" w:space="0" w:color="auto"/>
                <w:bottom w:val="none" w:sz="0" w:space="0" w:color="auto"/>
                <w:right w:val="none" w:sz="0" w:space="0" w:color="auto"/>
              </w:divBdr>
              <w:divsChild>
                <w:div w:id="438137583">
                  <w:marLeft w:val="0"/>
                  <w:marRight w:val="0"/>
                  <w:marTop w:val="0"/>
                  <w:marBottom w:val="0"/>
                  <w:divBdr>
                    <w:top w:val="none" w:sz="0" w:space="0" w:color="auto"/>
                    <w:left w:val="none" w:sz="0" w:space="0" w:color="auto"/>
                    <w:bottom w:val="none" w:sz="0" w:space="0" w:color="auto"/>
                    <w:right w:val="none" w:sz="0" w:space="0" w:color="auto"/>
                  </w:divBdr>
                  <w:divsChild>
                    <w:div w:id="1854875221">
                      <w:marLeft w:val="0"/>
                      <w:marRight w:val="0"/>
                      <w:marTop w:val="0"/>
                      <w:marBottom w:val="0"/>
                      <w:divBdr>
                        <w:top w:val="none" w:sz="0" w:space="0" w:color="auto"/>
                        <w:left w:val="none" w:sz="0" w:space="0" w:color="auto"/>
                        <w:bottom w:val="none" w:sz="0" w:space="0" w:color="auto"/>
                        <w:right w:val="none" w:sz="0" w:space="0" w:color="auto"/>
                      </w:divBdr>
                      <w:divsChild>
                        <w:div w:id="795753866">
                          <w:marLeft w:val="0"/>
                          <w:marRight w:val="0"/>
                          <w:marTop w:val="0"/>
                          <w:marBottom w:val="0"/>
                          <w:divBdr>
                            <w:top w:val="none" w:sz="0" w:space="0" w:color="auto"/>
                            <w:left w:val="none" w:sz="0" w:space="0" w:color="auto"/>
                            <w:bottom w:val="none" w:sz="0" w:space="0" w:color="auto"/>
                            <w:right w:val="none" w:sz="0" w:space="0" w:color="auto"/>
                          </w:divBdr>
                          <w:divsChild>
                            <w:div w:id="1418940499">
                              <w:marLeft w:val="0"/>
                              <w:marRight w:val="0"/>
                              <w:marTop w:val="0"/>
                              <w:marBottom w:val="0"/>
                              <w:divBdr>
                                <w:top w:val="none" w:sz="0" w:space="0" w:color="auto"/>
                                <w:left w:val="none" w:sz="0" w:space="0" w:color="auto"/>
                                <w:bottom w:val="none" w:sz="0" w:space="0" w:color="auto"/>
                                <w:right w:val="none" w:sz="0" w:space="0" w:color="auto"/>
                              </w:divBdr>
                              <w:divsChild>
                                <w:div w:id="200751297">
                                  <w:marLeft w:val="0"/>
                                  <w:marRight w:val="0"/>
                                  <w:marTop w:val="0"/>
                                  <w:marBottom w:val="0"/>
                                  <w:divBdr>
                                    <w:top w:val="none" w:sz="0" w:space="0" w:color="auto"/>
                                    <w:left w:val="none" w:sz="0" w:space="0" w:color="auto"/>
                                    <w:bottom w:val="none" w:sz="0" w:space="0" w:color="auto"/>
                                    <w:right w:val="none" w:sz="0" w:space="0" w:color="auto"/>
                                  </w:divBdr>
                                  <w:divsChild>
                                    <w:div w:id="1536694148">
                                      <w:marLeft w:val="0"/>
                                      <w:marRight w:val="0"/>
                                      <w:marTop w:val="0"/>
                                      <w:marBottom w:val="0"/>
                                      <w:divBdr>
                                        <w:top w:val="none" w:sz="0" w:space="0" w:color="auto"/>
                                        <w:left w:val="none" w:sz="0" w:space="0" w:color="auto"/>
                                        <w:bottom w:val="none" w:sz="0" w:space="0" w:color="auto"/>
                                        <w:right w:val="none" w:sz="0" w:space="0" w:color="auto"/>
                                      </w:divBdr>
                                    </w:div>
                                    <w:div w:id="7495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100902">
      <w:bodyDiv w:val="1"/>
      <w:marLeft w:val="0"/>
      <w:marRight w:val="0"/>
      <w:marTop w:val="0"/>
      <w:marBottom w:val="0"/>
      <w:divBdr>
        <w:top w:val="none" w:sz="0" w:space="0" w:color="auto"/>
        <w:left w:val="none" w:sz="0" w:space="0" w:color="auto"/>
        <w:bottom w:val="none" w:sz="0" w:space="0" w:color="auto"/>
        <w:right w:val="none" w:sz="0" w:space="0" w:color="auto"/>
      </w:divBdr>
    </w:div>
    <w:div w:id="1296957773">
      <w:bodyDiv w:val="1"/>
      <w:marLeft w:val="0"/>
      <w:marRight w:val="0"/>
      <w:marTop w:val="0"/>
      <w:marBottom w:val="0"/>
      <w:divBdr>
        <w:top w:val="none" w:sz="0" w:space="0" w:color="auto"/>
        <w:left w:val="none" w:sz="0" w:space="0" w:color="auto"/>
        <w:bottom w:val="none" w:sz="0" w:space="0" w:color="auto"/>
        <w:right w:val="none" w:sz="0" w:space="0" w:color="auto"/>
      </w:divBdr>
    </w:div>
    <w:div w:id="1339042637">
      <w:bodyDiv w:val="1"/>
      <w:marLeft w:val="0"/>
      <w:marRight w:val="0"/>
      <w:marTop w:val="0"/>
      <w:marBottom w:val="0"/>
      <w:divBdr>
        <w:top w:val="none" w:sz="0" w:space="0" w:color="auto"/>
        <w:left w:val="none" w:sz="0" w:space="0" w:color="auto"/>
        <w:bottom w:val="none" w:sz="0" w:space="0" w:color="auto"/>
        <w:right w:val="none" w:sz="0" w:space="0" w:color="auto"/>
      </w:divBdr>
    </w:div>
    <w:div w:id="1359045607">
      <w:bodyDiv w:val="1"/>
      <w:marLeft w:val="0"/>
      <w:marRight w:val="0"/>
      <w:marTop w:val="0"/>
      <w:marBottom w:val="0"/>
      <w:divBdr>
        <w:top w:val="none" w:sz="0" w:space="0" w:color="auto"/>
        <w:left w:val="none" w:sz="0" w:space="0" w:color="auto"/>
        <w:bottom w:val="none" w:sz="0" w:space="0" w:color="auto"/>
        <w:right w:val="none" w:sz="0" w:space="0" w:color="auto"/>
      </w:divBdr>
      <w:divsChild>
        <w:div w:id="832993434">
          <w:marLeft w:val="0"/>
          <w:marRight w:val="0"/>
          <w:marTop w:val="0"/>
          <w:marBottom w:val="0"/>
          <w:divBdr>
            <w:top w:val="none" w:sz="0" w:space="0" w:color="auto"/>
            <w:left w:val="none" w:sz="0" w:space="0" w:color="auto"/>
            <w:bottom w:val="none" w:sz="0" w:space="0" w:color="auto"/>
            <w:right w:val="none" w:sz="0" w:space="0" w:color="auto"/>
          </w:divBdr>
          <w:divsChild>
            <w:div w:id="896431510">
              <w:marLeft w:val="0"/>
              <w:marRight w:val="0"/>
              <w:marTop w:val="0"/>
              <w:marBottom w:val="0"/>
              <w:divBdr>
                <w:top w:val="none" w:sz="0" w:space="0" w:color="auto"/>
                <w:left w:val="none" w:sz="0" w:space="0" w:color="auto"/>
                <w:bottom w:val="none" w:sz="0" w:space="0" w:color="auto"/>
                <w:right w:val="none" w:sz="0" w:space="0" w:color="auto"/>
              </w:divBdr>
              <w:divsChild>
                <w:div w:id="1418213398">
                  <w:marLeft w:val="0"/>
                  <w:marRight w:val="0"/>
                  <w:marTop w:val="0"/>
                  <w:marBottom w:val="0"/>
                  <w:divBdr>
                    <w:top w:val="none" w:sz="0" w:space="0" w:color="auto"/>
                    <w:left w:val="none" w:sz="0" w:space="0" w:color="auto"/>
                    <w:bottom w:val="none" w:sz="0" w:space="0" w:color="auto"/>
                    <w:right w:val="none" w:sz="0" w:space="0" w:color="auto"/>
                  </w:divBdr>
                  <w:divsChild>
                    <w:div w:id="1982808121">
                      <w:marLeft w:val="0"/>
                      <w:marRight w:val="0"/>
                      <w:marTop w:val="0"/>
                      <w:marBottom w:val="0"/>
                      <w:divBdr>
                        <w:top w:val="none" w:sz="0" w:space="0" w:color="auto"/>
                        <w:left w:val="none" w:sz="0" w:space="0" w:color="auto"/>
                        <w:bottom w:val="none" w:sz="0" w:space="0" w:color="auto"/>
                        <w:right w:val="none" w:sz="0" w:space="0" w:color="auto"/>
                      </w:divBdr>
                      <w:divsChild>
                        <w:div w:id="125856625">
                          <w:marLeft w:val="0"/>
                          <w:marRight w:val="0"/>
                          <w:marTop w:val="0"/>
                          <w:marBottom w:val="0"/>
                          <w:divBdr>
                            <w:top w:val="none" w:sz="0" w:space="0" w:color="auto"/>
                            <w:left w:val="none" w:sz="0" w:space="0" w:color="auto"/>
                            <w:bottom w:val="none" w:sz="0" w:space="0" w:color="auto"/>
                            <w:right w:val="none" w:sz="0" w:space="0" w:color="auto"/>
                          </w:divBdr>
                          <w:divsChild>
                            <w:div w:id="2049521551">
                              <w:marLeft w:val="0"/>
                              <w:marRight w:val="0"/>
                              <w:marTop w:val="0"/>
                              <w:marBottom w:val="0"/>
                              <w:divBdr>
                                <w:top w:val="none" w:sz="0" w:space="0" w:color="auto"/>
                                <w:left w:val="none" w:sz="0" w:space="0" w:color="auto"/>
                                <w:bottom w:val="none" w:sz="0" w:space="0" w:color="auto"/>
                                <w:right w:val="none" w:sz="0" w:space="0" w:color="auto"/>
                              </w:divBdr>
                              <w:divsChild>
                                <w:div w:id="102113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318345">
      <w:bodyDiv w:val="1"/>
      <w:marLeft w:val="0"/>
      <w:marRight w:val="0"/>
      <w:marTop w:val="0"/>
      <w:marBottom w:val="0"/>
      <w:divBdr>
        <w:top w:val="none" w:sz="0" w:space="0" w:color="auto"/>
        <w:left w:val="none" w:sz="0" w:space="0" w:color="auto"/>
        <w:bottom w:val="none" w:sz="0" w:space="0" w:color="auto"/>
        <w:right w:val="none" w:sz="0" w:space="0" w:color="auto"/>
      </w:divBdr>
    </w:div>
    <w:div w:id="1473711922">
      <w:bodyDiv w:val="1"/>
      <w:marLeft w:val="0"/>
      <w:marRight w:val="0"/>
      <w:marTop w:val="0"/>
      <w:marBottom w:val="0"/>
      <w:divBdr>
        <w:top w:val="none" w:sz="0" w:space="0" w:color="auto"/>
        <w:left w:val="none" w:sz="0" w:space="0" w:color="auto"/>
        <w:bottom w:val="none" w:sz="0" w:space="0" w:color="auto"/>
        <w:right w:val="none" w:sz="0" w:space="0" w:color="auto"/>
      </w:divBdr>
    </w:div>
    <w:div w:id="1521775361">
      <w:bodyDiv w:val="1"/>
      <w:marLeft w:val="0"/>
      <w:marRight w:val="0"/>
      <w:marTop w:val="0"/>
      <w:marBottom w:val="0"/>
      <w:divBdr>
        <w:top w:val="none" w:sz="0" w:space="0" w:color="auto"/>
        <w:left w:val="none" w:sz="0" w:space="0" w:color="auto"/>
        <w:bottom w:val="none" w:sz="0" w:space="0" w:color="auto"/>
        <w:right w:val="none" w:sz="0" w:space="0" w:color="auto"/>
      </w:divBdr>
    </w:div>
    <w:div w:id="1553732891">
      <w:bodyDiv w:val="1"/>
      <w:marLeft w:val="0"/>
      <w:marRight w:val="0"/>
      <w:marTop w:val="0"/>
      <w:marBottom w:val="0"/>
      <w:divBdr>
        <w:top w:val="none" w:sz="0" w:space="0" w:color="auto"/>
        <w:left w:val="none" w:sz="0" w:space="0" w:color="auto"/>
        <w:bottom w:val="none" w:sz="0" w:space="0" w:color="auto"/>
        <w:right w:val="none" w:sz="0" w:space="0" w:color="auto"/>
      </w:divBdr>
    </w:div>
    <w:div w:id="1648973600">
      <w:bodyDiv w:val="1"/>
      <w:marLeft w:val="0"/>
      <w:marRight w:val="0"/>
      <w:marTop w:val="0"/>
      <w:marBottom w:val="0"/>
      <w:divBdr>
        <w:top w:val="none" w:sz="0" w:space="0" w:color="auto"/>
        <w:left w:val="none" w:sz="0" w:space="0" w:color="auto"/>
        <w:bottom w:val="none" w:sz="0" w:space="0" w:color="auto"/>
        <w:right w:val="none" w:sz="0" w:space="0" w:color="auto"/>
      </w:divBdr>
    </w:div>
    <w:div w:id="1662469817">
      <w:bodyDiv w:val="1"/>
      <w:marLeft w:val="0"/>
      <w:marRight w:val="0"/>
      <w:marTop w:val="0"/>
      <w:marBottom w:val="0"/>
      <w:divBdr>
        <w:top w:val="none" w:sz="0" w:space="0" w:color="auto"/>
        <w:left w:val="none" w:sz="0" w:space="0" w:color="auto"/>
        <w:bottom w:val="none" w:sz="0" w:space="0" w:color="auto"/>
        <w:right w:val="none" w:sz="0" w:space="0" w:color="auto"/>
      </w:divBdr>
    </w:div>
    <w:div w:id="1689478070">
      <w:bodyDiv w:val="1"/>
      <w:marLeft w:val="0"/>
      <w:marRight w:val="0"/>
      <w:marTop w:val="0"/>
      <w:marBottom w:val="0"/>
      <w:divBdr>
        <w:top w:val="none" w:sz="0" w:space="0" w:color="auto"/>
        <w:left w:val="none" w:sz="0" w:space="0" w:color="auto"/>
        <w:bottom w:val="none" w:sz="0" w:space="0" w:color="auto"/>
        <w:right w:val="none" w:sz="0" w:space="0" w:color="auto"/>
      </w:divBdr>
      <w:divsChild>
        <w:div w:id="2054957795">
          <w:marLeft w:val="0"/>
          <w:marRight w:val="0"/>
          <w:marTop w:val="0"/>
          <w:marBottom w:val="0"/>
          <w:divBdr>
            <w:top w:val="none" w:sz="0" w:space="0" w:color="auto"/>
            <w:left w:val="none" w:sz="0" w:space="0" w:color="auto"/>
            <w:bottom w:val="none" w:sz="0" w:space="0" w:color="auto"/>
            <w:right w:val="none" w:sz="0" w:space="0" w:color="auto"/>
          </w:divBdr>
          <w:divsChild>
            <w:div w:id="464812807">
              <w:marLeft w:val="0"/>
              <w:marRight w:val="0"/>
              <w:marTop w:val="0"/>
              <w:marBottom w:val="0"/>
              <w:divBdr>
                <w:top w:val="none" w:sz="0" w:space="0" w:color="auto"/>
                <w:left w:val="none" w:sz="0" w:space="0" w:color="auto"/>
                <w:bottom w:val="none" w:sz="0" w:space="0" w:color="auto"/>
                <w:right w:val="none" w:sz="0" w:space="0" w:color="auto"/>
              </w:divBdr>
              <w:divsChild>
                <w:div w:id="1902137263">
                  <w:marLeft w:val="0"/>
                  <w:marRight w:val="0"/>
                  <w:marTop w:val="0"/>
                  <w:marBottom w:val="300"/>
                  <w:divBdr>
                    <w:top w:val="none" w:sz="0" w:space="0" w:color="auto"/>
                    <w:left w:val="none" w:sz="0" w:space="0" w:color="auto"/>
                    <w:bottom w:val="none" w:sz="0" w:space="0" w:color="auto"/>
                    <w:right w:val="none" w:sz="0" w:space="0" w:color="auto"/>
                  </w:divBdr>
                  <w:divsChild>
                    <w:div w:id="1089886127">
                      <w:marLeft w:val="-225"/>
                      <w:marRight w:val="-225"/>
                      <w:marTop w:val="0"/>
                      <w:marBottom w:val="0"/>
                      <w:divBdr>
                        <w:top w:val="none" w:sz="0" w:space="0" w:color="auto"/>
                        <w:left w:val="none" w:sz="0" w:space="0" w:color="auto"/>
                        <w:bottom w:val="none" w:sz="0" w:space="0" w:color="auto"/>
                        <w:right w:val="none" w:sz="0" w:space="0" w:color="auto"/>
                      </w:divBdr>
                      <w:divsChild>
                        <w:div w:id="1847548235">
                          <w:marLeft w:val="0"/>
                          <w:marRight w:val="0"/>
                          <w:marTop w:val="0"/>
                          <w:marBottom w:val="0"/>
                          <w:divBdr>
                            <w:top w:val="none" w:sz="0" w:space="0" w:color="auto"/>
                            <w:left w:val="none" w:sz="0" w:space="0" w:color="auto"/>
                            <w:bottom w:val="none" w:sz="0" w:space="0" w:color="auto"/>
                            <w:right w:val="none" w:sz="0" w:space="0" w:color="auto"/>
                          </w:divBdr>
                          <w:divsChild>
                            <w:div w:id="21102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310796">
      <w:bodyDiv w:val="1"/>
      <w:marLeft w:val="0"/>
      <w:marRight w:val="0"/>
      <w:marTop w:val="0"/>
      <w:marBottom w:val="0"/>
      <w:divBdr>
        <w:top w:val="none" w:sz="0" w:space="0" w:color="auto"/>
        <w:left w:val="none" w:sz="0" w:space="0" w:color="auto"/>
        <w:bottom w:val="none" w:sz="0" w:space="0" w:color="auto"/>
        <w:right w:val="none" w:sz="0" w:space="0" w:color="auto"/>
      </w:divBdr>
      <w:divsChild>
        <w:div w:id="647394218">
          <w:marLeft w:val="0"/>
          <w:marRight w:val="0"/>
          <w:marTop w:val="0"/>
          <w:marBottom w:val="0"/>
          <w:divBdr>
            <w:top w:val="none" w:sz="0" w:space="0" w:color="auto"/>
            <w:left w:val="none" w:sz="0" w:space="0" w:color="auto"/>
            <w:bottom w:val="none" w:sz="0" w:space="0" w:color="auto"/>
            <w:right w:val="none" w:sz="0" w:space="0" w:color="auto"/>
          </w:divBdr>
          <w:divsChild>
            <w:div w:id="636256232">
              <w:marLeft w:val="0"/>
              <w:marRight w:val="0"/>
              <w:marTop w:val="0"/>
              <w:marBottom w:val="0"/>
              <w:divBdr>
                <w:top w:val="none" w:sz="0" w:space="0" w:color="auto"/>
                <w:left w:val="none" w:sz="0" w:space="0" w:color="auto"/>
                <w:bottom w:val="none" w:sz="0" w:space="0" w:color="auto"/>
                <w:right w:val="none" w:sz="0" w:space="0" w:color="auto"/>
              </w:divBdr>
              <w:divsChild>
                <w:div w:id="1526556440">
                  <w:marLeft w:val="0"/>
                  <w:marRight w:val="0"/>
                  <w:marTop w:val="0"/>
                  <w:marBottom w:val="0"/>
                  <w:divBdr>
                    <w:top w:val="none" w:sz="0" w:space="0" w:color="auto"/>
                    <w:left w:val="none" w:sz="0" w:space="0" w:color="auto"/>
                    <w:bottom w:val="none" w:sz="0" w:space="0" w:color="auto"/>
                    <w:right w:val="none" w:sz="0" w:space="0" w:color="auto"/>
                  </w:divBdr>
                  <w:divsChild>
                    <w:div w:id="1718360458">
                      <w:marLeft w:val="0"/>
                      <w:marRight w:val="0"/>
                      <w:marTop w:val="0"/>
                      <w:marBottom w:val="0"/>
                      <w:divBdr>
                        <w:top w:val="none" w:sz="0" w:space="0" w:color="auto"/>
                        <w:left w:val="none" w:sz="0" w:space="0" w:color="auto"/>
                        <w:bottom w:val="none" w:sz="0" w:space="0" w:color="auto"/>
                        <w:right w:val="none" w:sz="0" w:space="0" w:color="auto"/>
                      </w:divBdr>
                      <w:divsChild>
                        <w:div w:id="1891921980">
                          <w:marLeft w:val="0"/>
                          <w:marRight w:val="0"/>
                          <w:marTop w:val="0"/>
                          <w:marBottom w:val="0"/>
                          <w:divBdr>
                            <w:top w:val="none" w:sz="0" w:space="0" w:color="auto"/>
                            <w:left w:val="none" w:sz="0" w:space="0" w:color="auto"/>
                            <w:bottom w:val="none" w:sz="0" w:space="0" w:color="auto"/>
                            <w:right w:val="none" w:sz="0" w:space="0" w:color="auto"/>
                          </w:divBdr>
                          <w:divsChild>
                            <w:div w:id="403187948">
                              <w:marLeft w:val="0"/>
                              <w:marRight w:val="0"/>
                              <w:marTop w:val="0"/>
                              <w:marBottom w:val="0"/>
                              <w:divBdr>
                                <w:top w:val="none" w:sz="0" w:space="0" w:color="auto"/>
                                <w:left w:val="none" w:sz="0" w:space="0" w:color="auto"/>
                                <w:bottom w:val="none" w:sz="0" w:space="0" w:color="auto"/>
                                <w:right w:val="none" w:sz="0" w:space="0" w:color="auto"/>
                              </w:divBdr>
                              <w:divsChild>
                                <w:div w:id="960646657">
                                  <w:marLeft w:val="0"/>
                                  <w:marRight w:val="0"/>
                                  <w:marTop w:val="0"/>
                                  <w:marBottom w:val="0"/>
                                  <w:divBdr>
                                    <w:top w:val="none" w:sz="0" w:space="0" w:color="auto"/>
                                    <w:left w:val="none" w:sz="0" w:space="0" w:color="auto"/>
                                    <w:bottom w:val="none" w:sz="0" w:space="0" w:color="auto"/>
                                    <w:right w:val="none" w:sz="0" w:space="0" w:color="auto"/>
                                  </w:divBdr>
                                  <w:divsChild>
                                    <w:div w:id="1487161789">
                                      <w:marLeft w:val="0"/>
                                      <w:marRight w:val="0"/>
                                      <w:marTop w:val="0"/>
                                      <w:marBottom w:val="0"/>
                                      <w:divBdr>
                                        <w:top w:val="none" w:sz="0" w:space="0" w:color="auto"/>
                                        <w:left w:val="none" w:sz="0" w:space="0" w:color="auto"/>
                                        <w:bottom w:val="none" w:sz="0" w:space="0" w:color="auto"/>
                                        <w:right w:val="none" w:sz="0" w:space="0" w:color="auto"/>
                                      </w:divBdr>
                                    </w:div>
                                    <w:div w:id="5216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4976">
      <w:bodyDiv w:val="1"/>
      <w:marLeft w:val="0"/>
      <w:marRight w:val="0"/>
      <w:marTop w:val="0"/>
      <w:marBottom w:val="0"/>
      <w:divBdr>
        <w:top w:val="none" w:sz="0" w:space="0" w:color="auto"/>
        <w:left w:val="none" w:sz="0" w:space="0" w:color="auto"/>
        <w:bottom w:val="none" w:sz="0" w:space="0" w:color="auto"/>
        <w:right w:val="none" w:sz="0" w:space="0" w:color="auto"/>
      </w:divBdr>
    </w:div>
    <w:div w:id="1773355382">
      <w:bodyDiv w:val="1"/>
      <w:marLeft w:val="0"/>
      <w:marRight w:val="0"/>
      <w:marTop w:val="0"/>
      <w:marBottom w:val="0"/>
      <w:divBdr>
        <w:top w:val="none" w:sz="0" w:space="0" w:color="auto"/>
        <w:left w:val="none" w:sz="0" w:space="0" w:color="auto"/>
        <w:bottom w:val="none" w:sz="0" w:space="0" w:color="auto"/>
        <w:right w:val="none" w:sz="0" w:space="0" w:color="auto"/>
      </w:divBdr>
    </w:div>
    <w:div w:id="1826047972">
      <w:bodyDiv w:val="1"/>
      <w:marLeft w:val="0"/>
      <w:marRight w:val="0"/>
      <w:marTop w:val="0"/>
      <w:marBottom w:val="0"/>
      <w:divBdr>
        <w:top w:val="none" w:sz="0" w:space="0" w:color="auto"/>
        <w:left w:val="none" w:sz="0" w:space="0" w:color="auto"/>
        <w:bottom w:val="none" w:sz="0" w:space="0" w:color="auto"/>
        <w:right w:val="none" w:sz="0" w:space="0" w:color="auto"/>
      </w:divBdr>
    </w:div>
    <w:div w:id="1915891666">
      <w:bodyDiv w:val="1"/>
      <w:marLeft w:val="0"/>
      <w:marRight w:val="0"/>
      <w:marTop w:val="0"/>
      <w:marBottom w:val="0"/>
      <w:divBdr>
        <w:top w:val="none" w:sz="0" w:space="0" w:color="auto"/>
        <w:left w:val="none" w:sz="0" w:space="0" w:color="auto"/>
        <w:bottom w:val="none" w:sz="0" w:space="0" w:color="auto"/>
        <w:right w:val="none" w:sz="0" w:space="0" w:color="auto"/>
      </w:divBdr>
    </w:div>
    <w:div w:id="1955743306">
      <w:bodyDiv w:val="1"/>
      <w:marLeft w:val="0"/>
      <w:marRight w:val="0"/>
      <w:marTop w:val="0"/>
      <w:marBottom w:val="0"/>
      <w:divBdr>
        <w:top w:val="none" w:sz="0" w:space="0" w:color="auto"/>
        <w:left w:val="none" w:sz="0" w:space="0" w:color="auto"/>
        <w:bottom w:val="none" w:sz="0" w:space="0" w:color="auto"/>
        <w:right w:val="none" w:sz="0" w:space="0" w:color="auto"/>
      </w:divBdr>
    </w:div>
    <w:div w:id="2082830805">
      <w:bodyDiv w:val="1"/>
      <w:marLeft w:val="0"/>
      <w:marRight w:val="0"/>
      <w:marTop w:val="0"/>
      <w:marBottom w:val="0"/>
      <w:divBdr>
        <w:top w:val="none" w:sz="0" w:space="0" w:color="auto"/>
        <w:left w:val="none" w:sz="0" w:space="0" w:color="auto"/>
        <w:bottom w:val="none" w:sz="0" w:space="0" w:color="auto"/>
        <w:right w:val="none" w:sz="0" w:space="0" w:color="auto"/>
      </w:divBdr>
      <w:divsChild>
        <w:div w:id="1822767645">
          <w:marLeft w:val="0"/>
          <w:marRight w:val="0"/>
          <w:marTop w:val="0"/>
          <w:marBottom w:val="0"/>
          <w:divBdr>
            <w:top w:val="none" w:sz="0" w:space="0" w:color="auto"/>
            <w:left w:val="none" w:sz="0" w:space="0" w:color="auto"/>
            <w:bottom w:val="none" w:sz="0" w:space="0" w:color="auto"/>
            <w:right w:val="none" w:sz="0" w:space="0" w:color="auto"/>
          </w:divBdr>
          <w:divsChild>
            <w:div w:id="245193747">
              <w:marLeft w:val="0"/>
              <w:marRight w:val="0"/>
              <w:marTop w:val="0"/>
              <w:marBottom w:val="0"/>
              <w:divBdr>
                <w:top w:val="none" w:sz="0" w:space="0" w:color="auto"/>
                <w:left w:val="none" w:sz="0" w:space="0" w:color="auto"/>
                <w:bottom w:val="none" w:sz="0" w:space="0" w:color="auto"/>
                <w:right w:val="none" w:sz="0" w:space="0" w:color="auto"/>
              </w:divBdr>
              <w:divsChild>
                <w:div w:id="1687169821">
                  <w:marLeft w:val="0"/>
                  <w:marRight w:val="0"/>
                  <w:marTop w:val="0"/>
                  <w:marBottom w:val="0"/>
                  <w:divBdr>
                    <w:top w:val="none" w:sz="0" w:space="0" w:color="auto"/>
                    <w:left w:val="none" w:sz="0" w:space="0" w:color="auto"/>
                    <w:bottom w:val="none" w:sz="0" w:space="0" w:color="auto"/>
                    <w:right w:val="none" w:sz="0" w:space="0" w:color="auto"/>
                  </w:divBdr>
                  <w:divsChild>
                    <w:div w:id="1791171145">
                      <w:marLeft w:val="0"/>
                      <w:marRight w:val="0"/>
                      <w:marTop w:val="0"/>
                      <w:marBottom w:val="0"/>
                      <w:divBdr>
                        <w:top w:val="none" w:sz="0" w:space="0" w:color="auto"/>
                        <w:left w:val="none" w:sz="0" w:space="0" w:color="auto"/>
                        <w:bottom w:val="none" w:sz="0" w:space="0" w:color="auto"/>
                        <w:right w:val="none" w:sz="0" w:space="0" w:color="auto"/>
                      </w:divBdr>
                      <w:divsChild>
                        <w:div w:id="2087677862">
                          <w:marLeft w:val="0"/>
                          <w:marRight w:val="0"/>
                          <w:marTop w:val="0"/>
                          <w:marBottom w:val="0"/>
                          <w:divBdr>
                            <w:top w:val="none" w:sz="0" w:space="0" w:color="auto"/>
                            <w:left w:val="none" w:sz="0" w:space="0" w:color="auto"/>
                            <w:bottom w:val="none" w:sz="0" w:space="0" w:color="auto"/>
                            <w:right w:val="none" w:sz="0" w:space="0" w:color="auto"/>
                          </w:divBdr>
                          <w:divsChild>
                            <w:div w:id="311443323">
                              <w:marLeft w:val="0"/>
                              <w:marRight w:val="0"/>
                              <w:marTop w:val="0"/>
                              <w:marBottom w:val="0"/>
                              <w:divBdr>
                                <w:top w:val="none" w:sz="0" w:space="0" w:color="auto"/>
                                <w:left w:val="none" w:sz="0" w:space="0" w:color="auto"/>
                                <w:bottom w:val="none" w:sz="0" w:space="0" w:color="auto"/>
                                <w:right w:val="none" w:sz="0" w:space="0" w:color="auto"/>
                              </w:divBdr>
                              <w:divsChild>
                                <w:div w:id="1169557568">
                                  <w:marLeft w:val="0"/>
                                  <w:marRight w:val="0"/>
                                  <w:marTop w:val="0"/>
                                  <w:marBottom w:val="0"/>
                                  <w:divBdr>
                                    <w:top w:val="none" w:sz="0" w:space="0" w:color="auto"/>
                                    <w:left w:val="none" w:sz="0" w:space="0" w:color="auto"/>
                                    <w:bottom w:val="none" w:sz="0" w:space="0" w:color="auto"/>
                                    <w:right w:val="none" w:sz="0" w:space="0" w:color="auto"/>
                                  </w:divBdr>
                                  <w:divsChild>
                                    <w:div w:id="160157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817">
      <w:bodyDiv w:val="1"/>
      <w:marLeft w:val="0"/>
      <w:marRight w:val="0"/>
      <w:marTop w:val="0"/>
      <w:marBottom w:val="0"/>
      <w:divBdr>
        <w:top w:val="none" w:sz="0" w:space="0" w:color="auto"/>
        <w:left w:val="none" w:sz="0" w:space="0" w:color="auto"/>
        <w:bottom w:val="none" w:sz="0" w:space="0" w:color="auto"/>
        <w:right w:val="none" w:sz="0" w:space="0" w:color="auto"/>
      </w:divBdr>
    </w:div>
    <w:div w:id="212746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7.jpeg"/><Relationship Id="rId39" Type="http://schemas.openxmlformats.org/officeDocument/2006/relationships/footer" Target="footer5.xml"/><Relationship Id="rId163" Type="http://schemas.microsoft.com/office/2011/relationships/people" Target="people.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www.eea.europa.eu/data-and-maps/indicators/public-awareness/public-awareness-assessment-published-may-1"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3.xml"/><Relationship Id="rId29" Type="http://schemas.openxmlformats.org/officeDocument/2006/relationships/image" Target="media/image9.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emf"/><Relationship Id="rId32" Type="http://schemas.openxmlformats.org/officeDocument/2006/relationships/image" Target="media/image11.pn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cbd.int/gbo4/" TargetMode="External"/><Relationship Id="rId28" Type="http://schemas.openxmlformats.org/officeDocument/2006/relationships/image" Target="media/image8.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yperlink" Target="http://ec.europa.eu/environment/nature/natura2000/platform/index_en.htm" TargetMode="External"/><Relationship Id="rId16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chart" Target="charts/chart5.xml"/><Relationship Id="rId30" Type="http://schemas.openxmlformats.org/officeDocument/2006/relationships/image" Target="media/image10.png"/><Relationship Id="rId35" Type="http://schemas.openxmlformats.org/officeDocument/2006/relationships/hyperlink" Target="http://natura2000.eea.europa.eu/"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eea.europa.eu/publications/european-waters-assessment-2012" TargetMode="External"/><Relationship Id="rId13" Type="http://schemas.openxmlformats.org/officeDocument/2006/relationships/hyperlink" Target="http://ec.europa.eu/environment/nature/legislation/index_en.htm" TargetMode="External"/><Relationship Id="rId18" Type="http://schemas.openxmlformats.org/officeDocument/2006/relationships/hyperlink" Target="http://www.eea.europa.eu/publications/state-of-nature-in-the-eu" TargetMode="External"/><Relationship Id="rId26" Type="http://schemas.openxmlformats.org/officeDocument/2006/relationships/hyperlink" Target="http://ec.europa.eu/environment/nature/conservation/species/carnivores/coexistence_platform.htm" TargetMode="External"/><Relationship Id="rId3" Type="http://schemas.openxmlformats.org/officeDocument/2006/relationships/hyperlink" Target="http://advances.sciencemag.org/content/1/5/e1400253.full" TargetMode="External"/><Relationship Id="rId21" Type="http://schemas.openxmlformats.org/officeDocument/2006/relationships/hyperlink" Target="http://ec.europa.eu/public_opinion/flash/fl_379_sum_en.pdf" TargetMode="External"/><Relationship Id="rId34" Type="http://schemas.openxmlformats.org/officeDocument/2006/relationships/hyperlink" Target="http://www.eea.europa.eu/highlights/state-of-nature-in-the" TargetMode="External"/><Relationship Id="rId7" Type="http://schemas.openxmlformats.org/officeDocument/2006/relationships/hyperlink" Target="http://www.eea.europa.eu/highlights/state-of-nature-in-the" TargetMode="External"/><Relationship Id="rId12" Type="http://schemas.openxmlformats.org/officeDocument/2006/relationships/hyperlink" Target="http://eur-lex.europa.eu/legal-content/EN/TXT/?uri=COM:2015:219:FIN" TargetMode="External"/><Relationship Id="rId17" Type="http://schemas.openxmlformats.org/officeDocument/2006/relationships/hyperlink" Target="http://www.eea.europa.eu/publications/state-of-nature-in-the-eu" TargetMode="External"/><Relationship Id="rId25" Type="http://schemas.openxmlformats.org/officeDocument/2006/relationships/hyperlink" Target="http://ec.europa.eu/environment/nature/natura2000/marine/index_en.htm" TargetMode="External"/><Relationship Id="rId33" Type="http://schemas.openxmlformats.org/officeDocument/2006/relationships/hyperlink" Target="http://bd.eionet.europa.eu/article12/" TargetMode="External"/><Relationship Id="rId2" Type="http://schemas.openxmlformats.org/officeDocument/2006/relationships/hyperlink" Target="http://reports.weforum.org/global-risks-2015/part-1-global-risks-2015/environment-high-concern-little-progress/" TargetMode="External"/><Relationship Id="rId16" Type="http://schemas.openxmlformats.org/officeDocument/2006/relationships/hyperlink" Target="http://ec.europa.eu/environment/nature/natura2000/barometer/index_en.htm" TargetMode="External"/><Relationship Id="rId20" Type="http://schemas.openxmlformats.org/officeDocument/2006/relationships/hyperlink" Target="http://ec.europa.eu/environment/nature/natura2000/financing/index_en.htm" TargetMode="External"/><Relationship Id="rId29" Type="http://schemas.openxmlformats.org/officeDocument/2006/relationships/hyperlink" Target="http://ec.europa.eu/environment/nature/conservation/wildbirds/illegal_killing.htm" TargetMode="External"/><Relationship Id="rId1" Type="http://schemas.openxmlformats.org/officeDocument/2006/relationships/hyperlink" Target="http://www.teebweb.org/media/2009/11/National-Executive-Summary_-English.pdf" TargetMode="External"/><Relationship Id="rId6" Type="http://schemas.openxmlformats.org/officeDocument/2006/relationships/hyperlink" Target="http://ec.europa.eu/eurostat/statistics-explained/index.php/Land_cover_statistics" TargetMode="External"/><Relationship Id="rId11" Type="http://schemas.openxmlformats.org/officeDocument/2006/relationships/hyperlink" Target="http://www.ieep.eu/assets/955/Economic_Benefits_of_Natura_2000_Network_Synthesis_report.pdf" TargetMode="External"/><Relationship Id="rId24" Type="http://schemas.openxmlformats.org/officeDocument/2006/relationships/hyperlink" Target="http://ec.europa.eu/environment/nature/natura2000/management/guidance_en.htm" TargetMode="External"/><Relationship Id="rId32" Type="http://schemas.openxmlformats.org/officeDocument/2006/relationships/hyperlink" Target="http://art17.eionet.europa.eu/article17/reports2012/" TargetMode="External"/><Relationship Id="rId5" Type="http://schemas.openxmlformats.org/officeDocument/2006/relationships/hyperlink" Target="http://www.eea.europa.eu/highlights/state-of-nature-in-the" TargetMode="External"/><Relationship Id="rId15" Type="http://schemas.openxmlformats.org/officeDocument/2006/relationships/hyperlink" Target="http://www.eea.europa.eu/publications/state-of-nature-in-the-eu" TargetMode="External"/><Relationship Id="rId23" Type="http://schemas.openxmlformats.org/officeDocument/2006/relationships/hyperlink" Target="http://ec.europa.eu/environment/nature/natura2000/awards/index_en.htm" TargetMode="External"/><Relationship Id="rId28" Type="http://schemas.openxmlformats.org/officeDocument/2006/relationships/hyperlink" Target="http://ec.europa.eu/environment/nature/conservation/species/carnivores/promoting_dialogue.htm" TargetMode="External"/><Relationship Id="rId36" Type="http://schemas.openxmlformats.org/officeDocument/2006/relationships/hyperlink" Target="http://www.eea.europa.eu/themes/biodiversity/dc" TargetMode="External"/><Relationship Id="rId10" Type="http://schemas.openxmlformats.org/officeDocument/2006/relationships/hyperlink" Target="http://www.eea.europa.eu/data-and-maps/indicators/ecological-footprint-of-european-countries/ecological-footprint-of-european-countries-2" TargetMode="External"/><Relationship Id="rId19" Type="http://schemas.openxmlformats.org/officeDocument/2006/relationships/hyperlink" Target="http://www.eea.europa.eu/publications/state-of-nature-in-the-eu" TargetMode="External"/><Relationship Id="rId31" Type="http://schemas.openxmlformats.org/officeDocument/2006/relationships/hyperlink" Target="http://bd.eionet.europa.eu/activities/Reporting/Article_12" TargetMode="External"/><Relationship Id="rId4" Type="http://schemas.openxmlformats.org/officeDocument/2006/relationships/hyperlink" Target="http://ec.europa.eu/environment/enveco/economics_policy/pdf/report_sept2011.pdf" TargetMode="External"/><Relationship Id="rId9" Type="http://schemas.openxmlformats.org/officeDocument/2006/relationships/hyperlink" Target="http://journals.plos.org/plosone/article?id=10.1371/journal.pone.0004678" TargetMode="External"/><Relationship Id="rId14" Type="http://schemas.openxmlformats.org/officeDocument/2006/relationships/hyperlink" Target="http://www.eea.europa.eu/publications/protected-areas-in-europe-2012" TargetMode="External"/><Relationship Id="rId22" Type="http://schemas.openxmlformats.org/officeDocument/2006/relationships/hyperlink" Target="http://www.eea.europa.eu/data-and-maps/indicators/public-awareness/public-awareness-assessment-published-may-1" TargetMode="External"/><Relationship Id="rId27" Type="http://schemas.openxmlformats.org/officeDocument/2006/relationships/hyperlink" Target="http://ec.europa.eu/environment/nature/conservation/species/carnivores/pdf/key_actions_large_carnivores_2015.pdf" TargetMode="External"/><Relationship Id="rId30" Type="http://schemas.openxmlformats.org/officeDocument/2006/relationships/hyperlink" Target="http://ec.europa.eu/environment/nature/knowledge/rep_birds/index_en.htm" TargetMode="External"/><Relationship Id="rId35" Type="http://schemas.openxmlformats.org/officeDocument/2006/relationships/hyperlink" Target="http://biodiversity.europa.e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ENV\B\2\31%20BIODIVERSITY\4.%20IMPLEMENTATION\4.3%20EU%202020%20BIODIVERSITY%20STRATEGY\Integrated%20monitoring%20framework\Mid-term%20report%202015\ISC\Graphs\Fig_7_CS_and_trends_habitats.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ENV\B\2\31%20BIODIVERSITY\4.%20IMPLEMENTATION\4.3%20EU%202020%20BIODIVERSITY%20STRATEGY\Integrated%20monitoring%20framework\Mid-term%20report%202015\ISC\Graphs\Common%20Bird_ESTAT_YB2015.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887576552930885"/>
          <c:y val="0.10889911377214768"/>
          <c:w val="0.52389023487448683"/>
          <c:h val="0.39964242855951077"/>
        </c:manualLayout>
      </c:layout>
      <c:pieChart>
        <c:varyColors val="1"/>
        <c:ser>
          <c:idx val="0"/>
          <c:order val="0"/>
          <c:dPt>
            <c:idx val="0"/>
            <c:bubble3D val="0"/>
            <c:spPr>
              <a:solidFill>
                <a:srgbClr val="00B050"/>
              </a:solidFill>
            </c:spPr>
          </c:dPt>
          <c:dPt>
            <c:idx val="1"/>
            <c:bubble3D val="0"/>
            <c:spPr>
              <a:solidFill>
                <a:schemeClr val="accent3">
                  <a:lumMod val="60000"/>
                  <a:lumOff val="40000"/>
                </a:schemeClr>
              </a:solidFill>
            </c:spPr>
          </c:dPt>
          <c:dPt>
            <c:idx val="2"/>
            <c:bubble3D val="0"/>
            <c:spPr>
              <a:solidFill>
                <a:schemeClr val="accent2">
                  <a:lumMod val="60000"/>
                  <a:lumOff val="40000"/>
                </a:schemeClr>
              </a:solidFill>
            </c:spPr>
          </c:dPt>
          <c:dPt>
            <c:idx val="3"/>
            <c:bubble3D val="0"/>
            <c:spPr>
              <a:solidFill>
                <a:schemeClr val="accent2">
                  <a:lumMod val="75000"/>
                </a:schemeClr>
              </a:solidFill>
            </c:spPr>
          </c:dPt>
          <c:dPt>
            <c:idx val="4"/>
            <c:bubble3D val="0"/>
            <c:spPr>
              <a:solidFill>
                <a:schemeClr val="bg1">
                  <a:lumMod val="50000"/>
                </a:schemeClr>
              </a:solidFill>
            </c:spPr>
          </c:dPt>
          <c:dPt>
            <c:idx val="5"/>
            <c:bubble3D val="0"/>
            <c:spPr>
              <a:solidFill>
                <a:schemeClr val="bg1">
                  <a:lumMod val="75000"/>
                </a:schemeClr>
              </a:solidFill>
            </c:spPr>
          </c:dPt>
          <c:dLbls>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0"/>
            <c:showCatName val="0"/>
            <c:showSerName val="0"/>
            <c:showPercent val="1"/>
            <c:showBubbleSize val="0"/>
            <c:showLeaderLines val="0"/>
          </c:dLbls>
          <c:cat>
            <c:strRef>
              <c:f>final_graph!$B$8:$G$8</c:f>
              <c:strCache>
                <c:ptCount val="6"/>
                <c:pt idx="0">
                  <c:v>Favourable</c:v>
                </c:pt>
                <c:pt idx="1">
                  <c:v>Unfavourable-improving</c:v>
                </c:pt>
                <c:pt idx="2">
                  <c:v>Unfavourable-stable</c:v>
                </c:pt>
                <c:pt idx="3">
                  <c:v>Unfavourable-deteriorating</c:v>
                </c:pt>
                <c:pt idx="4">
                  <c:v>Unfavourable-unknown trend</c:v>
                </c:pt>
                <c:pt idx="5">
                  <c:v>Unknown</c:v>
                </c:pt>
              </c:strCache>
            </c:strRef>
          </c:cat>
          <c:val>
            <c:numRef>
              <c:f>final_graph!$B$9:$G$9</c:f>
              <c:numCache>
                <c:formatCode>0</c:formatCode>
                <c:ptCount val="6"/>
                <c:pt idx="0">
                  <c:v>23.114446529080677</c:v>
                </c:pt>
                <c:pt idx="1">
                  <c:v>4.4277673545966225</c:v>
                </c:pt>
                <c:pt idx="2">
                  <c:v>19.624765478424013</c:v>
                </c:pt>
                <c:pt idx="3">
                  <c:v>21.463414634146343</c:v>
                </c:pt>
                <c:pt idx="4">
                  <c:v>14.333958724202628</c:v>
                </c:pt>
                <c:pt idx="5">
                  <c:v>17.035647279549718</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20056026650514838"/>
          <c:y val="0.62138061593156602"/>
          <c:w val="0.5958934952408057"/>
          <c:h val="0.2729912917364547"/>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72975732982185"/>
          <c:y val="7.9327343697422434E-2"/>
          <c:w val="0.61760186820753871"/>
          <c:h val="0.44501162909096348"/>
        </c:manualLayout>
      </c:layout>
      <c:pieChart>
        <c:varyColors val="1"/>
        <c:ser>
          <c:idx val="0"/>
          <c:order val="0"/>
          <c:dPt>
            <c:idx val="0"/>
            <c:bubble3D val="0"/>
            <c:spPr>
              <a:solidFill>
                <a:srgbClr val="00B050"/>
              </a:solidFill>
            </c:spPr>
          </c:dPt>
          <c:dPt>
            <c:idx val="1"/>
            <c:bubble3D val="0"/>
            <c:spPr>
              <a:solidFill>
                <a:schemeClr val="accent3">
                  <a:lumMod val="60000"/>
                  <a:lumOff val="40000"/>
                </a:schemeClr>
              </a:solidFill>
            </c:spPr>
          </c:dPt>
          <c:dPt>
            <c:idx val="2"/>
            <c:bubble3D val="0"/>
            <c:spPr>
              <a:solidFill>
                <a:schemeClr val="accent2">
                  <a:lumMod val="60000"/>
                  <a:lumOff val="40000"/>
                </a:schemeClr>
              </a:solidFill>
            </c:spPr>
          </c:dPt>
          <c:dPt>
            <c:idx val="3"/>
            <c:bubble3D val="0"/>
            <c:spPr>
              <a:solidFill>
                <a:schemeClr val="accent2">
                  <a:lumMod val="75000"/>
                </a:schemeClr>
              </a:solidFill>
            </c:spPr>
          </c:dPt>
          <c:dPt>
            <c:idx val="4"/>
            <c:bubble3D val="0"/>
            <c:spPr>
              <a:solidFill>
                <a:schemeClr val="bg1">
                  <a:lumMod val="50000"/>
                </a:schemeClr>
              </a:solidFill>
            </c:spPr>
          </c:dPt>
          <c:dPt>
            <c:idx val="5"/>
            <c:bubble3D val="0"/>
            <c:spPr>
              <a:solidFill>
                <a:schemeClr val="bg1">
                  <a:lumMod val="75000"/>
                </a:schemeClr>
              </a:solidFill>
            </c:spPr>
          </c:dPt>
          <c:dLbls>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0"/>
            <c:showCatName val="0"/>
            <c:showSerName val="0"/>
            <c:showPercent val="1"/>
            <c:showBubbleSize val="0"/>
            <c:showLeaderLines val="0"/>
          </c:dLbls>
          <c:cat>
            <c:strRef>
              <c:f>[Fig_7_CS_and_trends_habitats.xlsx]final_graph!$B$8:$G$8</c:f>
              <c:strCache>
                <c:ptCount val="6"/>
                <c:pt idx="0">
                  <c:v>Favourable</c:v>
                </c:pt>
                <c:pt idx="1">
                  <c:v>Unfavourable-improving</c:v>
                </c:pt>
                <c:pt idx="2">
                  <c:v>Unfavourable-stable</c:v>
                </c:pt>
                <c:pt idx="3">
                  <c:v>Unfavourable-deteriorating</c:v>
                </c:pt>
                <c:pt idx="4">
                  <c:v>Unfavourable-unknown trend</c:v>
                </c:pt>
                <c:pt idx="5">
                  <c:v>Unknown</c:v>
                </c:pt>
              </c:strCache>
            </c:strRef>
          </c:cat>
          <c:val>
            <c:numRef>
              <c:f>[Fig_7_CS_and_trends_habitats.xlsx]final_graph!$B$9:$G$9</c:f>
              <c:numCache>
                <c:formatCode>0</c:formatCode>
                <c:ptCount val="6"/>
                <c:pt idx="0">
                  <c:v>16.417910447761194</c:v>
                </c:pt>
                <c:pt idx="1">
                  <c:v>4.1044776119402986</c:v>
                </c:pt>
                <c:pt idx="2">
                  <c:v>33.084577114427859</c:v>
                </c:pt>
                <c:pt idx="3">
                  <c:v>30.223880597014922</c:v>
                </c:pt>
                <c:pt idx="4">
                  <c:v>9.4527363184079594</c:v>
                </c:pt>
                <c:pt idx="5">
                  <c:v>6.7164179104477615</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13499675658413421"/>
          <c:y val="0.63564415614449177"/>
          <c:w val="0.70394698761514141"/>
          <c:h val="0.28581627296587925"/>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18926944355427"/>
          <c:y val="6.0252672497570464E-2"/>
          <c:w val="0.75761624442368214"/>
          <c:h val="0.88633303490124948"/>
        </c:manualLayout>
      </c:layout>
      <c:barChart>
        <c:barDir val="bar"/>
        <c:grouping val="stacked"/>
        <c:varyColors val="0"/>
        <c:ser>
          <c:idx val="0"/>
          <c:order val="0"/>
          <c:tx>
            <c:strRef>
              <c:f>'IUCN status all taxa (2)'!$B$1</c:f>
              <c:strCache>
                <c:ptCount val="1"/>
                <c:pt idx="0">
                  <c:v>Threatened</c:v>
                </c:pt>
              </c:strCache>
            </c:strRef>
          </c:tx>
          <c:spPr>
            <a:solidFill>
              <a:srgbClr val="C00000">
                <a:tint val="66000"/>
                <a:satMod val="160000"/>
              </a:srgbClr>
            </a:solidFill>
          </c:spPr>
          <c:invertIfNegative val="0"/>
          <c:dLbls>
            <c:dLbl>
              <c:idx val="0"/>
              <c:layout>
                <c:manualLayout>
                  <c:x val="3.619909846192787E-3"/>
                  <c:y val="0"/>
                </c:manualLayout>
              </c:layout>
              <c:tx>
                <c:rich>
                  <a:bodyPr/>
                  <a:lstStyle/>
                  <a:p>
                    <a:r>
                      <a:rPr lang="en-US" sz="600" b="0">
                        <a:solidFill>
                          <a:sysClr val="windowText" lastClr="000000"/>
                        </a:solidFill>
                      </a:rPr>
                      <a:t>2.5%</a:t>
                    </a:r>
                    <a:endParaRPr lang="en-US"/>
                  </a:p>
                </c:rich>
              </c:tx>
              <c:showLegendKey val="0"/>
              <c:showVal val="1"/>
              <c:showCatName val="0"/>
              <c:showSerName val="0"/>
              <c:showPercent val="0"/>
              <c:showBubbleSize val="0"/>
            </c:dLbl>
            <c:dLbl>
              <c:idx val="8"/>
              <c:tx>
                <c:rich>
                  <a:bodyPr/>
                  <a:lstStyle/>
                  <a:p>
                    <a:r>
                      <a:rPr lang="en-US" sz="600" b="0">
                        <a:solidFill>
                          <a:sysClr val="windowText" lastClr="000000"/>
                        </a:solidFill>
                      </a:rPr>
                      <a:t>18.2%</a:t>
                    </a:r>
                    <a:endParaRPr lang="en-US"/>
                  </a:p>
                </c:rich>
              </c:tx>
              <c:showLegendKey val="0"/>
              <c:showVal val="1"/>
              <c:showCatName val="0"/>
              <c:showSerName val="0"/>
              <c:showPercent val="0"/>
              <c:showBubbleSize val="0"/>
            </c:dLbl>
            <c:dLbl>
              <c:idx val="10"/>
              <c:tx>
                <c:rich>
                  <a:bodyPr/>
                  <a:lstStyle/>
                  <a:p>
                    <a:r>
                      <a:rPr lang="en-US" sz="600" b="0">
                        <a:solidFill>
                          <a:sysClr val="windowText" lastClr="000000"/>
                        </a:solidFill>
                      </a:rPr>
                      <a:t>18.2%</a:t>
                    </a:r>
                    <a:endParaRPr lang="en-US"/>
                  </a:p>
                </c:rich>
              </c:tx>
              <c:showLegendKey val="0"/>
              <c:showVal val="1"/>
              <c:showCatName val="0"/>
              <c:showSerName val="0"/>
              <c:showPercent val="0"/>
              <c:showBubbleSize val="0"/>
            </c:dLbl>
            <c:dLbl>
              <c:idx val="13"/>
              <c:layout>
                <c:manualLayout>
                  <c:x val="1.0744024545781563E-3"/>
                  <c:y val="1.9436345966958213E-3"/>
                </c:manualLayout>
              </c:layout>
              <c:tx>
                <c:rich>
                  <a:bodyPr/>
                  <a:lstStyle/>
                  <a:p>
                    <a:r>
                      <a:rPr lang="en-US" sz="600" b="0">
                        <a:solidFill>
                          <a:sysClr val="windowText" lastClr="000000"/>
                        </a:solidFill>
                      </a:rPr>
                      <a:t>42.8%</a:t>
                    </a:r>
                    <a:endParaRPr lang="en-US"/>
                  </a:p>
                </c:rich>
              </c:tx>
              <c:showLegendKey val="0"/>
              <c:showVal val="1"/>
              <c:showCatName val="0"/>
              <c:showSerName val="0"/>
              <c:showPercent val="0"/>
              <c:showBubbleSize val="0"/>
            </c:dLbl>
            <c:numFmt formatCode="0.0%" sourceLinked="0"/>
            <c:txPr>
              <a:bodyPr/>
              <a:lstStyle/>
              <a:p>
                <a:pPr>
                  <a:defRPr sz="600" b="0">
                    <a:solidFill>
                      <a:sysClr val="windowText" lastClr="000000"/>
                    </a:solidFill>
                  </a:defRPr>
                </a:pPr>
                <a:endParaRPr lang="en-US"/>
              </a:p>
            </c:txPr>
            <c:showLegendKey val="0"/>
            <c:showVal val="1"/>
            <c:showCatName val="0"/>
            <c:showSerName val="0"/>
            <c:showPercent val="0"/>
            <c:showBubbleSize val="0"/>
            <c:showLeaderLines val="0"/>
          </c:dLbls>
          <c:cat>
            <c:strRef>
              <c:f>'IUCN status all taxa (2)'!$A$2:$A$17</c:f>
              <c:strCache>
                <c:ptCount val="16"/>
                <c:pt idx="0">
                  <c:v>Medicinal plants*</c:v>
                </c:pt>
                <c:pt idx="1">
                  <c:v>Aquatic plants*</c:v>
                </c:pt>
                <c:pt idx="2">
                  <c:v>Crop wild relatives*</c:v>
                </c:pt>
                <c:pt idx="3">
                  <c:v>Saproxylic beetles*</c:v>
                </c:pt>
                <c:pt idx="4">
                  <c:v>Terrestrial molluscs*</c:v>
                </c:pt>
                <c:pt idx="6">
                  <c:v>10 Butterflies</c:v>
                </c:pt>
                <c:pt idx="7">
                  <c:v>09 Bees</c:v>
                </c:pt>
                <c:pt idx="8">
                  <c:v>08 Terrestrial mammals</c:v>
                </c:pt>
                <c:pt idx="9">
                  <c:v>07 Dragonflies</c:v>
                </c:pt>
                <c:pt idx="10">
                  <c:v>06 Birds</c:v>
                </c:pt>
                <c:pt idx="11">
                  <c:v>05 Reptiles</c:v>
                </c:pt>
                <c:pt idx="12">
                  <c:v>04 Amphibians</c:v>
                </c:pt>
                <c:pt idx="13">
                  <c:v>03 Freshwater fishes</c:v>
                </c:pt>
                <c:pt idx="14">
                  <c:v>02 Marine mammals</c:v>
                </c:pt>
                <c:pt idx="15">
                  <c:v>01 Freshwater molluscs</c:v>
                </c:pt>
              </c:strCache>
            </c:strRef>
          </c:cat>
          <c:val>
            <c:numRef>
              <c:f>'IUCN status all taxa (2)'!$B$2:$B$17</c:f>
              <c:numCache>
                <c:formatCode>0.000</c:formatCode>
                <c:ptCount val="16"/>
                <c:pt idx="0">
                  <c:v>2.5000000000000001E-2</c:v>
                </c:pt>
                <c:pt idx="1">
                  <c:v>5.3999999999999999E-2</c:v>
                </c:pt>
                <c:pt idx="2">
                  <c:v>0.14399999999999999</c:v>
                </c:pt>
                <c:pt idx="3">
                  <c:v>0.182</c:v>
                </c:pt>
                <c:pt idx="4">
                  <c:v>0.23100000000000001</c:v>
                </c:pt>
                <c:pt idx="6">
                  <c:v>7.1999999999999995E-2</c:v>
                </c:pt>
                <c:pt idx="7">
                  <c:v>9.0999999999999998E-2</c:v>
                </c:pt>
                <c:pt idx="8">
                  <c:v>0.154</c:v>
                </c:pt>
                <c:pt idx="9">
                  <c:v>0.16800000000000001</c:v>
                </c:pt>
                <c:pt idx="10">
                  <c:v>0.182</c:v>
                </c:pt>
                <c:pt idx="11">
                  <c:v>0.214</c:v>
                </c:pt>
                <c:pt idx="12">
                  <c:v>0.22</c:v>
                </c:pt>
                <c:pt idx="13">
                  <c:v>0.42699999999999999</c:v>
                </c:pt>
                <c:pt idx="14">
                  <c:v>0.42799999999999999</c:v>
                </c:pt>
                <c:pt idx="15">
                  <c:v>0.54500000000000004</c:v>
                </c:pt>
              </c:numCache>
            </c:numRef>
          </c:val>
        </c:ser>
        <c:ser>
          <c:idx val="1"/>
          <c:order val="1"/>
          <c:tx>
            <c:strRef>
              <c:f>'IUCN status all taxa (2)'!$C$1</c:f>
              <c:strCache>
                <c:ptCount val="1"/>
                <c:pt idx="0">
                  <c:v>Near Threatened</c:v>
                </c:pt>
              </c:strCache>
            </c:strRef>
          </c:tx>
          <c:spPr>
            <a:solidFill>
              <a:schemeClr val="accent3">
                <a:lumMod val="60000"/>
                <a:lumOff val="40000"/>
              </a:schemeClr>
            </a:solidFill>
          </c:spPr>
          <c:invertIfNegative val="0"/>
          <c:dLbls>
            <c:dLbl>
              <c:idx val="2"/>
              <c:tx>
                <c:rich>
                  <a:bodyPr/>
                  <a:lstStyle/>
                  <a:p>
                    <a:r>
                      <a:rPr lang="en-US" sz="600" b="1">
                        <a:solidFill>
                          <a:schemeClr val="accent3">
                            <a:lumMod val="50000"/>
                          </a:schemeClr>
                        </a:solidFill>
                      </a:rPr>
                      <a:t>1</a:t>
                    </a:r>
                    <a:r>
                      <a:rPr lang="en-US" sz="600"/>
                      <a:t>1%</a:t>
                    </a:r>
                    <a:endParaRPr lang="en-US"/>
                  </a:p>
                </c:rich>
              </c:tx>
              <c:showLegendKey val="0"/>
              <c:showVal val="1"/>
              <c:showCatName val="0"/>
              <c:showSerName val="0"/>
              <c:showPercent val="0"/>
              <c:showBubbleSize val="0"/>
            </c:dLbl>
            <c:dLbl>
              <c:idx val="5"/>
              <c:tx>
                <c:rich>
                  <a:bodyPr/>
                  <a:lstStyle/>
                  <a:p>
                    <a:r>
                      <a:rPr lang="en-US" sz="600" b="1">
                        <a:solidFill>
                          <a:schemeClr val="accent3">
                            <a:lumMod val="50000"/>
                          </a:schemeClr>
                        </a:solidFill>
                      </a:rPr>
                      <a:t>11</a:t>
                    </a:r>
                    <a:r>
                      <a:rPr lang="en-US" sz="600"/>
                      <a:t>%</a:t>
                    </a:r>
                    <a:endParaRPr lang="en-US"/>
                  </a:p>
                </c:rich>
              </c:tx>
              <c:showLegendKey val="0"/>
              <c:showVal val="1"/>
              <c:showCatName val="0"/>
              <c:showSerName val="0"/>
              <c:showPercent val="0"/>
              <c:showBubbleSize val="0"/>
            </c:dLbl>
            <c:dLbl>
              <c:idx val="13"/>
              <c:tx>
                <c:rich>
                  <a:bodyPr/>
                  <a:lstStyle/>
                  <a:p>
                    <a:r>
                      <a:rPr lang="en-US" sz="600" b="1">
                        <a:solidFill>
                          <a:schemeClr val="accent3">
                            <a:lumMod val="50000"/>
                          </a:schemeClr>
                        </a:solidFill>
                      </a:rPr>
                      <a:t>4</a:t>
                    </a:r>
                    <a:r>
                      <a:rPr lang="en-US" sz="600"/>
                      <a:t>%</a:t>
                    </a:r>
                    <a:endParaRPr lang="en-US"/>
                  </a:p>
                </c:rich>
              </c:tx>
              <c:showLegendKey val="0"/>
              <c:showVal val="1"/>
              <c:showCatName val="0"/>
              <c:showSerName val="0"/>
              <c:showPercent val="0"/>
              <c:showBubbleSize val="0"/>
            </c:dLbl>
            <c:numFmt formatCode="0.0%" sourceLinked="0"/>
            <c:txPr>
              <a:bodyPr/>
              <a:lstStyle/>
              <a:p>
                <a:pPr>
                  <a:defRPr sz="600"/>
                </a:pPr>
                <a:endParaRPr lang="en-US"/>
              </a:p>
            </c:txPr>
            <c:showLegendKey val="0"/>
            <c:showVal val="1"/>
            <c:showCatName val="0"/>
            <c:showSerName val="0"/>
            <c:showPercent val="0"/>
            <c:showBubbleSize val="0"/>
            <c:showLeaderLines val="0"/>
          </c:dLbls>
          <c:cat>
            <c:strRef>
              <c:f>'IUCN status all taxa (2)'!$A$2:$A$17</c:f>
              <c:strCache>
                <c:ptCount val="16"/>
                <c:pt idx="0">
                  <c:v>Medicinal plants*</c:v>
                </c:pt>
                <c:pt idx="1">
                  <c:v>Aquatic plants*</c:v>
                </c:pt>
                <c:pt idx="2">
                  <c:v>Crop wild relatives*</c:v>
                </c:pt>
                <c:pt idx="3">
                  <c:v>Saproxylic beetles*</c:v>
                </c:pt>
                <c:pt idx="4">
                  <c:v>Terrestrial molluscs*</c:v>
                </c:pt>
                <c:pt idx="6">
                  <c:v>10 Butterflies</c:v>
                </c:pt>
                <c:pt idx="7">
                  <c:v>09 Bees</c:v>
                </c:pt>
                <c:pt idx="8">
                  <c:v>08 Terrestrial mammals</c:v>
                </c:pt>
                <c:pt idx="9">
                  <c:v>07 Dragonflies</c:v>
                </c:pt>
                <c:pt idx="10">
                  <c:v>06 Birds</c:v>
                </c:pt>
                <c:pt idx="11">
                  <c:v>05 Reptiles</c:v>
                </c:pt>
                <c:pt idx="12">
                  <c:v>04 Amphibians</c:v>
                </c:pt>
                <c:pt idx="13">
                  <c:v>03 Freshwater fishes</c:v>
                </c:pt>
                <c:pt idx="14">
                  <c:v>02 Marine mammals</c:v>
                </c:pt>
                <c:pt idx="15">
                  <c:v>01 Freshwater molluscs</c:v>
                </c:pt>
              </c:strCache>
            </c:strRef>
          </c:cat>
          <c:val>
            <c:numRef>
              <c:f>'IUCN status all taxa (2)'!$C$2:$C$17</c:f>
              <c:numCache>
                <c:formatCode>0.00</c:formatCode>
                <c:ptCount val="16"/>
                <c:pt idx="0">
                  <c:v>0.05</c:v>
                </c:pt>
                <c:pt idx="1">
                  <c:v>8.5999999999999993E-2</c:v>
                </c:pt>
                <c:pt idx="2">
                  <c:v>0.04</c:v>
                </c:pt>
                <c:pt idx="3">
                  <c:v>0.13800000000000001</c:v>
                </c:pt>
                <c:pt idx="4">
                  <c:v>0.13700000000000001</c:v>
                </c:pt>
                <c:pt idx="6">
                  <c:v>0.11</c:v>
                </c:pt>
                <c:pt idx="7">
                  <c:v>5.3999999999999999E-2</c:v>
                </c:pt>
                <c:pt idx="8">
                  <c:v>0.11</c:v>
                </c:pt>
                <c:pt idx="9">
                  <c:v>0.13400000000000001</c:v>
                </c:pt>
                <c:pt idx="10">
                  <c:v>5.8000000000000003E-2</c:v>
                </c:pt>
                <c:pt idx="11">
                  <c:v>0.125</c:v>
                </c:pt>
                <c:pt idx="12">
                  <c:v>0.183</c:v>
                </c:pt>
                <c:pt idx="13">
                  <c:v>4.2000000000000003E-2</c:v>
                </c:pt>
                <c:pt idx="14">
                  <c:v>0.04</c:v>
                </c:pt>
                <c:pt idx="15">
                  <c:v>8.4000000000000005E-2</c:v>
                </c:pt>
              </c:numCache>
            </c:numRef>
          </c:val>
        </c:ser>
        <c:ser>
          <c:idx val="2"/>
          <c:order val="2"/>
          <c:tx>
            <c:strRef>
              <c:f>'IUCN status all taxa (2)'!$D$1</c:f>
              <c:strCache>
                <c:ptCount val="1"/>
                <c:pt idx="0">
                  <c:v>Data Deficient</c:v>
                </c:pt>
              </c:strCache>
            </c:strRef>
          </c:tx>
          <c:spPr>
            <a:solidFill>
              <a:schemeClr val="bg1">
                <a:lumMod val="85000"/>
              </a:schemeClr>
            </a:solidFill>
          </c:spPr>
          <c:invertIfNegative val="0"/>
          <c:dLbls>
            <c:dLbl>
              <c:idx val="2"/>
              <c:layout>
                <c:manualLayout>
                  <c:x val="1.7429763060439363E-2"/>
                  <c:y val="1.4240089546941029E-3"/>
                </c:manualLayout>
              </c:layout>
              <c:tx>
                <c:rich>
                  <a:bodyPr/>
                  <a:lstStyle/>
                  <a:p>
                    <a:r>
                      <a:rPr lang="en-US" sz="600" b="1">
                        <a:solidFill>
                          <a:srgbClr val="494949"/>
                        </a:solidFill>
                      </a:rPr>
                      <a:t>1</a:t>
                    </a:r>
                    <a:r>
                      <a:rPr lang="en-US" sz="600"/>
                      <a:t>%</a:t>
                    </a:r>
                    <a:endParaRPr lang="en-US"/>
                  </a:p>
                </c:rich>
              </c:tx>
              <c:dLblPos val="ctr"/>
              <c:showLegendKey val="0"/>
              <c:showVal val="1"/>
              <c:showCatName val="0"/>
              <c:showSerName val="0"/>
              <c:showPercent val="0"/>
              <c:showBubbleSize val="0"/>
            </c:dLbl>
            <c:dLbl>
              <c:idx val="6"/>
              <c:layout>
                <c:manualLayout>
                  <c:x val="5.3720122728907792E-3"/>
                  <c:y val="7.1364850495716549E-17"/>
                </c:manualLayout>
              </c:layout>
              <c:dLblPos val="ctr"/>
              <c:showLegendKey val="0"/>
              <c:showVal val="1"/>
              <c:showCatName val="0"/>
              <c:showSerName val="0"/>
              <c:showPercent val="0"/>
              <c:showBubbleSize val="0"/>
            </c:dLbl>
            <c:dLbl>
              <c:idx val="7"/>
              <c:layout>
                <c:manualLayout>
                  <c:x val="2.2988505747126436E-2"/>
                  <c:y val="0"/>
                </c:manualLayout>
              </c:layout>
              <c:dLblPos val="ctr"/>
              <c:showLegendKey val="0"/>
              <c:showVal val="1"/>
              <c:showCatName val="0"/>
              <c:showSerName val="0"/>
              <c:showPercent val="0"/>
              <c:showBubbleSize val="0"/>
            </c:dLbl>
            <c:dLbl>
              <c:idx val="9"/>
              <c:layout>
                <c:manualLayout>
                  <c:x val="2.1711366538952791E-2"/>
                  <c:y val="0"/>
                </c:manualLayout>
              </c:layout>
              <c:dLblPos val="ctr"/>
              <c:showLegendKey val="0"/>
              <c:showVal val="1"/>
              <c:showCatName val="0"/>
              <c:showSerName val="0"/>
              <c:showPercent val="0"/>
              <c:showBubbleSize val="0"/>
            </c:dLbl>
            <c:dLbl>
              <c:idx val="10"/>
              <c:layout>
                <c:manualLayout>
                  <c:x val="1.6602809706257989E-2"/>
                  <c:y val="0"/>
                </c:manualLayout>
              </c:layout>
              <c:dLblPos val="ctr"/>
              <c:showLegendKey val="0"/>
              <c:showVal val="1"/>
              <c:showCatName val="0"/>
              <c:showSerName val="0"/>
              <c:showPercent val="0"/>
              <c:showBubbleSize val="0"/>
            </c:dLbl>
            <c:dLbl>
              <c:idx val="13"/>
              <c:tx>
                <c:rich>
                  <a:bodyPr/>
                  <a:lstStyle/>
                  <a:p>
                    <a:r>
                      <a:rPr lang="en-US" sz="600"/>
                      <a:t>44%</a:t>
                    </a:r>
                    <a:endParaRPr lang="en-US"/>
                  </a:p>
                </c:rich>
              </c:tx>
              <c:dLblPos val="ctr"/>
              <c:showLegendKey val="0"/>
              <c:showVal val="1"/>
              <c:showCatName val="0"/>
              <c:showSerName val="0"/>
              <c:showPercent val="0"/>
              <c:showBubbleSize val="0"/>
            </c:dLbl>
            <c:numFmt formatCode="0.0%" sourceLinked="0"/>
            <c:txPr>
              <a:bodyPr/>
              <a:lstStyle/>
              <a:p>
                <a:pPr>
                  <a:defRPr sz="600"/>
                </a:pPr>
                <a:endParaRPr lang="en-US"/>
              </a:p>
            </c:txPr>
            <c:dLblPos val="ctr"/>
            <c:showLegendKey val="0"/>
            <c:showVal val="1"/>
            <c:showCatName val="0"/>
            <c:showSerName val="0"/>
            <c:showPercent val="0"/>
            <c:showBubbleSize val="0"/>
            <c:showLeaderLines val="0"/>
          </c:dLbls>
          <c:cat>
            <c:strRef>
              <c:f>'IUCN status all taxa (2)'!$A$2:$A$17</c:f>
              <c:strCache>
                <c:ptCount val="16"/>
                <c:pt idx="0">
                  <c:v>Medicinal plants*</c:v>
                </c:pt>
                <c:pt idx="1">
                  <c:v>Aquatic plants*</c:v>
                </c:pt>
                <c:pt idx="2">
                  <c:v>Crop wild relatives*</c:v>
                </c:pt>
                <c:pt idx="3">
                  <c:v>Saproxylic beetles*</c:v>
                </c:pt>
                <c:pt idx="4">
                  <c:v>Terrestrial molluscs*</c:v>
                </c:pt>
                <c:pt idx="6">
                  <c:v>10 Butterflies</c:v>
                </c:pt>
                <c:pt idx="7">
                  <c:v>09 Bees</c:v>
                </c:pt>
                <c:pt idx="8">
                  <c:v>08 Terrestrial mammals</c:v>
                </c:pt>
                <c:pt idx="9">
                  <c:v>07 Dragonflies</c:v>
                </c:pt>
                <c:pt idx="10">
                  <c:v>06 Birds</c:v>
                </c:pt>
                <c:pt idx="11">
                  <c:v>05 Reptiles</c:v>
                </c:pt>
                <c:pt idx="12">
                  <c:v>04 Amphibians</c:v>
                </c:pt>
                <c:pt idx="13">
                  <c:v>03 Freshwater fishes</c:v>
                </c:pt>
                <c:pt idx="14">
                  <c:v>02 Marine mammals</c:v>
                </c:pt>
                <c:pt idx="15">
                  <c:v>01 Freshwater molluscs</c:v>
                </c:pt>
              </c:strCache>
            </c:strRef>
          </c:cat>
          <c:val>
            <c:numRef>
              <c:f>'IUCN status all taxa (2)'!$D$2:$D$17</c:f>
              <c:numCache>
                <c:formatCode>0.00</c:formatCode>
                <c:ptCount val="16"/>
                <c:pt idx="0">
                  <c:v>5.8000000000000003E-2</c:v>
                </c:pt>
                <c:pt idx="1">
                  <c:v>0.108</c:v>
                </c:pt>
                <c:pt idx="2">
                  <c:v>0.26700000000000002</c:v>
                </c:pt>
                <c:pt idx="3">
                  <c:v>0.23100000000000001</c:v>
                </c:pt>
                <c:pt idx="4">
                  <c:v>0.105</c:v>
                </c:pt>
                <c:pt idx="6">
                  <c:v>0.01</c:v>
                </c:pt>
                <c:pt idx="7">
                  <c:v>0.55600000000000005</c:v>
                </c:pt>
                <c:pt idx="8">
                  <c:v>0.05</c:v>
                </c:pt>
                <c:pt idx="9">
                  <c:v>2.1999999999999999E-2</c:v>
                </c:pt>
                <c:pt idx="11">
                  <c:v>1.6E-2</c:v>
                </c:pt>
                <c:pt idx="12">
                  <c:v>1.2E-2</c:v>
                </c:pt>
                <c:pt idx="13">
                  <c:v>5.5E-2</c:v>
                </c:pt>
                <c:pt idx="14">
                  <c:v>0.44</c:v>
                </c:pt>
                <c:pt idx="15">
                  <c:v>0.24299999999999999</c:v>
                </c:pt>
              </c:numCache>
            </c:numRef>
          </c:val>
        </c:ser>
        <c:dLbls>
          <c:showLegendKey val="0"/>
          <c:showVal val="0"/>
          <c:showCatName val="0"/>
          <c:showSerName val="0"/>
          <c:showPercent val="0"/>
          <c:showBubbleSize val="0"/>
        </c:dLbls>
        <c:gapWidth val="150"/>
        <c:overlap val="100"/>
        <c:axId val="59901056"/>
        <c:axId val="59902592"/>
      </c:barChart>
      <c:catAx>
        <c:axId val="59901056"/>
        <c:scaling>
          <c:orientation val="minMax"/>
        </c:scaling>
        <c:delete val="0"/>
        <c:axPos val="l"/>
        <c:majorTickMark val="out"/>
        <c:minorTickMark val="none"/>
        <c:tickLblPos val="nextTo"/>
        <c:txPr>
          <a:bodyPr/>
          <a:lstStyle/>
          <a:p>
            <a:pPr>
              <a:defRPr sz="600"/>
            </a:pPr>
            <a:endParaRPr lang="en-US"/>
          </a:p>
        </c:txPr>
        <c:crossAx val="59902592"/>
        <c:crosses val="autoZero"/>
        <c:auto val="1"/>
        <c:lblAlgn val="ctr"/>
        <c:lblOffset val="100"/>
        <c:noMultiLvlLbl val="0"/>
      </c:catAx>
      <c:valAx>
        <c:axId val="59902592"/>
        <c:scaling>
          <c:orientation val="minMax"/>
          <c:max val="1"/>
        </c:scaling>
        <c:delete val="0"/>
        <c:axPos val="b"/>
        <c:majorGridlines>
          <c:spPr>
            <a:ln>
              <a:prstDash val="sysDot"/>
            </a:ln>
          </c:spPr>
        </c:majorGridlines>
        <c:title>
          <c:tx>
            <c:rich>
              <a:bodyPr/>
              <a:lstStyle/>
              <a:p>
                <a:pPr>
                  <a:defRPr/>
                </a:pPr>
                <a:r>
                  <a:rPr lang="en-GB"/>
                  <a:t>Percentage of species</a:t>
                </a:r>
              </a:p>
            </c:rich>
          </c:tx>
          <c:layout>
            <c:manualLayout>
              <c:xMode val="edge"/>
              <c:yMode val="edge"/>
              <c:x val="0.84058363672282899"/>
              <c:y val="0.90529344790805244"/>
            </c:manualLayout>
          </c:layout>
          <c:overlay val="0"/>
        </c:title>
        <c:numFmt formatCode="0%" sourceLinked="0"/>
        <c:majorTickMark val="out"/>
        <c:minorTickMark val="none"/>
        <c:tickLblPos val="low"/>
        <c:txPr>
          <a:bodyPr rot="0"/>
          <a:lstStyle/>
          <a:p>
            <a:pPr>
              <a:defRPr/>
            </a:pPr>
            <a:endParaRPr lang="en-US"/>
          </a:p>
        </c:txPr>
        <c:crossAx val="59901056"/>
        <c:crosses val="autoZero"/>
        <c:crossBetween val="between"/>
      </c:valAx>
    </c:plotArea>
    <c:legend>
      <c:legendPos val="r"/>
      <c:layout>
        <c:manualLayout>
          <c:xMode val="edge"/>
          <c:yMode val="edge"/>
          <c:x val="0.87205510239363793"/>
          <c:y val="0.46137161251212605"/>
          <c:w val="0.1157244565986138"/>
          <c:h val="0.27237871331200708"/>
        </c:manualLayout>
      </c:layout>
      <c:overlay val="0"/>
    </c:legend>
    <c:plotVisOnly val="1"/>
    <c:dispBlanksAs val="gap"/>
    <c:showDLblsOverMax val="0"/>
  </c:chart>
  <c:spPr>
    <a:ln w="9525"/>
  </c:spPr>
  <c:txPr>
    <a:bodyPr/>
    <a:lstStyle/>
    <a:p>
      <a:pPr>
        <a:defRPr sz="800"/>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78048780487805E-2"/>
          <c:y val="4.85336355895504E-2"/>
          <c:w val="0.94371482176360222"/>
          <c:h val="0.63102493023122797"/>
        </c:manualLayout>
      </c:layout>
      <c:lineChart>
        <c:grouping val="standard"/>
        <c:varyColors val="0"/>
        <c:ser>
          <c:idx val="2"/>
          <c:order val="0"/>
          <c:tx>
            <c:strRef>
              <c:f>'Figure 4'!$C$11</c:f>
              <c:strCache>
                <c:ptCount val="1"/>
                <c:pt idx="0">
                  <c:v>Common bird index — all common species</c:v>
                </c:pt>
              </c:strCache>
            </c:strRef>
          </c:tx>
          <c:spPr>
            <a:ln>
              <a:solidFill>
                <a:schemeClr val="accent1"/>
              </a:solidFill>
            </a:ln>
          </c:spPr>
          <c:marker>
            <c:symbol val="none"/>
          </c:marker>
          <c:cat>
            <c:strRef>
              <c:f>'Figure 4'!$D$10:$Z$10</c:f>
              <c:strCach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strCache>
            </c:strRef>
          </c:cat>
          <c:val>
            <c:numRef>
              <c:f>'Figure 4'!$D$11:$Z$11</c:f>
              <c:numCache>
                <c:formatCode>0.0</c:formatCode>
                <c:ptCount val="23"/>
                <c:pt idx="0">
                  <c:v>100</c:v>
                </c:pt>
                <c:pt idx="1">
                  <c:v>97.3</c:v>
                </c:pt>
                <c:pt idx="2">
                  <c:v>96.7</c:v>
                </c:pt>
                <c:pt idx="3">
                  <c:v>96.9</c:v>
                </c:pt>
                <c:pt idx="4">
                  <c:v>96.3</c:v>
                </c:pt>
                <c:pt idx="5">
                  <c:v>91.2</c:v>
                </c:pt>
                <c:pt idx="6">
                  <c:v>92.4</c:v>
                </c:pt>
                <c:pt idx="7">
                  <c:v>92.3</c:v>
                </c:pt>
                <c:pt idx="8">
                  <c:v>88</c:v>
                </c:pt>
                <c:pt idx="9">
                  <c:v>88.4</c:v>
                </c:pt>
                <c:pt idx="10">
                  <c:v>88.1</c:v>
                </c:pt>
                <c:pt idx="11">
                  <c:v>91.8</c:v>
                </c:pt>
                <c:pt idx="12">
                  <c:v>89.8</c:v>
                </c:pt>
                <c:pt idx="13">
                  <c:v>90.2</c:v>
                </c:pt>
                <c:pt idx="14">
                  <c:v>93.3</c:v>
                </c:pt>
                <c:pt idx="15">
                  <c:v>89.9</c:v>
                </c:pt>
                <c:pt idx="16">
                  <c:v>89.7</c:v>
                </c:pt>
                <c:pt idx="17">
                  <c:v>91.3</c:v>
                </c:pt>
                <c:pt idx="18">
                  <c:v>91</c:v>
                </c:pt>
                <c:pt idx="19">
                  <c:v>87.3</c:v>
                </c:pt>
                <c:pt idx="20">
                  <c:v>88.4</c:v>
                </c:pt>
                <c:pt idx="21">
                  <c:v>89</c:v>
                </c:pt>
                <c:pt idx="22">
                  <c:v>89.2</c:v>
                </c:pt>
              </c:numCache>
            </c:numRef>
          </c:val>
          <c:smooth val="0"/>
        </c:ser>
        <c:ser>
          <c:idx val="0"/>
          <c:order val="1"/>
          <c:tx>
            <c:strRef>
              <c:f>'Figure 4'!$C$12</c:f>
              <c:strCache>
                <c:ptCount val="1"/>
                <c:pt idx="0">
                  <c:v>Common bird index — common forest species</c:v>
                </c:pt>
              </c:strCache>
            </c:strRef>
          </c:tx>
          <c:spPr>
            <a:ln>
              <a:solidFill>
                <a:schemeClr val="accent2"/>
              </a:solidFill>
            </a:ln>
          </c:spPr>
          <c:marker>
            <c:symbol val="none"/>
          </c:marker>
          <c:cat>
            <c:strRef>
              <c:f>'Figure 4'!$D$10:$Z$10</c:f>
              <c:strCach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strCache>
            </c:strRef>
          </c:cat>
          <c:val>
            <c:numRef>
              <c:f>'Figure 4'!$D$12:$Z$12</c:f>
              <c:numCache>
                <c:formatCode>0.0</c:formatCode>
                <c:ptCount val="23"/>
                <c:pt idx="0">
                  <c:v>100</c:v>
                </c:pt>
                <c:pt idx="1">
                  <c:v>100.6</c:v>
                </c:pt>
                <c:pt idx="2">
                  <c:v>96.9</c:v>
                </c:pt>
                <c:pt idx="3">
                  <c:v>87.7</c:v>
                </c:pt>
                <c:pt idx="4">
                  <c:v>93.8</c:v>
                </c:pt>
                <c:pt idx="5">
                  <c:v>87.2</c:v>
                </c:pt>
                <c:pt idx="6">
                  <c:v>90.3</c:v>
                </c:pt>
                <c:pt idx="7">
                  <c:v>93</c:v>
                </c:pt>
                <c:pt idx="8">
                  <c:v>84</c:v>
                </c:pt>
                <c:pt idx="9">
                  <c:v>81.2</c:v>
                </c:pt>
                <c:pt idx="10">
                  <c:v>79.7</c:v>
                </c:pt>
                <c:pt idx="11">
                  <c:v>82.2</c:v>
                </c:pt>
                <c:pt idx="12">
                  <c:v>84.2</c:v>
                </c:pt>
                <c:pt idx="13">
                  <c:v>85.7</c:v>
                </c:pt>
                <c:pt idx="14">
                  <c:v>90.7</c:v>
                </c:pt>
                <c:pt idx="15">
                  <c:v>86.6</c:v>
                </c:pt>
                <c:pt idx="16">
                  <c:v>86.3</c:v>
                </c:pt>
                <c:pt idx="17">
                  <c:v>84.8</c:v>
                </c:pt>
                <c:pt idx="18">
                  <c:v>88.4</c:v>
                </c:pt>
                <c:pt idx="19">
                  <c:v>84.2</c:v>
                </c:pt>
                <c:pt idx="20">
                  <c:v>85.7</c:v>
                </c:pt>
                <c:pt idx="21">
                  <c:v>86.8</c:v>
                </c:pt>
                <c:pt idx="22">
                  <c:v>92.7</c:v>
                </c:pt>
              </c:numCache>
            </c:numRef>
          </c:val>
          <c:smooth val="0"/>
        </c:ser>
        <c:ser>
          <c:idx val="1"/>
          <c:order val="2"/>
          <c:tx>
            <c:strRef>
              <c:f>'Figure 4'!$C$13</c:f>
              <c:strCache>
                <c:ptCount val="1"/>
                <c:pt idx="0">
                  <c:v>Common bird index — common farmland species</c:v>
                </c:pt>
              </c:strCache>
            </c:strRef>
          </c:tx>
          <c:spPr>
            <a:ln>
              <a:prstDash val="sysDash"/>
            </a:ln>
          </c:spPr>
          <c:marker>
            <c:symbol val="none"/>
          </c:marker>
          <c:cat>
            <c:strRef>
              <c:f>'Figure 4'!$D$10:$Z$10</c:f>
              <c:strCach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strCache>
            </c:strRef>
          </c:cat>
          <c:val>
            <c:numRef>
              <c:f>'Figure 4'!$D$13:$Z$13</c:f>
              <c:numCache>
                <c:formatCode>0.0</c:formatCode>
                <c:ptCount val="23"/>
                <c:pt idx="0">
                  <c:v>100</c:v>
                </c:pt>
                <c:pt idx="1">
                  <c:v>93.9</c:v>
                </c:pt>
                <c:pt idx="2">
                  <c:v>98.9</c:v>
                </c:pt>
                <c:pt idx="3">
                  <c:v>98.4</c:v>
                </c:pt>
                <c:pt idx="4">
                  <c:v>94.2</c:v>
                </c:pt>
                <c:pt idx="5">
                  <c:v>83.2</c:v>
                </c:pt>
                <c:pt idx="6">
                  <c:v>82.2</c:v>
                </c:pt>
                <c:pt idx="7">
                  <c:v>87.5</c:v>
                </c:pt>
                <c:pt idx="8">
                  <c:v>82.7</c:v>
                </c:pt>
                <c:pt idx="9">
                  <c:v>85.2</c:v>
                </c:pt>
                <c:pt idx="10">
                  <c:v>82</c:v>
                </c:pt>
                <c:pt idx="11">
                  <c:v>85.4</c:v>
                </c:pt>
                <c:pt idx="12">
                  <c:v>75.7</c:v>
                </c:pt>
                <c:pt idx="13">
                  <c:v>77.5</c:v>
                </c:pt>
                <c:pt idx="14">
                  <c:v>80.8</c:v>
                </c:pt>
                <c:pt idx="15">
                  <c:v>78.400000000000006</c:v>
                </c:pt>
                <c:pt idx="16">
                  <c:v>76.599999999999994</c:v>
                </c:pt>
                <c:pt idx="17">
                  <c:v>76.2</c:v>
                </c:pt>
                <c:pt idx="18">
                  <c:v>76.099999999999994</c:v>
                </c:pt>
                <c:pt idx="19">
                  <c:v>74.099999999999994</c:v>
                </c:pt>
                <c:pt idx="20">
                  <c:v>72.400000000000006</c:v>
                </c:pt>
                <c:pt idx="21">
                  <c:v>74.2</c:v>
                </c:pt>
                <c:pt idx="22">
                  <c:v>72.599999999999994</c:v>
                </c:pt>
              </c:numCache>
            </c:numRef>
          </c:val>
          <c:smooth val="0"/>
        </c:ser>
        <c:dLbls>
          <c:showLegendKey val="0"/>
          <c:showVal val="0"/>
          <c:showCatName val="0"/>
          <c:showSerName val="0"/>
          <c:showPercent val="0"/>
          <c:showBubbleSize val="0"/>
        </c:dLbls>
        <c:marker val="1"/>
        <c:smooth val="0"/>
        <c:axId val="59991936"/>
        <c:axId val="59993472"/>
      </c:lineChart>
      <c:catAx>
        <c:axId val="59991936"/>
        <c:scaling>
          <c:orientation val="minMax"/>
        </c:scaling>
        <c:delete val="0"/>
        <c:axPos val="b"/>
        <c:numFmt formatCode="General" sourceLinked="1"/>
        <c:majorTickMark val="out"/>
        <c:minorTickMark val="none"/>
        <c:tickLblPos val="low"/>
        <c:spPr>
          <a:ln>
            <a:solidFill>
              <a:srgbClr val="000000"/>
            </a:solidFill>
            <a:prstDash val="solid"/>
          </a:ln>
        </c:spPr>
        <c:txPr>
          <a:bodyPr rot="0" vert="horz"/>
          <a:lstStyle/>
          <a:p>
            <a:pPr>
              <a:defRPr/>
            </a:pPr>
            <a:endParaRPr lang="en-US"/>
          </a:p>
        </c:txPr>
        <c:crossAx val="59993472"/>
        <c:crossesAt val="100"/>
        <c:auto val="1"/>
        <c:lblAlgn val="ctr"/>
        <c:lblOffset val="100"/>
        <c:tickLblSkip val="2"/>
        <c:tickMarkSkip val="1"/>
        <c:noMultiLvlLbl val="0"/>
      </c:catAx>
      <c:valAx>
        <c:axId val="59993472"/>
        <c:scaling>
          <c:orientation val="minMax"/>
          <c:max val="110"/>
          <c:min val="70"/>
        </c:scaling>
        <c:delete val="0"/>
        <c:axPos val="l"/>
        <c:majorGridlines>
          <c:spPr>
            <a:ln w="3175">
              <a:solidFill>
                <a:srgbClr val="C0C0C0"/>
              </a:solidFill>
              <a:prstDash val="sysDash"/>
            </a:ln>
          </c:spPr>
        </c:majorGridlines>
        <c:numFmt formatCode="0" sourceLinked="0"/>
        <c:majorTickMark val="in"/>
        <c:minorTickMark val="none"/>
        <c:tickLblPos val="nextTo"/>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rot="0" vert="horz"/>
          <a:lstStyle/>
          <a:p>
            <a:pPr>
              <a:defRPr/>
            </a:pPr>
            <a:endParaRPr lang="en-US"/>
          </a:p>
        </c:txPr>
        <c:crossAx val="59991936"/>
        <c:crosses val="autoZero"/>
        <c:crossBetween val="between"/>
        <c:majorUnit val="10"/>
        <c:minorUnit val="2"/>
      </c:valAx>
    </c:plotArea>
    <c:legend>
      <c:legendPos val="b"/>
      <c:layout>
        <c:manualLayout>
          <c:xMode val="edge"/>
          <c:yMode val="edge"/>
          <c:x val="0.22733333333333333"/>
          <c:y val="0.79489550927550834"/>
          <c:w val="0.57866666666666666"/>
          <c:h val="0.20510449072449161"/>
        </c:manualLayout>
      </c:layout>
      <c:overlay val="0"/>
      <c:spPr>
        <a:noFill/>
        <a:ln>
          <a:noFill/>
          <a:round/>
        </a:ln>
        <a:effectLst/>
        <a:extLst>
          <a:ext uri="{91240B29-F687-4F45-9708-019B960494DF}">
            <a14:hiddenLine xmlns:a14="http://schemas.microsoft.com/office/drawing/2010/main">
              <a:noFill/>
              <a:round/>
            </a14:hiddenLine>
          </a:ext>
        </a:extLst>
      </c:spPr>
    </c:legend>
    <c:plotVisOnly val="1"/>
    <c:dispBlanksAs val="gap"/>
    <c:showDLblsOverMax val="0"/>
  </c:chart>
  <c:spPr>
    <a:solidFill>
      <a:sysClr val="window" lastClr="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900">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95430086289381"/>
          <c:y val="5.8440569928758908E-2"/>
          <c:w val="0.88064537083366257"/>
          <c:h val="0.7903734533183352"/>
        </c:manualLayout>
      </c:layout>
      <c:barChart>
        <c:barDir val="col"/>
        <c:grouping val="clustered"/>
        <c:varyColors val="0"/>
        <c:ser>
          <c:idx val="0"/>
          <c:order val="0"/>
          <c:spPr>
            <a:solidFill>
              <a:schemeClr val="bg1">
                <a:lumMod val="65000"/>
              </a:schemeClr>
            </a:solidFill>
          </c:spPr>
          <c:invertIfNegative val="0"/>
          <c:dLbls>
            <c:txPr>
              <a:bodyPr/>
              <a:lstStyle/>
              <a:p>
                <a:pPr>
                  <a:defRPr sz="700" b="1"/>
                </a:pPr>
                <a:endParaRPr lang="en-US"/>
              </a:p>
            </c:txPr>
            <c:dLblPos val="outEnd"/>
            <c:showLegendKey val="0"/>
            <c:showVal val="1"/>
            <c:showCatName val="0"/>
            <c:showSerName val="0"/>
            <c:showPercent val="0"/>
            <c:showBubbleSize val="0"/>
            <c:showLeaderLines val="0"/>
          </c:dLbls>
          <c:cat>
            <c:numRef>
              <c:f>Sheet1!$D$13:$D$18</c:f>
              <c:numCache>
                <c:formatCode>0</c:formatCode>
                <c:ptCount val="6"/>
                <c:pt idx="0">
                  <c:v>2010</c:v>
                </c:pt>
                <c:pt idx="1">
                  <c:v>2011</c:v>
                </c:pt>
                <c:pt idx="2">
                  <c:v>2012</c:v>
                </c:pt>
                <c:pt idx="3">
                  <c:v>2013</c:v>
                </c:pt>
                <c:pt idx="4">
                  <c:v>2014</c:v>
                </c:pt>
                <c:pt idx="5">
                  <c:v>2015</c:v>
                </c:pt>
              </c:numCache>
            </c:numRef>
          </c:cat>
          <c:val>
            <c:numRef>
              <c:f>Sheet1!$E$13:$E$18</c:f>
              <c:numCache>
                <c:formatCode>0.0%</c:formatCode>
                <c:ptCount val="6"/>
                <c:pt idx="0">
                  <c:v>2.2979438088507345E-2</c:v>
                </c:pt>
                <c:pt idx="1">
                  <c:v>3.4743849574408424E-2</c:v>
                </c:pt>
                <c:pt idx="2">
                  <c:v>3.8013456615761651E-2</c:v>
                </c:pt>
                <c:pt idx="3">
                  <c:v>4.2685238328810181E-2</c:v>
                </c:pt>
                <c:pt idx="4">
                  <c:v>4.3974279487616424E-2</c:v>
                </c:pt>
                <c:pt idx="5">
                  <c:v>5.5609329450141173E-2</c:v>
                </c:pt>
              </c:numCache>
            </c:numRef>
          </c:val>
        </c:ser>
        <c:dLbls>
          <c:dLblPos val="outEnd"/>
          <c:showLegendKey val="0"/>
          <c:showVal val="1"/>
          <c:showCatName val="0"/>
          <c:showSerName val="0"/>
          <c:showPercent val="0"/>
          <c:showBubbleSize val="0"/>
        </c:dLbls>
        <c:gapWidth val="30"/>
        <c:axId val="60004992"/>
        <c:axId val="60314752"/>
      </c:barChart>
      <c:catAx>
        <c:axId val="60004992"/>
        <c:scaling>
          <c:orientation val="minMax"/>
        </c:scaling>
        <c:delete val="0"/>
        <c:axPos val="b"/>
        <c:numFmt formatCode="0" sourceLinked="1"/>
        <c:majorTickMark val="out"/>
        <c:minorTickMark val="none"/>
        <c:tickLblPos val="nextTo"/>
        <c:txPr>
          <a:bodyPr/>
          <a:lstStyle/>
          <a:p>
            <a:pPr>
              <a:defRPr sz="700" b="1"/>
            </a:pPr>
            <a:endParaRPr lang="en-US"/>
          </a:p>
        </c:txPr>
        <c:crossAx val="60314752"/>
        <c:crosses val="autoZero"/>
        <c:auto val="1"/>
        <c:lblAlgn val="ctr"/>
        <c:lblOffset val="100"/>
        <c:noMultiLvlLbl val="0"/>
      </c:catAx>
      <c:valAx>
        <c:axId val="60314752"/>
        <c:scaling>
          <c:orientation val="minMax"/>
          <c:max val="0.12000000000000001"/>
          <c:min val="0"/>
        </c:scaling>
        <c:delete val="0"/>
        <c:axPos val="l"/>
        <c:majorGridlines>
          <c:spPr>
            <a:ln w="47625">
              <a:solidFill>
                <a:schemeClr val="tx1">
                  <a:lumMod val="95000"/>
                  <a:lumOff val="5000"/>
                </a:schemeClr>
              </a:solidFill>
            </a:ln>
          </c:spPr>
        </c:majorGridlines>
        <c:minorGridlines>
          <c:spPr>
            <a:ln>
              <a:noFill/>
            </a:ln>
          </c:spPr>
        </c:minorGridlines>
        <c:numFmt formatCode="0.0%" sourceLinked="1"/>
        <c:majorTickMark val="none"/>
        <c:minorTickMark val="none"/>
        <c:tickLblPos val="nextTo"/>
        <c:txPr>
          <a:bodyPr/>
          <a:lstStyle/>
          <a:p>
            <a:pPr>
              <a:defRPr sz="700" b="1"/>
            </a:pPr>
            <a:endParaRPr lang="en-US"/>
          </a:p>
        </c:txPr>
        <c:crossAx val="60004992"/>
        <c:crosses val="autoZero"/>
        <c:crossBetween val="between"/>
        <c:majorUnit val="0.1"/>
        <c:minorUnit val="2.0000000000000004E-2"/>
      </c:valAx>
      <c:spPr>
        <a:noFill/>
        <a:ln>
          <a:solidFill>
            <a:sysClr val="window" lastClr="FFFFFF">
              <a:lumMod val="85000"/>
            </a:sysClr>
          </a:solidFill>
        </a:ln>
      </c:spPr>
    </c:plotArea>
    <c:plotVisOnly val="1"/>
    <c:dispBlanksAs val="gap"/>
    <c:showDLblsOverMax val="0"/>
  </c:chart>
  <c:spPr>
    <a:solidFill>
      <a:schemeClr val="bg1"/>
    </a:solid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0.56177</cdr:x>
      <cdr:y>0.81707</cdr:y>
    </cdr:from>
    <cdr:to>
      <cdr:x>0.77818</cdr:x>
      <cdr:y>0.86992</cdr:y>
    </cdr:to>
    <cdr:sp macro="" textlink="">
      <cdr:nvSpPr>
        <cdr:cNvPr id="2" name="ZoneTexte 1"/>
        <cdr:cNvSpPr txBox="1"/>
      </cdr:nvSpPr>
      <cdr:spPr>
        <a:xfrm xmlns:a="http://schemas.openxmlformats.org/drawingml/2006/main">
          <a:off x="7417595" y="4786315"/>
          <a:ext cx="2857500" cy="309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effectLst/>
              <a:latin typeface="+mn-lt"/>
              <a:ea typeface="+mn-ea"/>
              <a:cs typeface="+mn-cs"/>
            </a:rPr>
            <a:t>* Only  a selection of species was assessed </a:t>
          </a:r>
          <a:endParaRPr lang="fr-FR" sz="6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3BDF4-51FE-4074-A65A-CFA04335B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8278</Words>
  <Characters>45861</Characters>
  <Application>Microsoft Office Word</Application>
  <DocSecurity>0</DocSecurity>
  <Lines>818</Lines>
  <Paragraphs>274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53865</CharactersWithSpaces>
  <SharedDoc>false</SharedDoc>
  <HLinks>
    <vt:vector size="798" baseType="variant">
      <vt:variant>
        <vt:i4>7602214</vt:i4>
      </vt:variant>
      <vt:variant>
        <vt:i4>96</vt:i4>
      </vt:variant>
      <vt:variant>
        <vt:i4>0</vt:i4>
      </vt:variant>
      <vt:variant>
        <vt:i4>5</vt:i4>
      </vt:variant>
      <vt:variant>
        <vt:lpwstr>http://www.eea.europa.eu/enquiries</vt:lpwstr>
      </vt:variant>
      <vt:variant>
        <vt:lpwstr/>
      </vt:variant>
      <vt:variant>
        <vt:i4>5177383</vt:i4>
      </vt:variant>
      <vt:variant>
        <vt:i4>60</vt:i4>
      </vt:variant>
      <vt:variant>
        <vt:i4>0</vt:i4>
      </vt:variant>
      <vt:variant>
        <vt:i4>5</vt:i4>
      </vt:variant>
      <vt:variant>
        <vt:lpwstr>mailto:Lucia.BERNAL-SAUKKONEN@ec.europa.eu</vt:lpwstr>
      </vt:variant>
      <vt:variant>
        <vt:lpwstr/>
      </vt:variant>
      <vt:variant>
        <vt:i4>7405570</vt:i4>
      </vt:variant>
      <vt:variant>
        <vt:i4>3</vt:i4>
      </vt:variant>
      <vt:variant>
        <vt:i4>0</vt:i4>
      </vt:variant>
      <vt:variant>
        <vt:i4>5</vt:i4>
      </vt:variant>
      <vt:variant>
        <vt:lpwstr>http://ec.europa.eu/environment/nature/natura2000/platform/index_en.htm</vt:lpwstr>
      </vt:variant>
      <vt:variant>
        <vt:lpwstr/>
      </vt:variant>
      <vt:variant>
        <vt:i4>8257575</vt:i4>
      </vt:variant>
      <vt:variant>
        <vt:i4>363</vt:i4>
      </vt:variant>
      <vt:variant>
        <vt:i4>0</vt:i4>
      </vt:variant>
      <vt:variant>
        <vt:i4>5</vt:i4>
      </vt:variant>
      <vt:variant>
        <vt:lpwstr>http://www.volante-project.eu/</vt:lpwstr>
      </vt:variant>
      <vt:variant>
        <vt:lpwstr/>
      </vt:variant>
      <vt:variant>
        <vt:i4>6225938</vt:i4>
      </vt:variant>
      <vt:variant>
        <vt:i4>360</vt:i4>
      </vt:variant>
      <vt:variant>
        <vt:i4>0</vt:i4>
      </vt:variant>
      <vt:variant>
        <vt:i4>5</vt:i4>
      </vt:variant>
      <vt:variant>
        <vt:lpwstr>http://www.turas-cities.org/</vt:lpwstr>
      </vt:variant>
      <vt:variant>
        <vt:lpwstr/>
      </vt:variant>
      <vt:variant>
        <vt:i4>1900623</vt:i4>
      </vt:variant>
      <vt:variant>
        <vt:i4>357</vt:i4>
      </vt:variant>
      <vt:variant>
        <vt:i4>0</vt:i4>
      </vt:variant>
      <vt:variant>
        <vt:i4>5</vt:i4>
      </vt:variant>
      <vt:variant>
        <vt:lpwstr>http://www.steproject.eu/</vt:lpwstr>
      </vt:variant>
      <vt:variant>
        <vt:lpwstr/>
      </vt:variant>
      <vt:variant>
        <vt:i4>6094933</vt:i4>
      </vt:variant>
      <vt:variant>
        <vt:i4>354</vt:i4>
      </vt:variant>
      <vt:variant>
        <vt:i4>0</vt:i4>
      </vt:variant>
      <vt:variant>
        <vt:i4>5</vt:i4>
      </vt:variant>
      <vt:variant>
        <vt:lpwstr>http://www.spiral-project.eu/</vt:lpwstr>
      </vt:variant>
      <vt:variant>
        <vt:lpwstr/>
      </vt:variant>
      <vt:variant>
        <vt:i4>7209016</vt:i4>
      </vt:variant>
      <vt:variant>
        <vt:i4>351</vt:i4>
      </vt:variant>
      <vt:variant>
        <vt:i4>0</vt:i4>
      </vt:variant>
      <vt:variant>
        <vt:i4>5</vt:i4>
      </vt:variant>
      <vt:variant>
        <vt:lpwstr>http://www.scales-project.net/</vt:lpwstr>
      </vt:variant>
      <vt:variant>
        <vt:lpwstr/>
      </vt:variant>
      <vt:variant>
        <vt:i4>2818091</vt:i4>
      </vt:variant>
      <vt:variant>
        <vt:i4>348</vt:i4>
      </vt:variant>
      <vt:variant>
        <vt:i4>0</vt:i4>
      </vt:variant>
      <vt:variant>
        <vt:i4>5</vt:i4>
      </vt:variant>
      <vt:variant>
        <vt:lpwstr>http://robinproject.info/home/</vt:lpwstr>
      </vt:variant>
      <vt:variant>
        <vt:lpwstr/>
      </vt:variant>
      <vt:variant>
        <vt:i4>1507410</vt:i4>
      </vt:variant>
      <vt:variant>
        <vt:i4>345</vt:i4>
      </vt:variant>
      <vt:variant>
        <vt:i4>0</vt:i4>
      </vt:variant>
      <vt:variant>
        <vt:i4>5</vt:i4>
      </vt:variant>
      <vt:variant>
        <vt:lpwstr>http://www.quessa.eu/</vt:lpwstr>
      </vt:variant>
      <vt:variant>
        <vt:lpwstr/>
      </vt:variant>
      <vt:variant>
        <vt:i4>87</vt:i4>
      </vt:variant>
      <vt:variant>
        <vt:i4>342</vt:i4>
      </vt:variant>
      <vt:variant>
        <vt:i4>0</vt:i4>
      </vt:variant>
      <vt:variant>
        <vt:i4>5</vt:i4>
      </vt:variant>
      <vt:variant>
        <vt:lpwstr>http://policymix.nina.no/</vt:lpwstr>
      </vt:variant>
      <vt:variant>
        <vt:lpwstr/>
      </vt:variant>
      <vt:variant>
        <vt:i4>5046291</vt:i4>
      </vt:variant>
      <vt:variant>
        <vt:i4>339</vt:i4>
      </vt:variant>
      <vt:variant>
        <vt:i4>0</vt:i4>
      </vt:variant>
      <vt:variant>
        <vt:i4>5</vt:i4>
      </vt:variant>
      <vt:variant>
        <vt:lpwstr>http://operas-project.eu/</vt:lpwstr>
      </vt:variant>
      <vt:variant>
        <vt:lpwstr/>
      </vt:variant>
      <vt:variant>
        <vt:i4>3211315</vt:i4>
      </vt:variant>
      <vt:variant>
        <vt:i4>336</vt:i4>
      </vt:variant>
      <vt:variant>
        <vt:i4>0</vt:i4>
      </vt:variant>
      <vt:variant>
        <vt:i4>5</vt:i4>
      </vt:variant>
      <vt:variant>
        <vt:lpwstr>http://www.openness-project.eu/</vt:lpwstr>
      </vt:variant>
      <vt:variant>
        <vt:lpwstr/>
      </vt:variant>
      <vt:variant>
        <vt:i4>4915281</vt:i4>
      </vt:variant>
      <vt:variant>
        <vt:i4>333</vt:i4>
      </vt:variant>
      <vt:variant>
        <vt:i4>0</vt:i4>
      </vt:variant>
      <vt:variant>
        <vt:i4>5</vt:i4>
      </vt:variant>
      <vt:variant>
        <vt:lpwstr>http://www.newforex.org/</vt:lpwstr>
      </vt:variant>
      <vt:variant>
        <vt:lpwstr/>
      </vt:variant>
      <vt:variant>
        <vt:i4>983109</vt:i4>
      </vt:variant>
      <vt:variant>
        <vt:i4>330</vt:i4>
      </vt:variant>
      <vt:variant>
        <vt:i4>0</vt:i4>
      </vt:variant>
      <vt:variant>
        <vt:i4>5</vt:i4>
      </vt:variant>
      <vt:variant>
        <vt:lpwstr>http://www.eu-midas.net/</vt:lpwstr>
      </vt:variant>
      <vt:variant>
        <vt:lpwstr/>
      </vt:variant>
      <vt:variant>
        <vt:i4>3735593</vt:i4>
      </vt:variant>
      <vt:variant>
        <vt:i4>327</vt:i4>
      </vt:variant>
      <vt:variant>
        <vt:i4>0</vt:i4>
      </vt:variant>
      <vt:variant>
        <vt:i4>5</vt:i4>
      </vt:variant>
      <vt:variant>
        <vt:lpwstr>http://www.mars-project.eu/</vt:lpwstr>
      </vt:variant>
      <vt:variant>
        <vt:lpwstr/>
      </vt:variant>
      <vt:variant>
        <vt:i4>4259851</vt:i4>
      </vt:variant>
      <vt:variant>
        <vt:i4>324</vt:i4>
      </vt:variant>
      <vt:variant>
        <vt:i4>0</vt:i4>
      </vt:variant>
      <vt:variant>
        <vt:i4>5</vt:i4>
      </vt:variant>
      <vt:variant>
        <vt:lpwstr>http://www.fp7liberation.eu/Participants</vt:lpwstr>
      </vt:variant>
      <vt:variant>
        <vt:lpwstr/>
      </vt:variant>
      <vt:variant>
        <vt:i4>5439569</vt:i4>
      </vt:variant>
      <vt:variant>
        <vt:i4>321</vt:i4>
      </vt:variant>
      <vt:variant>
        <vt:i4>0</vt:i4>
      </vt:variant>
      <vt:variant>
        <vt:i4>5</vt:i4>
      </vt:variant>
      <vt:variant>
        <vt:lpwstr>http://www.knowseas.com/</vt:lpwstr>
      </vt:variant>
      <vt:variant>
        <vt:lpwstr/>
      </vt:variant>
      <vt:variant>
        <vt:i4>917513</vt:i4>
      </vt:variant>
      <vt:variant>
        <vt:i4>318</vt:i4>
      </vt:variant>
      <vt:variant>
        <vt:i4>0</vt:i4>
      </vt:variant>
      <vt:variant>
        <vt:i4>5</vt:i4>
      </vt:variant>
      <vt:variant>
        <vt:lpwstr>http://www.biodiversityknowledge.eu/</vt:lpwstr>
      </vt:variant>
      <vt:variant>
        <vt:lpwstr/>
      </vt:variant>
      <vt:variant>
        <vt:i4>3801125</vt:i4>
      </vt:variant>
      <vt:variant>
        <vt:i4>315</vt:i4>
      </vt:variant>
      <vt:variant>
        <vt:i4>0</vt:i4>
      </vt:variant>
      <vt:variant>
        <vt:i4>5</vt:i4>
      </vt:variant>
      <vt:variant>
        <vt:lpwstr>http://www.globaqua-project.eu/</vt:lpwstr>
      </vt:variant>
      <vt:variant>
        <vt:lpwstr/>
      </vt:variant>
      <vt:variant>
        <vt:i4>7733293</vt:i4>
      </vt:variant>
      <vt:variant>
        <vt:i4>312</vt:i4>
      </vt:variant>
      <vt:variant>
        <vt:i4>0</vt:i4>
      </vt:variant>
      <vt:variant>
        <vt:i4>5</vt:i4>
      </vt:variant>
      <vt:variant>
        <vt:lpwstr>http://www.fundiveurope.eu/</vt:lpwstr>
      </vt:variant>
      <vt:variant>
        <vt:lpwstr/>
      </vt:variant>
      <vt:variant>
        <vt:i4>524305</vt:i4>
      </vt:variant>
      <vt:variant>
        <vt:i4>309</vt:i4>
      </vt:variant>
      <vt:variant>
        <vt:i4>0</vt:i4>
      </vt:variant>
      <vt:variant>
        <vt:i4>5</vt:i4>
      </vt:variant>
      <vt:variant>
        <vt:lpwstr>http://www.eubon.eu/</vt:lpwstr>
      </vt:variant>
      <vt:variant>
        <vt:lpwstr/>
      </vt:variant>
      <vt:variant>
        <vt:i4>786454</vt:i4>
      </vt:variant>
      <vt:variant>
        <vt:i4>306</vt:i4>
      </vt:variant>
      <vt:variant>
        <vt:i4>0</vt:i4>
      </vt:variant>
      <vt:variant>
        <vt:i4>5</vt:i4>
      </vt:variant>
      <vt:variant>
        <vt:lpwstr>http://www.biomotivation.eu/</vt:lpwstr>
      </vt:variant>
      <vt:variant>
        <vt:lpwstr/>
      </vt:variant>
      <vt:variant>
        <vt:i4>1638492</vt:i4>
      </vt:variant>
      <vt:variant>
        <vt:i4>303</vt:i4>
      </vt:variant>
      <vt:variant>
        <vt:i4>0</vt:i4>
      </vt:variant>
      <vt:variant>
        <vt:i4>5</vt:i4>
      </vt:variant>
      <vt:variant>
        <vt:lpwstr>http://www.freshwaterbiodiversity.eu/</vt:lpwstr>
      </vt:variant>
      <vt:variant>
        <vt:lpwstr/>
      </vt:variant>
      <vt:variant>
        <vt:i4>2752560</vt:i4>
      </vt:variant>
      <vt:variant>
        <vt:i4>300</vt:i4>
      </vt:variant>
      <vt:variant>
        <vt:i4>0</vt:i4>
      </vt:variant>
      <vt:variant>
        <vt:i4>5</vt:i4>
      </vt:variant>
      <vt:variant>
        <vt:lpwstr>http://www.biodiversa.org/</vt:lpwstr>
      </vt:variant>
      <vt:variant>
        <vt:lpwstr/>
      </vt:variant>
      <vt:variant>
        <vt:i4>7208997</vt:i4>
      </vt:variant>
      <vt:variant>
        <vt:i4>297</vt:i4>
      </vt:variant>
      <vt:variant>
        <vt:i4>0</vt:i4>
      </vt:variant>
      <vt:variant>
        <vt:i4>5</vt:i4>
      </vt:variant>
      <vt:variant>
        <vt:lpwstr>http://www.besafe-project.net/</vt:lpwstr>
      </vt:variant>
      <vt:variant>
        <vt:lpwstr/>
      </vt:variant>
      <vt:variant>
        <vt:i4>5177464</vt:i4>
      </vt:variant>
      <vt:variant>
        <vt:i4>294</vt:i4>
      </vt:variant>
      <vt:variant>
        <vt:i4>0</vt:i4>
      </vt:variant>
      <vt:variant>
        <vt:i4>5</vt:i4>
      </vt:variant>
      <vt:variant>
        <vt:lpwstr>http://eur-lex.europa.eu/legal-content/EN/AUTO/?uri=uriserv:OJ.L_.2007.108.01.0001.01.ENG</vt:lpwstr>
      </vt:variant>
      <vt:variant>
        <vt:lpwstr/>
      </vt:variant>
      <vt:variant>
        <vt:i4>2621502</vt:i4>
      </vt:variant>
      <vt:variant>
        <vt:i4>291</vt:i4>
      </vt:variant>
      <vt:variant>
        <vt:i4>0</vt:i4>
      </vt:variant>
      <vt:variant>
        <vt:i4>5</vt:i4>
      </vt:variant>
      <vt:variant>
        <vt:lpwstr>http://eur-lex.europa.eu/legal-content/EN/TXT/?uri=CELEX:32013R1305</vt:lpwstr>
      </vt:variant>
      <vt:variant>
        <vt:lpwstr/>
      </vt:variant>
      <vt:variant>
        <vt:i4>2621502</vt:i4>
      </vt:variant>
      <vt:variant>
        <vt:i4>288</vt:i4>
      </vt:variant>
      <vt:variant>
        <vt:i4>0</vt:i4>
      </vt:variant>
      <vt:variant>
        <vt:i4>5</vt:i4>
      </vt:variant>
      <vt:variant>
        <vt:lpwstr>http://eur-lex.europa.eu/legal-content/EN/TXT/?uri=celex:32013R1307</vt:lpwstr>
      </vt:variant>
      <vt:variant>
        <vt:lpwstr/>
      </vt:variant>
      <vt:variant>
        <vt:i4>5111925</vt:i4>
      </vt:variant>
      <vt:variant>
        <vt:i4>285</vt:i4>
      </vt:variant>
      <vt:variant>
        <vt:i4>0</vt:i4>
      </vt:variant>
      <vt:variant>
        <vt:i4>5</vt:i4>
      </vt:variant>
      <vt:variant>
        <vt:lpwstr>http://ec.europa.eu/europeaid/eu-biodiversity-life-b4life-flagship-initiative-brochure_en</vt:lpwstr>
      </vt:variant>
      <vt:variant>
        <vt:lpwstr/>
      </vt:variant>
      <vt:variant>
        <vt:i4>1114112</vt:i4>
      </vt:variant>
      <vt:variant>
        <vt:i4>282</vt:i4>
      </vt:variant>
      <vt:variant>
        <vt:i4>0</vt:i4>
      </vt:variant>
      <vt:variant>
        <vt:i4>5</vt:i4>
      </vt:variant>
      <vt:variant>
        <vt:lpwstr>http://ec.europa.eu/environment/nature/biodiversity/best/pdf/best_2_0.pdf</vt:lpwstr>
      </vt:variant>
      <vt:variant>
        <vt:lpwstr/>
      </vt:variant>
      <vt:variant>
        <vt:i4>6815859</vt:i4>
      </vt:variant>
      <vt:variant>
        <vt:i4>279</vt:i4>
      </vt:variant>
      <vt:variant>
        <vt:i4>0</vt:i4>
      </vt:variant>
      <vt:variant>
        <vt:i4>5</vt:i4>
      </vt:variant>
      <vt:variant>
        <vt:lpwstr>http://guadeloupe2014.com/wp-content/uploads/2014/11/Guadeloupe-to.pdf</vt:lpwstr>
      </vt:variant>
      <vt:variant>
        <vt:lpwstr/>
      </vt:variant>
      <vt:variant>
        <vt:i4>262250</vt:i4>
      </vt:variant>
      <vt:variant>
        <vt:i4>276</vt:i4>
      </vt:variant>
      <vt:variant>
        <vt:i4>0</vt:i4>
      </vt:variant>
      <vt:variant>
        <vt:i4>5</vt:i4>
      </vt:variant>
      <vt:variant>
        <vt:lpwstr>http://ec.europa.eu/environment/nature/biodiversity/best/projects/current/index_en.htm</vt:lpwstr>
      </vt:variant>
      <vt:variant>
        <vt:lpwstr/>
      </vt:variant>
      <vt:variant>
        <vt:i4>4194375</vt:i4>
      </vt:variant>
      <vt:variant>
        <vt:i4>273</vt:i4>
      </vt:variant>
      <vt:variant>
        <vt:i4>0</vt:i4>
      </vt:variant>
      <vt:variant>
        <vt:i4>5</vt:i4>
      </vt:variant>
      <vt:variant>
        <vt:lpwstr>http://ec.europa.eu/best</vt:lpwstr>
      </vt:variant>
      <vt:variant>
        <vt:lpwstr/>
      </vt:variant>
      <vt:variant>
        <vt:i4>4063323</vt:i4>
      </vt:variant>
      <vt:variant>
        <vt:i4>270</vt:i4>
      </vt:variant>
      <vt:variant>
        <vt:i4>0</vt:i4>
      </vt:variant>
      <vt:variant>
        <vt:i4>5</vt:i4>
      </vt:variant>
      <vt:variant>
        <vt:lpwstr>http://ec.europa.eu/environment/biodiversity/business/links-to-platforms/global-initiatives-and-platform-outside-europe/index_en.html</vt:lpwstr>
      </vt:variant>
      <vt:variant>
        <vt:lpwstr/>
      </vt:variant>
      <vt:variant>
        <vt:i4>917627</vt:i4>
      </vt:variant>
      <vt:variant>
        <vt:i4>267</vt:i4>
      </vt:variant>
      <vt:variant>
        <vt:i4>0</vt:i4>
      </vt:variant>
      <vt:variant>
        <vt:i4>5</vt:i4>
      </vt:variant>
      <vt:variant>
        <vt:lpwstr>http://ec.europa.eu/environment/biodiversity/business/links-to-platforms/national-platforms-in-europe/index_en.html</vt:lpwstr>
      </vt:variant>
      <vt:variant>
        <vt:lpwstr/>
      </vt:variant>
      <vt:variant>
        <vt:i4>5308446</vt:i4>
      </vt:variant>
      <vt:variant>
        <vt:i4>264</vt:i4>
      </vt:variant>
      <vt:variant>
        <vt:i4>0</vt:i4>
      </vt:variant>
      <vt:variant>
        <vt:i4>5</vt:i4>
      </vt:variant>
      <vt:variant>
        <vt:lpwstr>http://www.cbd.int/business/nri/eu.shtml</vt:lpwstr>
      </vt:variant>
      <vt:variant>
        <vt:lpwstr/>
      </vt:variant>
      <vt:variant>
        <vt:i4>3211342</vt:i4>
      </vt:variant>
      <vt:variant>
        <vt:i4>261</vt:i4>
      </vt:variant>
      <vt:variant>
        <vt:i4>0</vt:i4>
      </vt:variant>
      <vt:variant>
        <vt:i4>5</vt:i4>
      </vt:variant>
      <vt:variant>
        <vt:lpwstr>http://ec.europa.eu/environment/biodiversity/international/abs/index_en.htm</vt:lpwstr>
      </vt:variant>
      <vt:variant>
        <vt:lpwstr/>
      </vt:variant>
      <vt:variant>
        <vt:i4>7340077</vt:i4>
      </vt:variant>
      <vt:variant>
        <vt:i4>258</vt:i4>
      </vt:variant>
      <vt:variant>
        <vt:i4>0</vt:i4>
      </vt:variant>
      <vt:variant>
        <vt:i4>5</vt:i4>
      </vt:variant>
      <vt:variant>
        <vt:lpwstr>http://ec.europa.eu/environment/nature/biodiversity/comm2006/pdf/BD%20Proofing%20Main%20Report.pdf</vt:lpwstr>
      </vt:variant>
      <vt:variant>
        <vt:lpwstr/>
      </vt:variant>
      <vt:variant>
        <vt:i4>4194375</vt:i4>
      </vt:variant>
      <vt:variant>
        <vt:i4>255</vt:i4>
      </vt:variant>
      <vt:variant>
        <vt:i4>0</vt:i4>
      </vt:variant>
      <vt:variant>
        <vt:i4>5</vt:i4>
      </vt:variant>
      <vt:variant>
        <vt:lpwstr>http://ec.europa.eu/best/</vt:lpwstr>
      </vt:variant>
      <vt:variant>
        <vt:lpwstr/>
      </vt:variant>
      <vt:variant>
        <vt:i4>131148</vt:i4>
      </vt:variant>
      <vt:variant>
        <vt:i4>252</vt:i4>
      </vt:variant>
      <vt:variant>
        <vt:i4>0</vt:i4>
      </vt:variant>
      <vt:variant>
        <vt:i4>5</vt:i4>
      </vt:variant>
      <vt:variant>
        <vt:lpwstr>http://ec.europa.eu/environment/nature/biodiversity/comm2006/2020.htm</vt:lpwstr>
      </vt:variant>
      <vt:variant>
        <vt:lpwstr>best</vt:lpwstr>
      </vt:variant>
      <vt:variant>
        <vt:i4>7602281</vt:i4>
      </vt:variant>
      <vt:variant>
        <vt:i4>249</vt:i4>
      </vt:variant>
      <vt:variant>
        <vt:i4>0</vt:i4>
      </vt:variant>
      <vt:variant>
        <vt:i4>5</vt:i4>
      </vt:variant>
      <vt:variant>
        <vt:lpwstr>http://www.biodiversityfinance.net/links-and-publications/biofin-factsheet</vt:lpwstr>
      </vt:variant>
      <vt:variant>
        <vt:lpwstr/>
      </vt:variant>
      <vt:variant>
        <vt:i4>3539028</vt:i4>
      </vt:variant>
      <vt:variant>
        <vt:i4>246</vt:i4>
      </vt:variant>
      <vt:variant>
        <vt:i4>0</vt:i4>
      </vt:variant>
      <vt:variant>
        <vt:i4>5</vt:i4>
      </vt:variant>
      <vt:variant>
        <vt:lpwstr>http://ec.europa.eu/environment/life/funding/financial_instruments/ncff.htm</vt:lpwstr>
      </vt:variant>
      <vt:variant>
        <vt:lpwstr/>
      </vt:variant>
      <vt:variant>
        <vt:i4>6881404</vt:i4>
      </vt:variant>
      <vt:variant>
        <vt:i4>243</vt:i4>
      </vt:variant>
      <vt:variant>
        <vt:i4>0</vt:i4>
      </vt:variant>
      <vt:variant>
        <vt:i4>5</vt:i4>
      </vt:variant>
      <vt:variant>
        <vt:lpwstr>http://www.cbd.int/decision/cop/default.shtml?id=13366</vt:lpwstr>
      </vt:variant>
      <vt:variant>
        <vt:lpwstr/>
      </vt:variant>
      <vt:variant>
        <vt:i4>655374</vt:i4>
      </vt:variant>
      <vt:variant>
        <vt:i4>240</vt:i4>
      </vt:variant>
      <vt:variant>
        <vt:i4>0</vt:i4>
      </vt:variant>
      <vt:variant>
        <vt:i4>5</vt:i4>
      </vt:variant>
      <vt:variant>
        <vt:lpwstr>http://www.ieep.eu/work-areas/environmental-economics/2012/12/reforming-environmentally-harmful-subsidies-for-a-resource-efficient-europe</vt:lpwstr>
      </vt:variant>
      <vt:variant>
        <vt:lpwstr/>
      </vt:variant>
      <vt:variant>
        <vt:i4>196720</vt:i4>
      </vt:variant>
      <vt:variant>
        <vt:i4>237</vt:i4>
      </vt:variant>
      <vt:variant>
        <vt:i4>0</vt:i4>
      </vt:variant>
      <vt:variant>
        <vt:i4>5</vt:i4>
      </vt:variant>
      <vt:variant>
        <vt:lpwstr>http://ec.europa.eu/environment/cites/home_en.htm</vt:lpwstr>
      </vt:variant>
      <vt:variant>
        <vt:lpwstr/>
      </vt:variant>
      <vt:variant>
        <vt:i4>5570675</vt:i4>
      </vt:variant>
      <vt:variant>
        <vt:i4>234</vt:i4>
      </vt:variant>
      <vt:variant>
        <vt:i4>0</vt:i4>
      </vt:variant>
      <vt:variant>
        <vt:i4>5</vt:i4>
      </vt:variant>
      <vt:variant>
        <vt:lpwstr>http://www.fern.org/sites/fern.org/files/Stolen%20Goods_EN.pdf</vt:lpwstr>
      </vt:variant>
      <vt:variant>
        <vt:lpwstr/>
      </vt:variant>
      <vt:variant>
        <vt:i4>1376323</vt:i4>
      </vt:variant>
      <vt:variant>
        <vt:i4>231</vt:i4>
      </vt:variant>
      <vt:variant>
        <vt:i4>0</vt:i4>
      </vt:variant>
      <vt:variant>
        <vt:i4>5</vt:i4>
      </vt:variant>
      <vt:variant>
        <vt:lpwstr>http://ec.europa.eu/environment/forests/flegt.htm</vt:lpwstr>
      </vt:variant>
      <vt:variant>
        <vt:lpwstr/>
      </vt:variant>
      <vt:variant>
        <vt:i4>6422629</vt:i4>
      </vt:variant>
      <vt:variant>
        <vt:i4>228</vt:i4>
      </vt:variant>
      <vt:variant>
        <vt:i4>0</vt:i4>
      </vt:variant>
      <vt:variant>
        <vt:i4>5</vt:i4>
      </vt:variant>
      <vt:variant>
        <vt:lpwstr>http://www.reabic.net/journals/mbi/2015/2/MBI_2015_Katsanevakis_etal_correctedproof.pdf</vt:lpwstr>
      </vt:variant>
      <vt:variant>
        <vt:lpwstr/>
      </vt:variant>
      <vt:variant>
        <vt:i4>2097196</vt:i4>
      </vt:variant>
      <vt:variant>
        <vt:i4>225</vt:i4>
      </vt:variant>
      <vt:variant>
        <vt:i4>0</vt:i4>
      </vt:variant>
      <vt:variant>
        <vt:i4>5</vt:i4>
      </vt:variant>
      <vt:variant>
        <vt:lpwstr>http://easin.jrc.ec.europa.eu/</vt:lpwstr>
      </vt:variant>
      <vt:variant>
        <vt:lpwstr/>
      </vt:variant>
      <vt:variant>
        <vt:i4>1310780</vt:i4>
      </vt:variant>
      <vt:variant>
        <vt:i4>222</vt:i4>
      </vt:variant>
      <vt:variant>
        <vt:i4>0</vt:i4>
      </vt:variant>
      <vt:variant>
        <vt:i4>5</vt:i4>
      </vt:variant>
      <vt:variant>
        <vt:lpwstr>http://ec.europa.eu/food/plant/plant_health_biosecurity/legislation/new_eu_rules/index_en.htm</vt:lpwstr>
      </vt:variant>
      <vt:variant>
        <vt:lpwstr/>
      </vt:variant>
      <vt:variant>
        <vt:i4>589882</vt:i4>
      </vt:variant>
      <vt:variant>
        <vt:i4>219</vt:i4>
      </vt:variant>
      <vt:variant>
        <vt:i4>0</vt:i4>
      </vt:variant>
      <vt:variant>
        <vt:i4>5</vt:i4>
      </vt:variant>
      <vt:variant>
        <vt:lpwstr>http://ec.europa.eu/food/animal/animal-health-proposal-2013_en.htm</vt:lpwstr>
      </vt:variant>
      <vt:variant>
        <vt:lpwstr/>
      </vt:variant>
      <vt:variant>
        <vt:i4>3801122</vt:i4>
      </vt:variant>
      <vt:variant>
        <vt:i4>216</vt:i4>
      </vt:variant>
      <vt:variant>
        <vt:i4>0</vt:i4>
      </vt:variant>
      <vt:variant>
        <vt:i4>5</vt:i4>
      </vt:variant>
      <vt:variant>
        <vt:lpwstr>http://www.seas-at-risk.org/n3.php?page=110</vt:lpwstr>
      </vt:variant>
      <vt:variant>
        <vt:lpwstr/>
      </vt:variant>
      <vt:variant>
        <vt:i4>6881367</vt:i4>
      </vt:variant>
      <vt:variant>
        <vt:i4>213</vt:i4>
      </vt:variant>
      <vt:variant>
        <vt:i4>0</vt:i4>
      </vt:variant>
      <vt:variant>
        <vt:i4>5</vt:i4>
      </vt:variant>
      <vt:variant>
        <vt:lpwstr>http://www.eea.europa.eu/publications/technical_report_2007_11</vt:lpwstr>
      </vt:variant>
      <vt:variant>
        <vt:lpwstr/>
      </vt:variant>
      <vt:variant>
        <vt:i4>5111822</vt:i4>
      </vt:variant>
      <vt:variant>
        <vt:i4>210</vt:i4>
      </vt:variant>
      <vt:variant>
        <vt:i4>0</vt:i4>
      </vt:variant>
      <vt:variant>
        <vt:i4>5</vt:i4>
      </vt:variant>
      <vt:variant>
        <vt:lpwstr>http://eur-lex.europa.eu/legal-content/EN/TXT/?uri=CELEX:52013SC0321</vt:lpwstr>
      </vt:variant>
      <vt:variant>
        <vt:lpwstr/>
      </vt:variant>
      <vt:variant>
        <vt:i4>6160469</vt:i4>
      </vt:variant>
      <vt:variant>
        <vt:i4>207</vt:i4>
      </vt:variant>
      <vt:variant>
        <vt:i4>0</vt:i4>
      </vt:variant>
      <vt:variant>
        <vt:i4>5</vt:i4>
      </vt:variant>
      <vt:variant>
        <vt:lpwstr>http://bd.eionet.europa.eu/activities/Reporting/Article_12/reference_portal</vt:lpwstr>
      </vt:variant>
      <vt:variant>
        <vt:lpwstr/>
      </vt:variant>
      <vt:variant>
        <vt:i4>3211298</vt:i4>
      </vt:variant>
      <vt:variant>
        <vt:i4>204</vt:i4>
      </vt:variant>
      <vt:variant>
        <vt:i4>0</vt:i4>
      </vt:variant>
      <vt:variant>
        <vt:i4>5</vt:i4>
      </vt:variant>
      <vt:variant>
        <vt:lpwstr>http://forum.eionet.europa.eu/nrc-nature-and-biodiversity-interest-group/library/consultations/consultation-state-nature-eu</vt:lpwstr>
      </vt:variant>
      <vt:variant>
        <vt:lpwstr/>
      </vt:variant>
      <vt:variant>
        <vt:i4>2097196</vt:i4>
      </vt:variant>
      <vt:variant>
        <vt:i4>201</vt:i4>
      </vt:variant>
      <vt:variant>
        <vt:i4>0</vt:i4>
      </vt:variant>
      <vt:variant>
        <vt:i4>5</vt:i4>
      </vt:variant>
      <vt:variant>
        <vt:lpwstr>http://easin.jrc.ec.europa.eu/</vt:lpwstr>
      </vt:variant>
      <vt:variant>
        <vt:lpwstr/>
      </vt:variant>
      <vt:variant>
        <vt:i4>3080307</vt:i4>
      </vt:variant>
      <vt:variant>
        <vt:i4>198</vt:i4>
      </vt:variant>
      <vt:variant>
        <vt:i4>0</vt:i4>
      </vt:variant>
      <vt:variant>
        <vt:i4>5</vt:i4>
      </vt:variant>
      <vt:variant>
        <vt:lpwstr>http://ec.europa.eu/environment/nature/natura2000/barometer</vt:lpwstr>
      </vt:variant>
      <vt:variant>
        <vt:lpwstr/>
      </vt:variant>
      <vt:variant>
        <vt:i4>5636117</vt:i4>
      </vt:variant>
      <vt:variant>
        <vt:i4>195</vt:i4>
      </vt:variant>
      <vt:variant>
        <vt:i4>0</vt:i4>
      </vt:variant>
      <vt:variant>
        <vt:i4>5</vt:i4>
      </vt:variant>
      <vt:variant>
        <vt:lpwstr>http://www.eea.europa.eu/publications/marine-messages</vt:lpwstr>
      </vt:variant>
      <vt:variant>
        <vt:lpwstr/>
      </vt:variant>
      <vt:variant>
        <vt:i4>3735652</vt:i4>
      </vt:variant>
      <vt:variant>
        <vt:i4>192</vt:i4>
      </vt:variant>
      <vt:variant>
        <vt:i4>0</vt:i4>
      </vt:variant>
      <vt:variant>
        <vt:i4>5</vt:i4>
      </vt:variant>
      <vt:variant>
        <vt:lpwstr>http://forum.eionet.europa.eu/nrc-biodiversity-and-ecosystems-indicators-and-assessments/library/consultations/consultation-state-nature-eu</vt:lpwstr>
      </vt:variant>
      <vt:variant>
        <vt:lpwstr/>
      </vt:variant>
      <vt:variant>
        <vt:i4>5963828</vt:i4>
      </vt:variant>
      <vt:variant>
        <vt:i4>189</vt:i4>
      </vt:variant>
      <vt:variant>
        <vt:i4>0</vt:i4>
      </vt:variant>
      <vt:variant>
        <vt:i4>5</vt:i4>
      </vt:variant>
      <vt:variant>
        <vt:lpwstr>http://ec.europa.eu/fisheries/cfp/fishing_rules/seabirds/seabirds_communication_en.pdf</vt:lpwstr>
      </vt:variant>
      <vt:variant>
        <vt:lpwstr/>
      </vt:variant>
      <vt:variant>
        <vt:i4>7274550</vt:i4>
      </vt:variant>
      <vt:variant>
        <vt:i4>186</vt:i4>
      </vt:variant>
      <vt:variant>
        <vt:i4>0</vt:i4>
      </vt:variant>
      <vt:variant>
        <vt:i4>5</vt:i4>
      </vt:variant>
      <vt:variant>
        <vt:lpwstr>http://ec.europa.eu/fisheries/cfp/fishing_rules/discards/index_en.htm</vt:lpwstr>
      </vt:variant>
      <vt:variant>
        <vt:lpwstr/>
      </vt:variant>
      <vt:variant>
        <vt:i4>7405610</vt:i4>
      </vt:variant>
      <vt:variant>
        <vt:i4>183</vt:i4>
      </vt:variant>
      <vt:variant>
        <vt:i4>0</vt:i4>
      </vt:variant>
      <vt:variant>
        <vt:i4>5</vt:i4>
      </vt:variant>
      <vt:variant>
        <vt:lpwstr>http://ec.europa.eu/dgs/maritimeaffairs_fisheries/consultations/fishing-opportunities-2015/doc/com-2014-388_en.pdf</vt:lpwstr>
      </vt:variant>
      <vt:variant>
        <vt:lpwstr/>
      </vt:variant>
      <vt:variant>
        <vt:i4>3080319</vt:i4>
      </vt:variant>
      <vt:variant>
        <vt:i4>180</vt:i4>
      </vt:variant>
      <vt:variant>
        <vt:i4>0</vt:i4>
      </vt:variant>
      <vt:variant>
        <vt:i4>5</vt:i4>
      </vt:variant>
      <vt:variant>
        <vt:lpwstr>http://ec.europa.eu/fisheries/cfp/fishing_rules/multi_annual_plans/index_en.htm</vt:lpwstr>
      </vt:variant>
      <vt:variant>
        <vt:lpwstr/>
      </vt:variant>
      <vt:variant>
        <vt:i4>196638</vt:i4>
      </vt:variant>
      <vt:variant>
        <vt:i4>177</vt:i4>
      </vt:variant>
      <vt:variant>
        <vt:i4>0</vt:i4>
      </vt:variant>
      <vt:variant>
        <vt:i4>5</vt:i4>
      </vt:variant>
      <vt:variant>
        <vt:lpwstr>http://stecf.jrc.ec.europa.eu/documents/43805/55543/2015-03_STECF+15-04+-+Monitoring+the+CFP_JRCxxx.pdf</vt:lpwstr>
      </vt:variant>
      <vt:variant>
        <vt:lpwstr/>
      </vt:variant>
      <vt:variant>
        <vt:i4>6815843</vt:i4>
      </vt:variant>
      <vt:variant>
        <vt:i4>174</vt:i4>
      </vt:variant>
      <vt:variant>
        <vt:i4>0</vt:i4>
      </vt:variant>
      <vt:variant>
        <vt:i4>5</vt:i4>
      </vt:variant>
      <vt:variant>
        <vt:lpwstr>http://www.eea.europa.eu/data-and-maps/indicators/status-of-marine-fish-stocks-2/assessment</vt:lpwstr>
      </vt:variant>
      <vt:variant>
        <vt:lpwstr/>
      </vt:variant>
      <vt:variant>
        <vt:i4>262195</vt:i4>
      </vt:variant>
      <vt:variant>
        <vt:i4>171</vt:i4>
      </vt:variant>
      <vt:variant>
        <vt:i4>0</vt:i4>
      </vt:variant>
      <vt:variant>
        <vt:i4>5</vt:i4>
      </vt:variant>
      <vt:variant>
        <vt:lpwstr>http://ec.europa.eu/environment/marine/eu-coast-and-marine-policy/marine-strategy-framework-directive/index_en.htm</vt:lpwstr>
      </vt:variant>
      <vt:variant>
        <vt:lpwstr/>
      </vt:variant>
      <vt:variant>
        <vt:i4>4128876</vt:i4>
      </vt:variant>
      <vt:variant>
        <vt:i4>168</vt:i4>
      </vt:variant>
      <vt:variant>
        <vt:i4>0</vt:i4>
      </vt:variant>
      <vt:variant>
        <vt:i4>5</vt:i4>
      </vt:variant>
      <vt:variant>
        <vt:lpwstr>http://www.foresteurope.org/docs/reporting/MCPFE_INFO_DOC_on_data_collection_on_Protected_forests.pdf</vt:lpwstr>
      </vt:variant>
      <vt:variant>
        <vt:lpwstr/>
      </vt:variant>
      <vt:variant>
        <vt:i4>7995487</vt:i4>
      </vt:variant>
      <vt:variant>
        <vt:i4>165</vt:i4>
      </vt:variant>
      <vt:variant>
        <vt:i4>0</vt:i4>
      </vt:variant>
      <vt:variant>
        <vt:i4>5</vt:i4>
      </vt:variant>
      <vt:variant>
        <vt:lpwstr>http://ec.europa.eu/environment/forests/pdf/fmp_table.pdf</vt:lpwstr>
      </vt:variant>
      <vt:variant>
        <vt:lpwstr/>
      </vt:variant>
      <vt:variant>
        <vt:i4>983077</vt:i4>
      </vt:variant>
      <vt:variant>
        <vt:i4>162</vt:i4>
      </vt:variant>
      <vt:variant>
        <vt:i4>0</vt:i4>
      </vt:variant>
      <vt:variant>
        <vt:i4>5</vt:i4>
      </vt:variant>
      <vt:variant>
        <vt:lpwstr>http://www.foresteurope.org/docs/MC/MC_lisbon_resolution_annex2.pdf</vt:lpwstr>
      </vt:variant>
      <vt:variant>
        <vt:lpwstr/>
      </vt:variant>
      <vt:variant>
        <vt:i4>7733273</vt:i4>
      </vt:variant>
      <vt:variant>
        <vt:i4>159</vt:i4>
      </vt:variant>
      <vt:variant>
        <vt:i4>0</vt:i4>
      </vt:variant>
      <vt:variant>
        <vt:i4>5</vt:i4>
      </vt:variant>
      <vt:variant>
        <vt:lpwstr>http://www.waldwissen.net/wald/boden/wsl_wald_wasser/index_DE</vt:lpwstr>
      </vt:variant>
      <vt:variant>
        <vt:lpwstr/>
      </vt:variant>
      <vt:variant>
        <vt:i4>7995487</vt:i4>
      </vt:variant>
      <vt:variant>
        <vt:i4>156</vt:i4>
      </vt:variant>
      <vt:variant>
        <vt:i4>0</vt:i4>
      </vt:variant>
      <vt:variant>
        <vt:i4>5</vt:i4>
      </vt:variant>
      <vt:variant>
        <vt:lpwstr>http://ec.europa.eu/environment/forests/pdf/fmp_table.pdf</vt:lpwstr>
      </vt:variant>
      <vt:variant>
        <vt:lpwstr/>
      </vt:variant>
      <vt:variant>
        <vt:i4>6291559</vt:i4>
      </vt:variant>
      <vt:variant>
        <vt:i4>153</vt:i4>
      </vt:variant>
      <vt:variant>
        <vt:i4>0</vt:i4>
      </vt:variant>
      <vt:variant>
        <vt:i4>5</vt:i4>
      </vt:variant>
      <vt:variant>
        <vt:lpwstr>http://parltrack.euwiki.org/dossier/2014/2223%28INI%29</vt:lpwstr>
      </vt:variant>
      <vt:variant>
        <vt:lpwstr/>
      </vt:variant>
      <vt:variant>
        <vt:i4>8323153</vt:i4>
      </vt:variant>
      <vt:variant>
        <vt:i4>150</vt:i4>
      </vt:variant>
      <vt:variant>
        <vt:i4>0</vt:i4>
      </vt:variant>
      <vt:variant>
        <vt:i4>5</vt:i4>
      </vt:variant>
      <vt:variant>
        <vt:lpwstr>http://ec.europa.eu/agriculture/forest/strategy/index_en.htm</vt:lpwstr>
      </vt:variant>
      <vt:variant>
        <vt:lpwstr/>
      </vt:variant>
      <vt:variant>
        <vt:i4>131154</vt:i4>
      </vt:variant>
      <vt:variant>
        <vt:i4>147</vt:i4>
      </vt:variant>
      <vt:variant>
        <vt:i4>0</vt:i4>
      </vt:variant>
      <vt:variant>
        <vt:i4>5</vt:i4>
      </vt:variant>
      <vt:variant>
        <vt:lpwstr>http://eur-lex.europa.eu/legal-content/EN/TXT/?qid=1399554265416&amp;uri=CELEX:31999L0105</vt:lpwstr>
      </vt:variant>
      <vt:variant>
        <vt:lpwstr/>
      </vt:variant>
      <vt:variant>
        <vt:i4>95</vt:i4>
      </vt:variant>
      <vt:variant>
        <vt:i4>144</vt:i4>
      </vt:variant>
      <vt:variant>
        <vt:i4>0</vt:i4>
      </vt:variant>
      <vt:variant>
        <vt:i4>5</vt:i4>
      </vt:variant>
      <vt:variant>
        <vt:lpwstr>http://eur-lex.europa.eu/legal-content/EN/TXT/?qid=1399553530246&amp;uri=CELEX:32010L0060</vt:lpwstr>
      </vt:variant>
      <vt:variant>
        <vt:lpwstr/>
      </vt:variant>
      <vt:variant>
        <vt:i4>2359400</vt:i4>
      </vt:variant>
      <vt:variant>
        <vt:i4>141</vt:i4>
      </vt:variant>
      <vt:variant>
        <vt:i4>0</vt:i4>
      </vt:variant>
      <vt:variant>
        <vt:i4>5</vt:i4>
      </vt:variant>
      <vt:variant>
        <vt:lpwstr>http://eur-lex.europa.eu/legal-content/EN/TXT/?qid=1399552442848&amp;uri=CELEX:02009L0145-20130828</vt:lpwstr>
      </vt:variant>
      <vt:variant>
        <vt:lpwstr/>
      </vt:variant>
      <vt:variant>
        <vt:i4>131162</vt:i4>
      </vt:variant>
      <vt:variant>
        <vt:i4>138</vt:i4>
      </vt:variant>
      <vt:variant>
        <vt:i4>0</vt:i4>
      </vt:variant>
      <vt:variant>
        <vt:i4>5</vt:i4>
      </vt:variant>
      <vt:variant>
        <vt:lpwstr>http://eur-lex.europa.eu/legal-content/EN/TXT/?qid=1399552280672&amp;uri=CELEX:32008L0062</vt:lpwstr>
      </vt:variant>
      <vt:variant>
        <vt:lpwstr/>
      </vt:variant>
      <vt:variant>
        <vt:i4>7209078</vt:i4>
      </vt:variant>
      <vt:variant>
        <vt:i4>135</vt:i4>
      </vt:variant>
      <vt:variant>
        <vt:i4>0</vt:i4>
      </vt:variant>
      <vt:variant>
        <vt:i4>5</vt:i4>
      </vt:variant>
      <vt:variant>
        <vt:lpwstr>http://www.geneticresources.eu/map/</vt:lpwstr>
      </vt:variant>
      <vt:variant>
        <vt:lpwstr/>
      </vt:variant>
      <vt:variant>
        <vt:i4>7536696</vt:i4>
      </vt:variant>
      <vt:variant>
        <vt:i4>132</vt:i4>
      </vt:variant>
      <vt:variant>
        <vt:i4>0</vt:i4>
      </vt:variant>
      <vt:variant>
        <vt:i4>5</vt:i4>
      </vt:variant>
      <vt:variant>
        <vt:lpwstr>http://www.geneticresources.eu/</vt:lpwstr>
      </vt:variant>
      <vt:variant>
        <vt:lpwstr/>
      </vt:variant>
      <vt:variant>
        <vt:i4>2556026</vt:i4>
      </vt:variant>
      <vt:variant>
        <vt:i4>129</vt:i4>
      </vt:variant>
      <vt:variant>
        <vt:i4>0</vt:i4>
      </vt:variant>
      <vt:variant>
        <vt:i4>5</vt:i4>
      </vt:variant>
      <vt:variant>
        <vt:lpwstr>http://ec.europa.eu/eip/agriculture/en/content/genetic-resources-cooperation-models</vt:lpwstr>
      </vt:variant>
      <vt:variant>
        <vt:lpwstr/>
      </vt:variant>
      <vt:variant>
        <vt:i4>6619156</vt:i4>
      </vt:variant>
      <vt:variant>
        <vt:i4>126</vt:i4>
      </vt:variant>
      <vt:variant>
        <vt:i4>0</vt:i4>
      </vt:variant>
      <vt:variant>
        <vt:i4>5</vt:i4>
      </vt:variant>
      <vt:variant>
        <vt:lpwstr>http://ec.europa.eu/agriculture/cap-post-2013/monitoring-evaluation/index_en.htm</vt:lpwstr>
      </vt:variant>
      <vt:variant>
        <vt:lpwstr/>
      </vt:variant>
      <vt:variant>
        <vt:i4>6357055</vt:i4>
      </vt:variant>
      <vt:variant>
        <vt:i4>123</vt:i4>
      </vt:variant>
      <vt:variant>
        <vt:i4>0</vt:i4>
      </vt:variant>
      <vt:variant>
        <vt:i4>5</vt:i4>
      </vt:variant>
      <vt:variant>
        <vt:lpwstr>http://register.consilium.europa.eu/doc/srv?l=EN&amp;t=PDF&amp;gc=true&amp;sc=false&amp;f=ST%2013349%202013%20REV%201&amp;r=http%3A%2F%2Fregister.consilium.europa.eu%2Fpd%2Fen%2F13%2Fst13%2Fst13349-re01.en13.pdf</vt:lpwstr>
      </vt:variant>
      <vt:variant>
        <vt:lpwstr/>
      </vt:variant>
      <vt:variant>
        <vt:i4>3342447</vt:i4>
      </vt:variant>
      <vt:variant>
        <vt:i4>120</vt:i4>
      </vt:variant>
      <vt:variant>
        <vt:i4>0</vt:i4>
      </vt:variant>
      <vt:variant>
        <vt:i4>5</vt:i4>
      </vt:variant>
      <vt:variant>
        <vt:lpwstr>http://register.consilium.europa.eu/doc/srv?l=EN&amp;t=PDF&amp;gc=true&amp;sc=false&amp;f=ST%2013294%202013%20INIT&amp;r=http%3A%2F%2Fregister.consilium.europa.eu%2Fpd%2Fen%2F13%2Fst1</vt:lpwstr>
      </vt:variant>
      <vt:variant>
        <vt:lpwstr/>
      </vt:variant>
      <vt:variant>
        <vt:i4>3342430</vt:i4>
      </vt:variant>
      <vt:variant>
        <vt:i4>117</vt:i4>
      </vt:variant>
      <vt:variant>
        <vt:i4>0</vt:i4>
      </vt:variant>
      <vt:variant>
        <vt:i4>5</vt:i4>
      </vt:variant>
      <vt:variant>
        <vt:lpwstr>http://ec.europa.eu/environment/nature/biodiversity/nnl/index_en.htm</vt:lpwstr>
      </vt:variant>
      <vt:variant>
        <vt:lpwstr/>
      </vt:variant>
      <vt:variant>
        <vt:i4>7340077</vt:i4>
      </vt:variant>
      <vt:variant>
        <vt:i4>114</vt:i4>
      </vt:variant>
      <vt:variant>
        <vt:i4>0</vt:i4>
      </vt:variant>
      <vt:variant>
        <vt:i4>5</vt:i4>
      </vt:variant>
      <vt:variant>
        <vt:lpwstr>http://ec.europa.eu/environment/nature/biodiversity/comm2006/pdf/BD%20Proofing%20Main%20Report.pdf</vt:lpwstr>
      </vt:variant>
      <vt:variant>
        <vt:lpwstr/>
      </vt:variant>
      <vt:variant>
        <vt:i4>1966128</vt:i4>
      </vt:variant>
      <vt:variant>
        <vt:i4>111</vt:i4>
      </vt:variant>
      <vt:variant>
        <vt:i4>0</vt:i4>
      </vt:variant>
      <vt:variant>
        <vt:i4>5</vt:i4>
      </vt:variant>
      <vt:variant>
        <vt:lpwstr>http://ec.europa.eu/environment/nature/ecosystems/index_en.htm</vt:lpwstr>
      </vt:variant>
      <vt:variant>
        <vt:lpwstr/>
      </vt:variant>
      <vt:variant>
        <vt:i4>4849690</vt:i4>
      </vt:variant>
      <vt:variant>
        <vt:i4>108</vt:i4>
      </vt:variant>
      <vt:variant>
        <vt:i4>0</vt:i4>
      </vt:variant>
      <vt:variant>
        <vt:i4>5</vt:i4>
      </vt:variant>
      <vt:variant>
        <vt:lpwstr>http://ec.europa.eu/environment/nature/biodiversity/comm2006/pdf/2020/RPF.pdf</vt:lpwstr>
      </vt:variant>
      <vt:variant>
        <vt:lpwstr/>
      </vt:variant>
      <vt:variant>
        <vt:i4>1179742</vt:i4>
      </vt:variant>
      <vt:variant>
        <vt:i4>105</vt:i4>
      </vt:variant>
      <vt:variant>
        <vt:i4>0</vt:i4>
      </vt:variant>
      <vt:variant>
        <vt:i4>5</vt:i4>
      </vt:variant>
      <vt:variant>
        <vt:lpwstr>http://cices.eu/</vt:lpwstr>
      </vt:variant>
      <vt:variant>
        <vt:lpwstr/>
      </vt:variant>
      <vt:variant>
        <vt:i4>8257614</vt:i4>
      </vt:variant>
      <vt:variant>
        <vt:i4>102</vt:i4>
      </vt:variant>
      <vt:variant>
        <vt:i4>0</vt:i4>
      </vt:variant>
      <vt:variant>
        <vt:i4>5</vt:i4>
      </vt:variant>
      <vt:variant>
        <vt:lpwstr>http://ec.europa.eu/environment/nature/knowledge/ecosystem_assessment/pdf/MAESWorkingPaper2013.pdf</vt:lpwstr>
      </vt:variant>
      <vt:variant>
        <vt:lpwstr/>
      </vt:variant>
      <vt:variant>
        <vt:i4>8257614</vt:i4>
      </vt:variant>
      <vt:variant>
        <vt:i4>99</vt:i4>
      </vt:variant>
      <vt:variant>
        <vt:i4>0</vt:i4>
      </vt:variant>
      <vt:variant>
        <vt:i4>5</vt:i4>
      </vt:variant>
      <vt:variant>
        <vt:lpwstr>http://ec.europa.eu/environment/nature/knowledge/ecosystem_assessment/pdf/MAESWorkingPaper2013.pdf</vt:lpwstr>
      </vt:variant>
      <vt:variant>
        <vt:lpwstr/>
      </vt:variant>
      <vt:variant>
        <vt:i4>1376348</vt:i4>
      </vt:variant>
      <vt:variant>
        <vt:i4>96</vt:i4>
      </vt:variant>
      <vt:variant>
        <vt:i4>0</vt:i4>
      </vt:variant>
      <vt:variant>
        <vt:i4>5</vt:i4>
      </vt:variant>
      <vt:variant>
        <vt:lpwstr>http://ec.europa.eu/environment/nature/knowledge/ecosystem_assessment/index_en.htm</vt:lpwstr>
      </vt:variant>
      <vt:variant>
        <vt:lpwstr/>
      </vt:variant>
      <vt:variant>
        <vt:i4>7340149</vt:i4>
      </vt:variant>
      <vt:variant>
        <vt:i4>93</vt:i4>
      </vt:variant>
      <vt:variant>
        <vt:i4>0</vt:i4>
      </vt:variant>
      <vt:variant>
        <vt:i4>5</vt:i4>
      </vt:variant>
      <vt:variant>
        <vt:lpwstr>https://www.researchgate.net/publication/274256807_Mapping_and_Assessment_of_Ecosystems_and_their_Services_Trends_in_ecosystems_and_ecosystem_services_in_the_European_Union_between_2000_and_2010</vt:lpwstr>
      </vt:variant>
      <vt:variant>
        <vt:lpwstr/>
      </vt:variant>
      <vt:variant>
        <vt:i4>3276844</vt:i4>
      </vt:variant>
      <vt:variant>
        <vt:i4>90</vt:i4>
      </vt:variant>
      <vt:variant>
        <vt:i4>0</vt:i4>
      </vt:variant>
      <vt:variant>
        <vt:i4>5</vt:i4>
      </vt:variant>
      <vt:variant>
        <vt:lpwstr>http://biodiversity.europa.eu/</vt:lpwstr>
      </vt:variant>
      <vt:variant>
        <vt:lpwstr/>
      </vt:variant>
      <vt:variant>
        <vt:i4>589915</vt:i4>
      </vt:variant>
      <vt:variant>
        <vt:i4>87</vt:i4>
      </vt:variant>
      <vt:variant>
        <vt:i4>0</vt:i4>
      </vt:variant>
      <vt:variant>
        <vt:i4>5</vt:i4>
      </vt:variant>
      <vt:variant>
        <vt:lpwstr>http://bd.eionet.europa.eu/article12/</vt:lpwstr>
      </vt:variant>
      <vt:variant>
        <vt:lpwstr/>
      </vt:variant>
      <vt:variant>
        <vt:i4>4325390</vt:i4>
      </vt:variant>
      <vt:variant>
        <vt:i4>84</vt:i4>
      </vt:variant>
      <vt:variant>
        <vt:i4>0</vt:i4>
      </vt:variant>
      <vt:variant>
        <vt:i4>5</vt:i4>
      </vt:variant>
      <vt:variant>
        <vt:lpwstr>http://art17.eionet.europa.eu/article17/reports2012/</vt:lpwstr>
      </vt:variant>
      <vt:variant>
        <vt:lpwstr/>
      </vt:variant>
      <vt:variant>
        <vt:i4>5242936</vt:i4>
      </vt:variant>
      <vt:variant>
        <vt:i4>81</vt:i4>
      </vt:variant>
      <vt:variant>
        <vt:i4>0</vt:i4>
      </vt:variant>
      <vt:variant>
        <vt:i4>5</vt:i4>
      </vt:variant>
      <vt:variant>
        <vt:lpwstr>http://bd.eionet.europa.eu/activities/Reporting/Article_12</vt:lpwstr>
      </vt:variant>
      <vt:variant>
        <vt:lpwstr/>
      </vt:variant>
      <vt:variant>
        <vt:i4>2490481</vt:i4>
      </vt:variant>
      <vt:variant>
        <vt:i4>78</vt:i4>
      </vt:variant>
      <vt:variant>
        <vt:i4>0</vt:i4>
      </vt:variant>
      <vt:variant>
        <vt:i4>5</vt:i4>
      </vt:variant>
      <vt:variant>
        <vt:lpwstr>http://ec.europa.eu/environment/nature/knowledge/rep_birds/index_en.htm</vt:lpwstr>
      </vt:variant>
      <vt:variant>
        <vt:lpwstr/>
      </vt:variant>
      <vt:variant>
        <vt:i4>6750224</vt:i4>
      </vt:variant>
      <vt:variant>
        <vt:i4>75</vt:i4>
      </vt:variant>
      <vt:variant>
        <vt:i4>0</vt:i4>
      </vt:variant>
      <vt:variant>
        <vt:i4>5</vt:i4>
      </vt:variant>
      <vt:variant>
        <vt:lpwstr>http://ec.europa.eu/environment/nature/conservation/wildbirds/illegal_killing.htm</vt:lpwstr>
      </vt:variant>
      <vt:variant>
        <vt:lpwstr/>
      </vt:variant>
      <vt:variant>
        <vt:i4>5505123</vt:i4>
      </vt:variant>
      <vt:variant>
        <vt:i4>72</vt:i4>
      </vt:variant>
      <vt:variant>
        <vt:i4>0</vt:i4>
      </vt:variant>
      <vt:variant>
        <vt:i4>5</vt:i4>
      </vt:variant>
      <vt:variant>
        <vt:lpwstr>http://ec.europa.eu/environment/nature/conservation/species/carnivores/promoting_dialogue.htm</vt:lpwstr>
      </vt:variant>
      <vt:variant>
        <vt:lpwstr/>
      </vt:variant>
      <vt:variant>
        <vt:i4>2556020</vt:i4>
      </vt:variant>
      <vt:variant>
        <vt:i4>69</vt:i4>
      </vt:variant>
      <vt:variant>
        <vt:i4>0</vt:i4>
      </vt:variant>
      <vt:variant>
        <vt:i4>5</vt:i4>
      </vt:variant>
      <vt:variant>
        <vt:lpwstr>http://ec.europa.eu/environment/nature/conservation/species/carnivores/pdf/key_actions_large_carnivores_2015.pdf</vt:lpwstr>
      </vt:variant>
      <vt:variant>
        <vt:lpwstr/>
      </vt:variant>
      <vt:variant>
        <vt:i4>2097177</vt:i4>
      </vt:variant>
      <vt:variant>
        <vt:i4>66</vt:i4>
      </vt:variant>
      <vt:variant>
        <vt:i4>0</vt:i4>
      </vt:variant>
      <vt:variant>
        <vt:i4>5</vt:i4>
      </vt:variant>
      <vt:variant>
        <vt:lpwstr>http://ec.europa.eu/environment/nature/conservation/species/carnivores/coexistence_platform.htm</vt:lpwstr>
      </vt:variant>
      <vt:variant>
        <vt:lpwstr/>
      </vt:variant>
      <vt:variant>
        <vt:i4>393334</vt:i4>
      </vt:variant>
      <vt:variant>
        <vt:i4>63</vt:i4>
      </vt:variant>
      <vt:variant>
        <vt:i4>0</vt:i4>
      </vt:variant>
      <vt:variant>
        <vt:i4>5</vt:i4>
      </vt:variant>
      <vt:variant>
        <vt:lpwstr>http://ec.europa.eu/environment/nature/natura2000/marine/index_en.htm</vt:lpwstr>
      </vt:variant>
      <vt:variant>
        <vt:lpwstr/>
      </vt:variant>
      <vt:variant>
        <vt:i4>7143447</vt:i4>
      </vt:variant>
      <vt:variant>
        <vt:i4>60</vt:i4>
      </vt:variant>
      <vt:variant>
        <vt:i4>0</vt:i4>
      </vt:variant>
      <vt:variant>
        <vt:i4>5</vt:i4>
      </vt:variant>
      <vt:variant>
        <vt:lpwstr>http://ec.europa.eu/environment/nature/natura2000/management/guidance_en.htm</vt:lpwstr>
      </vt:variant>
      <vt:variant>
        <vt:lpwstr/>
      </vt:variant>
      <vt:variant>
        <vt:i4>1376348</vt:i4>
      </vt:variant>
      <vt:variant>
        <vt:i4>57</vt:i4>
      </vt:variant>
      <vt:variant>
        <vt:i4>0</vt:i4>
      </vt:variant>
      <vt:variant>
        <vt:i4>5</vt:i4>
      </vt:variant>
      <vt:variant>
        <vt:lpwstr>http://ec.europa.eu/environment/nature/knowledge/ecosystem_assessment/index_en.htm</vt:lpwstr>
      </vt:variant>
      <vt:variant>
        <vt:lpwstr/>
      </vt:variant>
      <vt:variant>
        <vt:i4>1900643</vt:i4>
      </vt:variant>
      <vt:variant>
        <vt:i4>54</vt:i4>
      </vt:variant>
      <vt:variant>
        <vt:i4>0</vt:i4>
      </vt:variant>
      <vt:variant>
        <vt:i4>5</vt:i4>
      </vt:variant>
      <vt:variant>
        <vt:lpwstr>http://ec.europa.eu/environment/nature/natura2000/awards/index_en.htm</vt:lpwstr>
      </vt:variant>
      <vt:variant>
        <vt:lpwstr/>
      </vt:variant>
      <vt:variant>
        <vt:i4>7602222</vt:i4>
      </vt:variant>
      <vt:variant>
        <vt:i4>51</vt:i4>
      </vt:variant>
      <vt:variant>
        <vt:i4>0</vt:i4>
      </vt:variant>
      <vt:variant>
        <vt:i4>5</vt:i4>
      </vt:variant>
      <vt:variant>
        <vt:lpwstr>http://www.eea.europa.eu/data-and-maps/indicators/public-awareness/public-awareness-assessment-published-may-1</vt:lpwstr>
      </vt:variant>
      <vt:variant>
        <vt:lpwstr/>
      </vt:variant>
      <vt:variant>
        <vt:i4>4587595</vt:i4>
      </vt:variant>
      <vt:variant>
        <vt:i4>48</vt:i4>
      </vt:variant>
      <vt:variant>
        <vt:i4>0</vt:i4>
      </vt:variant>
      <vt:variant>
        <vt:i4>5</vt:i4>
      </vt:variant>
      <vt:variant>
        <vt:lpwstr>http://ec.europa.eu/public_opinion/flash/fl_379_sum_en.pdf</vt:lpwstr>
      </vt:variant>
      <vt:variant>
        <vt:lpwstr/>
      </vt:variant>
      <vt:variant>
        <vt:i4>1966100</vt:i4>
      </vt:variant>
      <vt:variant>
        <vt:i4>45</vt:i4>
      </vt:variant>
      <vt:variant>
        <vt:i4>0</vt:i4>
      </vt:variant>
      <vt:variant>
        <vt:i4>5</vt:i4>
      </vt:variant>
      <vt:variant>
        <vt:lpwstr>http://forum.eionet.europa.eu/nrc-nature-and-biodiversity-interest-group/library/consultations/consultation-state-nature-eu/draft-state-nature-eu</vt:lpwstr>
      </vt:variant>
      <vt:variant>
        <vt:lpwstr/>
      </vt:variant>
      <vt:variant>
        <vt:i4>1966100</vt:i4>
      </vt:variant>
      <vt:variant>
        <vt:i4>42</vt:i4>
      </vt:variant>
      <vt:variant>
        <vt:i4>0</vt:i4>
      </vt:variant>
      <vt:variant>
        <vt:i4>5</vt:i4>
      </vt:variant>
      <vt:variant>
        <vt:lpwstr>http://forum.eionet.europa.eu/nrc-nature-and-biodiversity-interest-group/library/consultations/consultation-state-nature-eu/draft-state-nature-eu</vt:lpwstr>
      </vt:variant>
      <vt:variant>
        <vt:lpwstr/>
      </vt:variant>
      <vt:variant>
        <vt:i4>4128843</vt:i4>
      </vt:variant>
      <vt:variant>
        <vt:i4>39</vt:i4>
      </vt:variant>
      <vt:variant>
        <vt:i4>0</vt:i4>
      </vt:variant>
      <vt:variant>
        <vt:i4>5</vt:i4>
      </vt:variant>
      <vt:variant>
        <vt:lpwstr>http://ec.europa.eu/environment/nature/natura2000/barometer/index_en.htm</vt:lpwstr>
      </vt:variant>
      <vt:variant>
        <vt:lpwstr/>
      </vt:variant>
      <vt:variant>
        <vt:i4>1310749</vt:i4>
      </vt:variant>
      <vt:variant>
        <vt:i4>36</vt:i4>
      </vt:variant>
      <vt:variant>
        <vt:i4>0</vt:i4>
      </vt:variant>
      <vt:variant>
        <vt:i4>5</vt:i4>
      </vt:variant>
      <vt:variant>
        <vt:lpwstr>http://www.eea.europa.eu/publications/protected-areas-in-europe-2012</vt:lpwstr>
      </vt:variant>
      <vt:variant>
        <vt:lpwstr/>
      </vt:variant>
      <vt:variant>
        <vt:i4>3145737</vt:i4>
      </vt:variant>
      <vt:variant>
        <vt:i4>33</vt:i4>
      </vt:variant>
      <vt:variant>
        <vt:i4>0</vt:i4>
      </vt:variant>
      <vt:variant>
        <vt:i4>5</vt:i4>
      </vt:variant>
      <vt:variant>
        <vt:lpwstr>http://ec.europa.eu/environment/nature/legislation/index_en.htm</vt:lpwstr>
      </vt:variant>
      <vt:variant>
        <vt:lpwstr/>
      </vt:variant>
      <vt:variant>
        <vt:i4>8257588</vt:i4>
      </vt:variant>
      <vt:variant>
        <vt:i4>30</vt:i4>
      </vt:variant>
      <vt:variant>
        <vt:i4>0</vt:i4>
      </vt:variant>
      <vt:variant>
        <vt:i4>5</vt:i4>
      </vt:variant>
      <vt:variant>
        <vt:lpwstr>https://circabc.europa.eu/sd/a/7591acf1-746f-49ff-b162-84e08874ee1f/Point%203%20-%20Measuring%20progress%20target%201-v%205.pdf</vt:lpwstr>
      </vt:variant>
      <vt:variant>
        <vt:lpwstr/>
      </vt:variant>
      <vt:variant>
        <vt:i4>3211298</vt:i4>
      </vt:variant>
      <vt:variant>
        <vt:i4>27</vt:i4>
      </vt:variant>
      <vt:variant>
        <vt:i4>0</vt:i4>
      </vt:variant>
      <vt:variant>
        <vt:i4>5</vt:i4>
      </vt:variant>
      <vt:variant>
        <vt:lpwstr>http://forum.eionet.europa.eu/nrc-nature-and-biodiversity-interest-group/library/consultations/consultation-state-nature-eu</vt:lpwstr>
      </vt:variant>
      <vt:variant>
        <vt:lpwstr/>
      </vt:variant>
      <vt:variant>
        <vt:i4>1179675</vt:i4>
      </vt:variant>
      <vt:variant>
        <vt:i4>24</vt:i4>
      </vt:variant>
      <vt:variant>
        <vt:i4>0</vt:i4>
      </vt:variant>
      <vt:variant>
        <vt:i4>5</vt:i4>
      </vt:variant>
      <vt:variant>
        <vt:lpwstr>http://journals.plos.org/plosone/article?id=10.1371/journal.pone.0004678</vt:lpwstr>
      </vt:variant>
      <vt:variant>
        <vt:lpwstr/>
      </vt:variant>
      <vt:variant>
        <vt:i4>1769499</vt:i4>
      </vt:variant>
      <vt:variant>
        <vt:i4>21</vt:i4>
      </vt:variant>
      <vt:variant>
        <vt:i4>0</vt:i4>
      </vt:variant>
      <vt:variant>
        <vt:i4>5</vt:i4>
      </vt:variant>
      <vt:variant>
        <vt:lpwstr>http://www.eea.europa.eu/publications/european-waters-assessment-2012</vt:lpwstr>
      </vt:variant>
      <vt:variant>
        <vt:lpwstr/>
      </vt:variant>
      <vt:variant>
        <vt:i4>1245262</vt:i4>
      </vt:variant>
      <vt:variant>
        <vt:i4>18</vt:i4>
      </vt:variant>
      <vt:variant>
        <vt:i4>0</vt:i4>
      </vt:variant>
      <vt:variant>
        <vt:i4>5</vt:i4>
      </vt:variant>
      <vt:variant>
        <vt:lpwstr>http://www.eea.europa.eu/data-and-maps/indicators/status-of-marine-fish-stocks/status-of-marine-fish-stocks-8</vt:lpwstr>
      </vt:variant>
      <vt:variant>
        <vt:lpwstr/>
      </vt:variant>
      <vt:variant>
        <vt:i4>1900567</vt:i4>
      </vt:variant>
      <vt:variant>
        <vt:i4>15</vt:i4>
      </vt:variant>
      <vt:variant>
        <vt:i4>0</vt:i4>
      </vt:variant>
      <vt:variant>
        <vt:i4>5</vt:i4>
      </vt:variant>
      <vt:variant>
        <vt:lpwstr>http://www.eea.europa.eu/data-and-maps/indicators/abundance-and-distribution-of-selected-species/abundance-and-distribution-of-selected-2</vt:lpwstr>
      </vt:variant>
      <vt:variant>
        <vt:lpwstr/>
      </vt:variant>
      <vt:variant>
        <vt:i4>6488187</vt:i4>
      </vt:variant>
      <vt:variant>
        <vt:i4>12</vt:i4>
      </vt:variant>
      <vt:variant>
        <vt:i4>0</vt:i4>
      </vt:variant>
      <vt:variant>
        <vt:i4>5</vt:i4>
      </vt:variant>
      <vt:variant>
        <vt:lpwstr>http://www.eea.europa.eu/data-and-maps/indicators/ecosystem-coverage-1/assessment-1</vt:lpwstr>
      </vt:variant>
      <vt:variant>
        <vt:lpwstr/>
      </vt:variant>
      <vt:variant>
        <vt:i4>6684721</vt:i4>
      </vt:variant>
      <vt:variant>
        <vt:i4>9</vt:i4>
      </vt:variant>
      <vt:variant>
        <vt:i4>0</vt:i4>
      </vt:variant>
      <vt:variant>
        <vt:i4>5</vt:i4>
      </vt:variant>
      <vt:variant>
        <vt:lpwstr>http://www.eea.europa.eu/data-and-maps/indicators/land-take-2/assessment-2</vt:lpwstr>
      </vt:variant>
      <vt:variant>
        <vt:lpwstr/>
      </vt:variant>
      <vt:variant>
        <vt:i4>7340086</vt:i4>
      </vt:variant>
      <vt:variant>
        <vt:i4>6</vt:i4>
      </vt:variant>
      <vt:variant>
        <vt:i4>0</vt:i4>
      </vt:variant>
      <vt:variant>
        <vt:i4>5</vt:i4>
      </vt:variant>
      <vt:variant>
        <vt:lpwstr>http://www.eea.europa.eu/publications/eu-2010-biodiversity-baseline</vt:lpwstr>
      </vt:variant>
      <vt:variant>
        <vt:lpwstr/>
      </vt:variant>
      <vt:variant>
        <vt:i4>6881391</vt:i4>
      </vt:variant>
      <vt:variant>
        <vt:i4>3</vt:i4>
      </vt:variant>
      <vt:variant>
        <vt:i4>0</vt:i4>
      </vt:variant>
      <vt:variant>
        <vt:i4>5</vt:i4>
      </vt:variant>
      <vt:variant>
        <vt:lpwstr>http://epp.eurostat.ec.europa.eu/portal/page/portal/lucas/introduction</vt:lpwstr>
      </vt:variant>
      <vt:variant>
        <vt:lpwstr/>
      </vt:variant>
      <vt:variant>
        <vt:i4>589884</vt:i4>
      </vt:variant>
      <vt:variant>
        <vt:i4>0</vt:i4>
      </vt:variant>
      <vt:variant>
        <vt:i4>0</vt:i4>
      </vt:variant>
      <vt:variant>
        <vt:i4>5</vt:i4>
      </vt:variant>
      <vt:variant>
        <vt:lpwstr>http://epp.eurostat.ec.europa.eu/cache/ITY_OFFPUB/KS-03-13-587/EN/KS-03-13-587-EN.PDF</vt:lpwstr>
      </vt:variant>
      <vt:variant>
        <vt:lpwstr/>
      </vt:variant>
      <vt:variant>
        <vt:i4>4390928</vt:i4>
      </vt:variant>
      <vt:variant>
        <vt:i4>21</vt:i4>
      </vt:variant>
      <vt:variant>
        <vt:i4>0</vt:i4>
      </vt:variant>
      <vt:variant>
        <vt:i4>5</vt:i4>
      </vt:variant>
      <vt:variant>
        <vt:lpwstr>http://www.cbd.int/doc/decisions/cop-10/cop-10-dec-03-en.pdf</vt:lpwstr>
      </vt:variant>
      <vt:variant>
        <vt:lpwstr/>
      </vt:variant>
      <vt:variant>
        <vt:i4>4718603</vt:i4>
      </vt:variant>
      <vt:variant>
        <vt:i4>18</vt:i4>
      </vt:variant>
      <vt:variant>
        <vt:i4>0</vt:i4>
      </vt:variant>
      <vt:variant>
        <vt:i4>5</vt:i4>
      </vt:variant>
      <vt:variant>
        <vt:lpwstr/>
      </vt:variant>
      <vt:variant>
        <vt:lpwstr>_ENREF_92</vt:lpwstr>
      </vt:variant>
      <vt:variant>
        <vt:i4>6422554</vt:i4>
      </vt:variant>
      <vt:variant>
        <vt:i4>15</vt:i4>
      </vt:variant>
      <vt:variant>
        <vt:i4>0</vt:i4>
      </vt:variant>
      <vt:variant>
        <vt:i4>5</vt:i4>
      </vt:variant>
      <vt:variant>
        <vt:lpwstr>http://ec.europa.eu/environment/resource_efficiency/targets_indicators/scoreboard/index_en.htm</vt:lpwstr>
      </vt:variant>
      <vt:variant>
        <vt:lpwstr/>
      </vt:variant>
      <vt:variant>
        <vt:i4>2686996</vt:i4>
      </vt:variant>
      <vt:variant>
        <vt:i4>12</vt:i4>
      </vt:variant>
      <vt:variant>
        <vt:i4>0</vt:i4>
      </vt:variant>
      <vt:variant>
        <vt:i4>5</vt:i4>
      </vt:variant>
      <vt:variant>
        <vt:lpwstr>http://ec.europa.eu/environment/resource_efficiency/documents/re_scoreboard_2014.pdf</vt:lpwstr>
      </vt:variant>
      <vt:variant>
        <vt:lpwstr/>
      </vt:variant>
      <vt:variant>
        <vt:i4>8257643</vt:i4>
      </vt:variant>
      <vt:variant>
        <vt:i4>9</vt:i4>
      </vt:variant>
      <vt:variant>
        <vt:i4>0</vt:i4>
      </vt:variant>
      <vt:variant>
        <vt:i4>5</vt:i4>
      </vt:variant>
      <vt:variant>
        <vt:lpwstr>https://cohesiondata.ec.europa.eu/EU-Cohesion-Funding/Breakdown-Of-The-Available-Funds-By-Thematic-Objec/jn6y-peub</vt:lpwstr>
      </vt:variant>
      <vt:variant>
        <vt:lpwstr/>
      </vt:variant>
      <vt:variant>
        <vt:i4>852064</vt:i4>
      </vt:variant>
      <vt:variant>
        <vt:i4>6</vt:i4>
      </vt:variant>
      <vt:variant>
        <vt:i4>0</vt:i4>
      </vt:variant>
      <vt:variant>
        <vt:i4>5</vt:i4>
      </vt:variant>
      <vt:variant>
        <vt:lpwstr>http://www.ieep.eu/assets/1235/guide_multi_benefit_nature.pdf</vt:lpwstr>
      </vt:variant>
      <vt:variant>
        <vt:lpwstr/>
      </vt:variant>
      <vt:variant>
        <vt:i4>1835086</vt:i4>
      </vt:variant>
      <vt:variant>
        <vt:i4>3</vt:i4>
      </vt:variant>
      <vt:variant>
        <vt:i4>0</vt:i4>
      </vt:variant>
      <vt:variant>
        <vt:i4>5</vt:i4>
      </vt:variant>
      <vt:variant>
        <vt:lpwstr>http://surfnature.ctfc.cat/cerca.php</vt:lpwstr>
      </vt:variant>
      <vt:variant>
        <vt:lpwstr/>
      </vt:variant>
      <vt:variant>
        <vt:i4>3014662</vt:i4>
      </vt:variant>
      <vt:variant>
        <vt:i4>0</vt:i4>
      </vt:variant>
      <vt:variant>
        <vt:i4>0</vt:i4>
      </vt:variant>
      <vt:variant>
        <vt:i4>5</vt:i4>
      </vt:variant>
      <vt:variant>
        <vt:lpwstr>http://www.surf-nature.eu/fileadmin/SURFNATURE/Publications/FINAL_SURF_Handbook_V4_Sept_2012.pdf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2015-09-03T14:18:00Z</dcterms:created>
  <dcterms:modified xsi:type="dcterms:W3CDTF">2015-09-25T07:38:00Z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Part">
    <vt:lpwstr>1</vt:lpwstr>
  </property>
  <property fmtid="{D5CDD505-2E9C-101B-9397-08002B2CF9AE}" pid="4" name="Total parts">
    <vt:lpwstr>3</vt:lpwstr>
  </property>
  <property fmtid="{D5CDD505-2E9C-101B-9397-08002B2CF9AE}" pid="5" name="Classification">
    <vt:lpwstr> </vt:lpwstr>
  </property>
</Properties>
</file>