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029827B74D4A0BAB100E552B89CC76" style="width:450.75pt;height:393.75pt">
            <v:imagedata r:id="rId8" o:title=""/>
          </v:shape>
        </w:pict>
      </w:r>
    </w:p>
    <w:p>
      <w:pPr>
        <w:pStyle w:val="Pagedecouverture"/>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съответни разпоредби на законодателството на ЕС в Споразумението за ЕИП във възможно най-кратък срок след тяхното приемане, както и да дава възможност за участие на държавите от ЕАСТ, участващи в ЕИП, във всички дейности и програми на ЕС от значение за ЕИП.</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С проекта на решение на Съвместния комитет на ЕИП (приложен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за да се продължи сътрудничество в областта на свободното движение на работници, координирането на схемите за социална сигурност и мерките за мигрантите, включително мигрантите от трети държави.</w:t>
      </w:r>
    </w:p>
    <w:p>
      <w:pPr>
        <w:pStyle w:val="ManualHeading1"/>
        <w:rPr>
          <w:noProof/>
        </w:rPr>
      </w:pPr>
      <w:r>
        <w:rPr>
          <w:noProof/>
        </w:rPr>
        <w:t>3.</w:t>
      </w:r>
      <w:r>
        <w:rPr>
          <w:noProof/>
        </w:rPr>
        <w:tab/>
        <w:t>ПРАВНИ ЕЛЕМЕНТИ НА ПРЕДЛОЖЕНИЕТО</w:t>
      </w:r>
    </w:p>
    <w:p>
      <w:pPr>
        <w:rPr>
          <w:noProof/>
        </w:rPr>
      </w:pPr>
      <w:r>
        <w:rPr>
          <w:noProof/>
        </w:rPr>
        <w:t>Съгласно член 1, параграф 3 от Регламент (ЕО) № 2894/94 на Съвета относно условията за прилагане на Споразумението за Европейското икономическо пространство Съветът определя позицията, която да бъде приета от името на Съюза по отношение на подобни решения, въз основа на предложение на Комисията.</w:t>
      </w:r>
    </w:p>
    <w:p>
      <w:pPr>
        <w:rPr>
          <w:noProof/>
        </w:r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2016/0072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 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(бюджетен ред 04 03 01 03)</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46 и 48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1"/>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 („Споразумението за ЕИП“)</w:t>
      </w:r>
      <w:r>
        <w:rPr>
          <w:rStyle w:val="FootnoteReference"/>
          <w:noProof/>
        </w:rPr>
        <w:footnoteReference w:id="2"/>
      </w:r>
      <w:r>
        <w:rPr>
          <w:noProof/>
        </w:rPr>
        <w:t xml:space="preserve">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Протокол 31 към Споразумението за ЕИП („Протокол 31“).</w:t>
      </w:r>
    </w:p>
    <w:p>
      <w:pPr>
        <w:pStyle w:val="ManualConsidrant"/>
        <w:rPr>
          <w:noProof/>
        </w:rPr>
      </w:pPr>
      <w:r>
        <w:t>(3)</w:t>
      </w:r>
      <w:r>
        <w:tab/>
      </w:r>
      <w:r>
        <w:rPr>
          <w:noProof/>
        </w:rPr>
        <w:t>Протокол 31 към Споразумението за ЕИП съдържа специфични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и то да включи сътрудничество в областта на свободното движение на работници, координирането на схемите за социална сигурност и мерките за мигрантите, включително мигрантите от трети държави.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31 декември 2015 г.</w:t>
      </w:r>
    </w:p>
    <w:p>
      <w:pPr>
        <w:pStyle w:val="ManualConsidrant"/>
        <w:rPr>
          <w:noProof/>
        </w:rPr>
      </w:pPr>
      <w:r>
        <w:t>(6)</w:t>
      </w:r>
      <w:r>
        <w:tab/>
      </w:r>
      <w:r>
        <w:rPr>
          <w:noProof/>
        </w:rPr>
        <w:t>С оглед на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да бъде приета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305, 30.11.1994 г., стр. 6.</w:t>
      </w:r>
    </w:p>
  </w:footnote>
  <w:footnote w:id="2">
    <w:p>
      <w:pPr>
        <w:pStyle w:val="FootnoteText"/>
        <w:rPr>
          <w:lang w:val="en-US"/>
        </w:rPr>
      </w:pPr>
      <w:r>
        <w:rPr>
          <w:rStyle w:val="FootnoteReference"/>
        </w:rPr>
        <w:footnoteRef/>
      </w:r>
      <w:r>
        <w:tab/>
        <w:t>ОВ L 1, 3.1.1994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11 09:04: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8029827B74D4A0BAB100E552B89CC76"/>
    <w:docVar w:name="LW_CROSSREFERENCE" w:val="&lt;UNUSED&gt;"/>
    <w:docVar w:name="LW_DocType" w:val="COM"/>
    <w:docVar w:name="LW_EMISSION" w:val="11.3.2016"/>
    <w:docVar w:name="LW_EMISSION_ISODATE" w:val="2016-03-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2"/>
    <w:docVar w:name="LW_REF.II.NEW.CP_YEAR" w:val="2016"/>
    <w:docVar w:name="LW_REF.INST.NEW" w:val="COM"/>
    <w:docVar w:name="LW_REF.INST.NEW_ADOPTED" w:val="final"/>
    <w:docVar w:name="LW_REF.INST.NEW_TEXT" w:val="(2016) 13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u1073?\u1102?\u1076?\u1078?\u1077?\u1090?\u1077?\u1085? \u1088?\u1077?\u1076? 04 03 01 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bg-BG" w:eastAsia="bg-BG"/>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bg-B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441612">
      <w:marLeft w:val="0"/>
      <w:marRight w:val="0"/>
      <w:marTop w:val="0"/>
      <w:marBottom w:val="0"/>
      <w:divBdr>
        <w:top w:val="none" w:sz="0" w:space="0" w:color="auto"/>
        <w:left w:val="none" w:sz="0" w:space="0" w:color="auto"/>
        <w:bottom w:val="none" w:sz="0" w:space="0" w:color="auto"/>
        <w:right w:val="none" w:sz="0" w:space="0" w:color="auto"/>
      </w:divBdr>
      <w:divsChild>
        <w:div w:id="1756441606">
          <w:marLeft w:val="0"/>
          <w:marRight w:val="0"/>
          <w:marTop w:val="0"/>
          <w:marBottom w:val="0"/>
          <w:divBdr>
            <w:top w:val="none" w:sz="0" w:space="0" w:color="auto"/>
            <w:left w:val="none" w:sz="0" w:space="0" w:color="auto"/>
            <w:bottom w:val="none" w:sz="0" w:space="0" w:color="auto"/>
            <w:right w:val="none" w:sz="0" w:space="0" w:color="auto"/>
          </w:divBdr>
          <w:divsChild>
            <w:div w:id="1756441607">
              <w:marLeft w:val="2"/>
              <w:marRight w:val="2"/>
              <w:marTop w:val="0"/>
              <w:marBottom w:val="0"/>
              <w:divBdr>
                <w:top w:val="none" w:sz="0" w:space="0" w:color="auto"/>
                <w:left w:val="none" w:sz="0" w:space="0" w:color="auto"/>
                <w:bottom w:val="none" w:sz="0" w:space="0" w:color="auto"/>
                <w:right w:val="none" w:sz="0" w:space="0" w:color="auto"/>
              </w:divBdr>
              <w:divsChild>
                <w:div w:id="1756441615">
                  <w:marLeft w:val="0"/>
                  <w:marRight w:val="0"/>
                  <w:marTop w:val="0"/>
                  <w:marBottom w:val="0"/>
                  <w:divBdr>
                    <w:top w:val="none" w:sz="0" w:space="0" w:color="auto"/>
                    <w:left w:val="none" w:sz="0" w:space="0" w:color="auto"/>
                    <w:bottom w:val="none" w:sz="0" w:space="0" w:color="auto"/>
                    <w:right w:val="none" w:sz="0" w:space="0" w:color="auto"/>
                  </w:divBdr>
                  <w:divsChild>
                    <w:div w:id="1756441609">
                      <w:marLeft w:val="0"/>
                      <w:marRight w:val="0"/>
                      <w:marTop w:val="0"/>
                      <w:marBottom w:val="0"/>
                      <w:divBdr>
                        <w:top w:val="none" w:sz="0" w:space="0" w:color="auto"/>
                        <w:left w:val="none" w:sz="0" w:space="0" w:color="auto"/>
                        <w:bottom w:val="none" w:sz="0" w:space="0" w:color="auto"/>
                        <w:right w:val="none" w:sz="0" w:space="0" w:color="auto"/>
                      </w:divBdr>
                      <w:divsChild>
                        <w:div w:id="1756441616">
                          <w:marLeft w:val="0"/>
                          <w:marRight w:val="0"/>
                          <w:marTop w:val="0"/>
                          <w:marBottom w:val="0"/>
                          <w:divBdr>
                            <w:top w:val="none" w:sz="0" w:space="0" w:color="auto"/>
                            <w:left w:val="none" w:sz="0" w:space="0" w:color="auto"/>
                            <w:bottom w:val="none" w:sz="0" w:space="0" w:color="auto"/>
                            <w:right w:val="none" w:sz="0" w:space="0" w:color="auto"/>
                          </w:divBdr>
                          <w:divsChild>
                            <w:div w:id="1756441617">
                              <w:marLeft w:val="0"/>
                              <w:marRight w:val="0"/>
                              <w:marTop w:val="0"/>
                              <w:marBottom w:val="0"/>
                              <w:divBdr>
                                <w:top w:val="none" w:sz="0" w:space="0" w:color="auto"/>
                                <w:left w:val="none" w:sz="0" w:space="0" w:color="auto"/>
                                <w:bottom w:val="none" w:sz="0" w:space="0" w:color="auto"/>
                                <w:right w:val="none" w:sz="0" w:space="0" w:color="auto"/>
                              </w:divBdr>
                              <w:divsChild>
                                <w:div w:id="1756441610">
                                  <w:marLeft w:val="0"/>
                                  <w:marRight w:val="0"/>
                                  <w:marTop w:val="0"/>
                                  <w:marBottom w:val="0"/>
                                  <w:divBdr>
                                    <w:top w:val="none" w:sz="0" w:space="0" w:color="auto"/>
                                    <w:left w:val="none" w:sz="0" w:space="0" w:color="auto"/>
                                    <w:bottom w:val="none" w:sz="0" w:space="0" w:color="auto"/>
                                    <w:right w:val="none" w:sz="0" w:space="0" w:color="auto"/>
                                  </w:divBdr>
                                  <w:divsChild>
                                    <w:div w:id="1756441614">
                                      <w:marLeft w:val="0"/>
                                      <w:marRight w:val="0"/>
                                      <w:marTop w:val="0"/>
                                      <w:marBottom w:val="0"/>
                                      <w:divBdr>
                                        <w:top w:val="none" w:sz="0" w:space="0" w:color="auto"/>
                                        <w:left w:val="none" w:sz="0" w:space="0" w:color="auto"/>
                                        <w:bottom w:val="none" w:sz="0" w:space="0" w:color="auto"/>
                                        <w:right w:val="none" w:sz="0" w:space="0" w:color="auto"/>
                                      </w:divBdr>
                                      <w:divsChild>
                                        <w:div w:id="1756441611">
                                          <w:marLeft w:val="0"/>
                                          <w:marRight w:val="0"/>
                                          <w:marTop w:val="0"/>
                                          <w:marBottom w:val="0"/>
                                          <w:divBdr>
                                            <w:top w:val="none" w:sz="0" w:space="0" w:color="auto"/>
                                            <w:left w:val="none" w:sz="0" w:space="0" w:color="auto"/>
                                            <w:bottom w:val="none" w:sz="0" w:space="0" w:color="auto"/>
                                            <w:right w:val="none" w:sz="0" w:space="0" w:color="auto"/>
                                          </w:divBdr>
                                          <w:divsChild>
                                            <w:div w:id="1756441613">
                                              <w:marLeft w:val="0"/>
                                              <w:marRight w:val="0"/>
                                              <w:marTop w:val="0"/>
                                              <w:marBottom w:val="0"/>
                                              <w:divBdr>
                                                <w:top w:val="none" w:sz="0" w:space="0" w:color="auto"/>
                                                <w:left w:val="none" w:sz="0" w:space="0" w:color="auto"/>
                                                <w:bottom w:val="none" w:sz="0" w:space="0" w:color="auto"/>
                                                <w:right w:val="none" w:sz="0" w:space="0" w:color="auto"/>
                                              </w:divBdr>
                                              <w:divsChild>
                                                <w:div w:id="1756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4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583</Words>
  <Characters>3231</Characters>
  <Application>Microsoft Office Word</Application>
  <DocSecurity>0</DocSecurity>
  <Lines>70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2014-02-26T14:25:00Z</cp:lastPrinted>
  <dcterms:created xsi:type="dcterms:W3CDTF">2016-02-17T15:15:00Z</dcterms:created>
  <dcterms:modified xsi:type="dcterms:W3CDTF">2016-03-11T08:04:00Z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03)</vt:lpwstr>
  </property>
</Properties>
</file>