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F840D746CB7F408C9239EFC54B56255C" style="width:450.75pt;height:411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lastRenderedPageBreak/>
        <w:t>ANNEX</w:t>
      </w:r>
    </w:p>
    <w:p>
      <w:pPr>
        <w:pStyle w:val="Accompagnant"/>
        <w:rPr>
          <w:noProof/>
        </w:rPr>
      </w:pPr>
      <w:r>
        <w:rPr>
          <w:noProof/>
        </w:rPr>
        <w:t>to the</w:t>
      </w:r>
    </w:p>
    <w:p>
      <w:pPr>
        <w:pStyle w:val="Typeacteprincipal"/>
        <w:rPr>
          <w:noProof/>
        </w:rPr>
      </w:pPr>
      <w:r>
        <w:rPr>
          <w:noProof/>
        </w:rPr>
        <w:t>Proposal for a Council Decision</w:t>
      </w:r>
    </w:p>
    <w:p>
      <w:pPr>
        <w:pStyle w:val="Objetacteprincipal"/>
        <w:rPr>
          <w:noProof/>
        </w:rPr>
      </w:pPr>
      <w:r>
        <w:rPr>
          <w:noProof/>
        </w:rPr>
        <w:t>establishing the position to be adopted by the Union at the 54th session of the OTIF Committee of Experts on the Transport of Dangerous Goods as regards certain amendments to Appendix C to the Convention concerning the International Carriage by Rail (COTIF) applicable from 1 January 2017</w:t>
      </w:r>
    </w:p>
    <w:tbl>
      <w:tblPr>
        <w:tblStyle w:val="TableGrid"/>
        <w:tblW w:w="9214" w:type="dxa"/>
        <w:tblInd w:w="-34" w:type="dxa"/>
        <w:tblLayout w:type="fixed"/>
        <w:tblLook w:val="04A0" w:firstRow="1" w:lastRow="0" w:firstColumn="1" w:lastColumn="0" w:noHBand="0" w:noVBand="1"/>
      </w:tblPr>
      <w:tblGrid>
        <w:gridCol w:w="568"/>
        <w:gridCol w:w="1701"/>
        <w:gridCol w:w="2126"/>
        <w:gridCol w:w="2693"/>
        <w:gridCol w:w="2126"/>
      </w:tblGrid>
      <w:tr>
        <w:tc>
          <w:tcPr>
            <w:tcW w:w="568" w:type="dxa"/>
          </w:tcPr>
          <w:p>
            <w:pPr>
              <w:rPr>
                <w:b/>
                <w:noProof/>
              </w:rPr>
            </w:pPr>
            <w:r>
              <w:rPr>
                <w:b/>
                <w:noProof/>
              </w:rPr>
              <w:t>Proposal</w:t>
            </w:r>
          </w:p>
        </w:tc>
        <w:tc>
          <w:tcPr>
            <w:tcW w:w="1701" w:type="dxa"/>
          </w:tcPr>
          <w:p>
            <w:pPr>
              <w:rPr>
                <w:b/>
                <w:noProof/>
              </w:rPr>
            </w:pPr>
            <w:r>
              <w:rPr>
                <w:b/>
                <w:noProof/>
              </w:rPr>
              <w:t>Reference document</w:t>
            </w:r>
          </w:p>
        </w:tc>
        <w:tc>
          <w:tcPr>
            <w:tcW w:w="2126" w:type="dxa"/>
          </w:tcPr>
          <w:p>
            <w:pPr>
              <w:jc w:val="left"/>
              <w:rPr>
                <w:b/>
                <w:noProof/>
              </w:rPr>
            </w:pPr>
            <w:r>
              <w:rPr>
                <w:b/>
                <w:noProof/>
              </w:rPr>
              <w:t xml:space="preserve">Issue </w:t>
            </w:r>
          </w:p>
        </w:tc>
        <w:tc>
          <w:tcPr>
            <w:tcW w:w="2693" w:type="dxa"/>
          </w:tcPr>
          <w:p>
            <w:pPr>
              <w:rPr>
                <w:b/>
                <w:noProof/>
              </w:rPr>
            </w:pPr>
            <w:r>
              <w:rPr>
                <w:b/>
                <w:noProof/>
              </w:rPr>
              <w:t xml:space="preserve">Comments </w:t>
            </w:r>
          </w:p>
        </w:tc>
        <w:tc>
          <w:tcPr>
            <w:tcW w:w="2126" w:type="dxa"/>
          </w:tcPr>
          <w:p>
            <w:pPr>
              <w:rPr>
                <w:b/>
                <w:noProof/>
              </w:rPr>
            </w:pPr>
            <w:r>
              <w:rPr>
                <w:b/>
                <w:noProof/>
              </w:rPr>
              <w:t>EU Position</w:t>
            </w:r>
          </w:p>
        </w:tc>
      </w:tr>
      <w:tr>
        <w:tc>
          <w:tcPr>
            <w:tcW w:w="568" w:type="dxa"/>
          </w:tcPr>
          <w:p>
            <w:pPr>
              <w:rPr>
                <w:noProof/>
              </w:rPr>
            </w:pPr>
            <w:r>
              <w:rPr>
                <w:noProof/>
              </w:rPr>
              <w:t>1</w:t>
            </w:r>
          </w:p>
        </w:tc>
        <w:tc>
          <w:tcPr>
            <w:tcW w:w="1701" w:type="dxa"/>
          </w:tcPr>
          <w:p>
            <w:pPr>
              <w:rPr>
                <w:b/>
                <w:noProof/>
                <w:lang w:val="fr-FR"/>
              </w:rPr>
            </w:pPr>
            <w:r>
              <w:rPr>
                <w:b/>
                <w:noProof/>
                <w:lang w:val="fr-FR"/>
              </w:rPr>
              <w:t>OTIF/RID/CE/GTP/2015/2</w:t>
            </w:r>
          </w:p>
          <w:p>
            <w:pPr>
              <w:rPr>
                <w:b/>
                <w:noProof/>
                <w:lang w:val="fr-BE"/>
              </w:rPr>
            </w:pPr>
            <w:r>
              <w:rPr>
                <w:b/>
                <w:noProof/>
                <w:lang w:val="fr-BE"/>
              </w:rPr>
              <w:t>OTIF/RID/CE/GTP/INF.14</w:t>
            </w:r>
          </w:p>
          <w:p>
            <w:pPr>
              <w:rPr>
                <w:b/>
                <w:noProof/>
                <w:lang w:val="fr-BE"/>
              </w:rPr>
            </w:pPr>
            <w:r>
              <w:rPr>
                <w:b/>
                <w:noProof/>
                <w:lang w:val="fr-BE"/>
              </w:rPr>
              <w:t>OTIF/RID/CE/GTP/INF.15</w:t>
            </w:r>
          </w:p>
        </w:tc>
        <w:tc>
          <w:tcPr>
            <w:tcW w:w="2126" w:type="dxa"/>
          </w:tcPr>
          <w:p>
            <w:pPr>
              <w:jc w:val="left"/>
              <w:rPr>
                <w:noProof/>
              </w:rPr>
            </w:pPr>
            <w:r>
              <w:rPr>
                <w:noProof/>
              </w:rPr>
              <w:t>Inclusion of obligations for Entities in Charge of Maintenance (ECM) in RID</w:t>
            </w:r>
          </w:p>
        </w:tc>
        <w:tc>
          <w:tcPr>
            <w:tcW w:w="2693" w:type="dxa"/>
          </w:tcPr>
          <w:p>
            <w:pPr>
              <w:jc w:val="left"/>
              <w:rPr>
                <w:noProof/>
              </w:rPr>
            </w:pPr>
            <w:r>
              <w:rPr>
                <w:noProof/>
              </w:rPr>
              <w:t>Technical consensus at the OTIF Standing Working Group to adopt a text as amended</w:t>
            </w:r>
          </w:p>
        </w:tc>
        <w:tc>
          <w:tcPr>
            <w:tcW w:w="2126" w:type="dxa"/>
          </w:tcPr>
          <w:p>
            <w:pPr>
              <w:jc w:val="left"/>
              <w:rPr>
                <w:noProof/>
              </w:rPr>
            </w:pPr>
            <w:r>
              <w:rPr>
                <w:noProof/>
              </w:rPr>
              <w:t>Agree with the amendments as revised in the Standing Working Group</w:t>
            </w:r>
          </w:p>
        </w:tc>
      </w:tr>
      <w:tr>
        <w:tc>
          <w:tcPr>
            <w:tcW w:w="568" w:type="dxa"/>
          </w:tcPr>
          <w:p>
            <w:pPr>
              <w:rPr>
                <w:noProof/>
              </w:rPr>
            </w:pPr>
            <w:r>
              <w:rPr>
                <w:noProof/>
              </w:rPr>
              <w:t>2</w:t>
            </w:r>
          </w:p>
        </w:tc>
        <w:tc>
          <w:tcPr>
            <w:tcW w:w="1701" w:type="dxa"/>
          </w:tcPr>
          <w:p>
            <w:pPr>
              <w:rPr>
                <w:b/>
                <w:noProof/>
              </w:rPr>
            </w:pPr>
            <w:r>
              <w:rPr>
                <w:b/>
                <w:noProof/>
              </w:rPr>
              <w:t>OTIF/RID/CE/GTP/2015/3</w:t>
            </w:r>
          </w:p>
        </w:tc>
        <w:tc>
          <w:tcPr>
            <w:tcW w:w="2126" w:type="dxa"/>
          </w:tcPr>
          <w:p>
            <w:pPr>
              <w:jc w:val="left"/>
              <w:rPr>
                <w:noProof/>
              </w:rPr>
            </w:pPr>
            <w:r>
              <w:rPr>
                <w:noProof/>
              </w:rPr>
              <w:t>Amendment of special provision TU 16 in RID/ADR/ADN Chapter 4.3</w:t>
            </w:r>
          </w:p>
        </w:tc>
        <w:tc>
          <w:tcPr>
            <w:tcW w:w="2693" w:type="dxa"/>
          </w:tcPr>
          <w:p>
            <w:pPr>
              <w:jc w:val="left"/>
              <w:rPr>
                <w:noProof/>
              </w:rPr>
            </w:pPr>
            <w:r>
              <w:rPr>
                <w:noProof/>
              </w:rPr>
              <w:t>Technical consensus at the OTIF Standing Working Group</w:t>
            </w:r>
          </w:p>
        </w:tc>
        <w:tc>
          <w:tcPr>
            <w:tcW w:w="2126" w:type="dxa"/>
          </w:tcPr>
          <w:p>
            <w:pPr>
              <w:jc w:val="left"/>
              <w:rPr>
                <w:noProof/>
              </w:rPr>
            </w:pPr>
            <w:r>
              <w:rPr>
                <w:noProof/>
              </w:rPr>
              <w:t>Agree with the amendments as revised in the Standing Working Group</w:t>
            </w:r>
          </w:p>
        </w:tc>
      </w:tr>
      <w:tr>
        <w:tc>
          <w:tcPr>
            <w:tcW w:w="568" w:type="dxa"/>
          </w:tcPr>
          <w:p>
            <w:pPr>
              <w:rPr>
                <w:noProof/>
              </w:rPr>
            </w:pPr>
            <w:r>
              <w:rPr>
                <w:noProof/>
              </w:rPr>
              <w:t>3</w:t>
            </w:r>
          </w:p>
        </w:tc>
        <w:tc>
          <w:tcPr>
            <w:tcW w:w="1701" w:type="dxa"/>
          </w:tcPr>
          <w:p>
            <w:pPr>
              <w:rPr>
                <w:b/>
                <w:noProof/>
              </w:rPr>
            </w:pPr>
            <w:r>
              <w:rPr>
                <w:b/>
                <w:noProof/>
              </w:rPr>
              <w:t>OTIF/RID/CE/GTP/2015/5</w:t>
            </w:r>
          </w:p>
        </w:tc>
        <w:tc>
          <w:tcPr>
            <w:tcW w:w="2126" w:type="dxa"/>
          </w:tcPr>
          <w:p>
            <w:pPr>
              <w:jc w:val="left"/>
              <w:rPr>
                <w:noProof/>
              </w:rPr>
            </w:pPr>
            <w:r>
              <w:rPr>
                <w:noProof/>
              </w:rPr>
              <w:t>Carrier's duty to inform the train driver of the position of dangerous goods in the train</w:t>
            </w:r>
          </w:p>
        </w:tc>
        <w:tc>
          <w:tcPr>
            <w:tcW w:w="2693" w:type="dxa"/>
          </w:tcPr>
          <w:p>
            <w:pPr>
              <w:jc w:val="left"/>
              <w:rPr>
                <w:noProof/>
              </w:rPr>
            </w:pPr>
            <w:r>
              <w:rPr>
                <w:noProof/>
              </w:rPr>
              <w:t>Technical consensus at the OTIF Standing Working Group</w:t>
            </w:r>
          </w:p>
        </w:tc>
        <w:tc>
          <w:tcPr>
            <w:tcW w:w="2126" w:type="dxa"/>
          </w:tcPr>
          <w:p>
            <w:pPr>
              <w:jc w:val="left"/>
              <w:rPr>
                <w:noProof/>
              </w:rPr>
            </w:pPr>
            <w:r>
              <w:rPr>
                <w:noProof/>
              </w:rPr>
              <w:t>Agree with the amendments as revised in the Standing Working Group</w:t>
            </w:r>
          </w:p>
        </w:tc>
      </w:tr>
      <w:tr>
        <w:tc>
          <w:tcPr>
            <w:tcW w:w="568" w:type="dxa"/>
          </w:tcPr>
          <w:p>
            <w:pPr>
              <w:rPr>
                <w:noProof/>
              </w:rPr>
            </w:pPr>
            <w:r>
              <w:rPr>
                <w:noProof/>
              </w:rPr>
              <w:t>4</w:t>
            </w:r>
          </w:p>
        </w:tc>
        <w:tc>
          <w:tcPr>
            <w:tcW w:w="1701" w:type="dxa"/>
          </w:tcPr>
          <w:p>
            <w:pPr>
              <w:rPr>
                <w:b/>
                <w:noProof/>
              </w:rPr>
            </w:pPr>
            <w:r>
              <w:rPr>
                <w:b/>
                <w:noProof/>
              </w:rPr>
              <w:t>OTIF/RID/CE/GTP/2015/6</w:t>
            </w:r>
          </w:p>
        </w:tc>
        <w:tc>
          <w:tcPr>
            <w:tcW w:w="2126" w:type="dxa"/>
          </w:tcPr>
          <w:p>
            <w:pPr>
              <w:jc w:val="left"/>
              <w:rPr>
                <w:noProof/>
              </w:rPr>
            </w:pPr>
            <w:r>
              <w:rPr>
                <w:noProof/>
              </w:rPr>
              <w:t>Flexible bulk containers</w:t>
            </w:r>
          </w:p>
        </w:tc>
        <w:tc>
          <w:tcPr>
            <w:tcW w:w="2693" w:type="dxa"/>
          </w:tcPr>
          <w:p>
            <w:pPr>
              <w:jc w:val="left"/>
              <w:rPr>
                <w:noProof/>
              </w:rPr>
            </w:pPr>
            <w:r>
              <w:rPr>
                <w:noProof/>
              </w:rPr>
              <w:t>Technical consensus at the OTIF Standing Working Group</w:t>
            </w:r>
          </w:p>
        </w:tc>
        <w:tc>
          <w:tcPr>
            <w:tcW w:w="2126" w:type="dxa"/>
          </w:tcPr>
          <w:p>
            <w:pPr>
              <w:jc w:val="left"/>
              <w:rPr>
                <w:noProof/>
              </w:rPr>
            </w:pPr>
            <w:r>
              <w:rPr>
                <w:noProof/>
              </w:rPr>
              <w:t>Agree with the text for flexible bulk containers in OTIF/RID/CE/GTP/2015/12</w:t>
            </w:r>
          </w:p>
        </w:tc>
      </w:tr>
      <w:tr>
        <w:tc>
          <w:tcPr>
            <w:tcW w:w="568" w:type="dxa"/>
          </w:tcPr>
          <w:p>
            <w:pPr>
              <w:rPr>
                <w:noProof/>
              </w:rPr>
            </w:pPr>
            <w:r>
              <w:rPr>
                <w:noProof/>
              </w:rPr>
              <w:t>5</w:t>
            </w:r>
          </w:p>
        </w:tc>
        <w:tc>
          <w:tcPr>
            <w:tcW w:w="1701" w:type="dxa"/>
          </w:tcPr>
          <w:p>
            <w:pPr>
              <w:rPr>
                <w:b/>
                <w:noProof/>
              </w:rPr>
            </w:pPr>
            <w:r>
              <w:rPr>
                <w:b/>
                <w:bCs/>
                <w:noProof/>
              </w:rPr>
              <w:t>OTIF/RID/CE/GTP/2015/7</w:t>
            </w:r>
          </w:p>
        </w:tc>
        <w:tc>
          <w:tcPr>
            <w:tcW w:w="2126" w:type="dxa"/>
          </w:tcPr>
          <w:p>
            <w:pPr>
              <w:jc w:val="left"/>
              <w:rPr>
                <w:noProof/>
              </w:rPr>
            </w:pPr>
            <w:r>
              <w:rPr>
                <w:noProof/>
              </w:rPr>
              <w:t>Definitions of “full load”/“wagon load”</w:t>
            </w:r>
          </w:p>
        </w:tc>
        <w:tc>
          <w:tcPr>
            <w:tcW w:w="2693" w:type="dxa"/>
          </w:tcPr>
          <w:p>
            <w:pPr>
              <w:jc w:val="left"/>
              <w:rPr>
                <w:noProof/>
              </w:rPr>
            </w:pPr>
            <w:r>
              <w:rPr>
                <w:noProof/>
              </w:rPr>
              <w:t>Technical consensus at the OTIF Standing Working Group</w:t>
            </w:r>
          </w:p>
        </w:tc>
        <w:tc>
          <w:tcPr>
            <w:tcW w:w="2126" w:type="dxa"/>
          </w:tcPr>
          <w:p>
            <w:pPr>
              <w:jc w:val="left"/>
              <w:rPr>
                <w:noProof/>
              </w:rPr>
            </w:pPr>
            <w:r>
              <w:rPr>
                <w:noProof/>
              </w:rPr>
              <w:t>Agree with the amendments</w:t>
            </w:r>
          </w:p>
        </w:tc>
      </w:tr>
      <w:tr>
        <w:tc>
          <w:tcPr>
            <w:tcW w:w="568" w:type="dxa"/>
          </w:tcPr>
          <w:p>
            <w:pPr>
              <w:rPr>
                <w:noProof/>
              </w:rPr>
            </w:pPr>
            <w:r>
              <w:rPr>
                <w:noProof/>
              </w:rPr>
              <w:lastRenderedPageBreak/>
              <w:t>6</w:t>
            </w:r>
          </w:p>
        </w:tc>
        <w:tc>
          <w:tcPr>
            <w:tcW w:w="1701" w:type="dxa"/>
          </w:tcPr>
          <w:p>
            <w:pPr>
              <w:rPr>
                <w:b/>
                <w:bCs/>
                <w:noProof/>
                <w:lang w:val="fr-FR"/>
              </w:rPr>
            </w:pPr>
            <w:r>
              <w:rPr>
                <w:b/>
                <w:bCs/>
                <w:noProof/>
                <w:lang w:val="fr-FR"/>
              </w:rPr>
              <w:t>OTIF/RID/CE/GTP/2015/12</w:t>
            </w:r>
          </w:p>
          <w:p>
            <w:pPr>
              <w:rPr>
                <w:b/>
                <w:bCs/>
                <w:noProof/>
                <w:lang w:val="fr-BE"/>
              </w:rPr>
            </w:pPr>
            <w:r>
              <w:rPr>
                <w:b/>
                <w:bCs/>
                <w:noProof/>
                <w:lang w:val="fr-BE"/>
              </w:rPr>
              <w:t>OTIF/RID/CE/GTP/2015/INF.2</w:t>
            </w:r>
          </w:p>
          <w:p>
            <w:pPr>
              <w:rPr>
                <w:b/>
                <w:bCs/>
                <w:noProof/>
                <w:lang w:val="fr-BE"/>
              </w:rPr>
            </w:pPr>
            <w:r>
              <w:rPr>
                <w:b/>
                <w:bCs/>
                <w:noProof/>
                <w:lang w:val="fr-BE"/>
              </w:rPr>
              <w:t>OTIF/RID/CE/GTP/2015/INF.3</w:t>
            </w:r>
          </w:p>
        </w:tc>
        <w:tc>
          <w:tcPr>
            <w:tcW w:w="2126" w:type="dxa"/>
          </w:tcPr>
          <w:p>
            <w:pPr>
              <w:jc w:val="left"/>
              <w:rPr>
                <w:noProof/>
              </w:rPr>
            </w:pPr>
            <w:r>
              <w:rPr>
                <w:noProof/>
              </w:rPr>
              <w:t>Various consolidated amendments agreed by the standing working group</w:t>
            </w:r>
          </w:p>
        </w:tc>
        <w:tc>
          <w:tcPr>
            <w:tcW w:w="2693" w:type="dxa"/>
          </w:tcPr>
          <w:p>
            <w:pPr>
              <w:jc w:val="left"/>
              <w:rPr>
                <w:noProof/>
              </w:rPr>
            </w:pPr>
            <w:r>
              <w:rPr>
                <w:noProof/>
              </w:rPr>
              <w:t>Technical consensus at the OTIF Standing Working Group</w:t>
            </w:r>
          </w:p>
        </w:tc>
        <w:tc>
          <w:tcPr>
            <w:tcW w:w="2126" w:type="dxa"/>
          </w:tcPr>
          <w:p>
            <w:pPr>
              <w:jc w:val="left"/>
              <w:rPr>
                <w:noProof/>
              </w:rPr>
            </w:pPr>
            <w:r>
              <w:rPr>
                <w:noProof/>
              </w:rPr>
              <w:t>Agree with the amendments</w:t>
            </w:r>
          </w:p>
        </w:tc>
      </w:tr>
      <w:tr>
        <w:tc>
          <w:tcPr>
            <w:tcW w:w="568" w:type="dxa"/>
          </w:tcPr>
          <w:p>
            <w:pPr>
              <w:rPr>
                <w:noProof/>
              </w:rPr>
            </w:pPr>
            <w:r>
              <w:rPr>
                <w:noProof/>
              </w:rPr>
              <w:t>7</w:t>
            </w:r>
          </w:p>
        </w:tc>
        <w:tc>
          <w:tcPr>
            <w:tcW w:w="1701" w:type="dxa"/>
          </w:tcPr>
          <w:p>
            <w:pPr>
              <w:rPr>
                <w:bCs/>
                <w:noProof/>
                <w:lang w:val="fr-BE"/>
              </w:rPr>
            </w:pPr>
            <w:r>
              <w:rPr>
                <w:b/>
                <w:bCs/>
                <w:noProof/>
                <w:lang w:val="fr-FR"/>
              </w:rPr>
              <w:t xml:space="preserve">Idem </w:t>
            </w:r>
            <w:r>
              <w:rPr>
                <w:b/>
                <w:bCs/>
                <w:noProof/>
                <w:lang w:val="fr-BE"/>
              </w:rPr>
              <w:t xml:space="preserve"> </w:t>
            </w:r>
          </w:p>
        </w:tc>
        <w:tc>
          <w:tcPr>
            <w:tcW w:w="2126" w:type="dxa"/>
          </w:tcPr>
          <w:p>
            <w:pPr>
              <w:jc w:val="left"/>
              <w:rPr>
                <w:noProof/>
              </w:rPr>
            </w:pPr>
            <w:r>
              <w:rPr>
                <w:noProof/>
              </w:rPr>
              <w:t>Amendments left for further examination by the Standing Working Group</w:t>
            </w:r>
          </w:p>
        </w:tc>
        <w:tc>
          <w:tcPr>
            <w:tcW w:w="2693" w:type="dxa"/>
          </w:tcPr>
          <w:p>
            <w:pPr>
              <w:jc w:val="left"/>
              <w:rPr>
                <w:noProof/>
              </w:rPr>
            </w:pPr>
            <w:r>
              <w:rPr>
                <w:noProof/>
              </w:rPr>
              <w:t>-</w:t>
            </w:r>
          </w:p>
        </w:tc>
        <w:tc>
          <w:tcPr>
            <w:tcW w:w="2126" w:type="dxa"/>
          </w:tcPr>
          <w:p>
            <w:pPr>
              <w:jc w:val="left"/>
              <w:rPr>
                <w:noProof/>
              </w:rPr>
            </w:pPr>
            <w:r>
              <w:rPr>
                <w:noProof/>
              </w:rPr>
              <w:t xml:space="preserve">- </w:t>
            </w:r>
          </w:p>
        </w:tc>
      </w:tr>
      <w:tr>
        <w:tc>
          <w:tcPr>
            <w:tcW w:w="568" w:type="dxa"/>
          </w:tcPr>
          <w:p>
            <w:pPr>
              <w:rPr>
                <w:noProof/>
              </w:rPr>
            </w:pPr>
            <w:r>
              <w:rPr>
                <w:noProof/>
              </w:rPr>
              <w:t>8</w:t>
            </w:r>
          </w:p>
        </w:tc>
        <w:tc>
          <w:tcPr>
            <w:tcW w:w="1701" w:type="dxa"/>
          </w:tcPr>
          <w:p>
            <w:pPr>
              <w:rPr>
                <w:b/>
                <w:bCs/>
                <w:noProof/>
                <w:lang w:val="fr-BE"/>
              </w:rPr>
            </w:pPr>
            <w:r>
              <w:rPr>
                <w:b/>
                <w:bCs/>
                <w:noProof/>
                <w:lang w:val="fr-FR"/>
              </w:rPr>
              <w:t xml:space="preserve">Idem </w:t>
            </w:r>
          </w:p>
        </w:tc>
        <w:tc>
          <w:tcPr>
            <w:tcW w:w="2126" w:type="dxa"/>
          </w:tcPr>
          <w:p>
            <w:pPr>
              <w:jc w:val="left"/>
              <w:rPr>
                <w:noProof/>
              </w:rPr>
            </w:pPr>
            <w:r>
              <w:rPr>
                <w:noProof/>
              </w:rPr>
              <w:t>Those calling for a common view from the UN-ECE – OTIF Joint Meeting</w:t>
            </w:r>
          </w:p>
        </w:tc>
        <w:tc>
          <w:tcPr>
            <w:tcW w:w="2693" w:type="dxa"/>
          </w:tcPr>
          <w:p>
            <w:pPr>
              <w:jc w:val="left"/>
              <w:rPr>
                <w:noProof/>
              </w:rPr>
            </w:pPr>
            <w:r>
              <w:rPr>
                <w:noProof/>
              </w:rPr>
              <w:t>Efficient multimodal transport needs to be facilitated</w:t>
            </w:r>
          </w:p>
        </w:tc>
        <w:tc>
          <w:tcPr>
            <w:tcW w:w="2126" w:type="dxa"/>
          </w:tcPr>
          <w:p>
            <w:pPr>
              <w:jc w:val="left"/>
              <w:rPr>
                <w:noProof/>
              </w:rPr>
            </w:pPr>
            <w:r>
              <w:rPr>
                <w:noProof/>
              </w:rPr>
              <w:t>Agree with the amendments as recommended by the Joint Meeting</w:t>
            </w:r>
          </w:p>
        </w:tc>
      </w:tr>
      <w:tr>
        <w:tc>
          <w:tcPr>
            <w:tcW w:w="568" w:type="dxa"/>
          </w:tcPr>
          <w:p>
            <w:pPr>
              <w:rPr>
                <w:noProof/>
              </w:rPr>
            </w:pPr>
            <w:r>
              <w:rPr>
                <w:noProof/>
              </w:rPr>
              <w:t>9</w:t>
            </w:r>
          </w:p>
        </w:tc>
        <w:tc>
          <w:tcPr>
            <w:tcW w:w="1701" w:type="dxa"/>
          </w:tcPr>
          <w:p>
            <w:pPr>
              <w:rPr>
                <w:b/>
                <w:bCs/>
                <w:noProof/>
              </w:rPr>
            </w:pPr>
            <w:r>
              <w:rPr>
                <w:b/>
                <w:bCs/>
                <w:noProof/>
              </w:rPr>
              <w:t>OTIF/RID/CE/GTP/2015/14</w:t>
            </w:r>
          </w:p>
        </w:tc>
        <w:tc>
          <w:tcPr>
            <w:tcW w:w="2126" w:type="dxa"/>
          </w:tcPr>
          <w:p>
            <w:pPr>
              <w:jc w:val="left"/>
              <w:rPr>
                <w:noProof/>
              </w:rPr>
            </w:pPr>
            <w:r>
              <w:rPr>
                <w:noProof/>
              </w:rPr>
              <w:t>Notifications of occurrences involving dangerous goods in accordance with RID 1.8.5; Hamburg-Billwerder, 3 July 2013</w:t>
            </w:r>
          </w:p>
        </w:tc>
        <w:tc>
          <w:tcPr>
            <w:tcW w:w="2693" w:type="dxa"/>
          </w:tcPr>
          <w:p>
            <w:pPr>
              <w:jc w:val="left"/>
              <w:rPr>
                <w:noProof/>
              </w:rPr>
            </w:pPr>
            <w:r>
              <w:rPr>
                <w:noProof/>
              </w:rPr>
              <w:t>Technical consensus at the OTIF Standing Working Group</w:t>
            </w:r>
          </w:p>
        </w:tc>
        <w:tc>
          <w:tcPr>
            <w:tcW w:w="2126" w:type="dxa"/>
          </w:tcPr>
          <w:p>
            <w:pPr>
              <w:jc w:val="left"/>
              <w:rPr>
                <w:noProof/>
              </w:rPr>
            </w:pPr>
            <w:r>
              <w:rPr>
                <w:noProof/>
              </w:rPr>
              <w:t>Agree with the amendments as revised in the Standing Working Group</w:t>
            </w:r>
          </w:p>
        </w:tc>
      </w:tr>
      <w:tr>
        <w:tc>
          <w:tcPr>
            <w:tcW w:w="568" w:type="dxa"/>
          </w:tcPr>
          <w:p>
            <w:pPr>
              <w:rPr>
                <w:noProof/>
              </w:rPr>
            </w:pPr>
            <w:r>
              <w:rPr>
                <w:noProof/>
              </w:rPr>
              <w:t>10</w:t>
            </w:r>
          </w:p>
        </w:tc>
        <w:tc>
          <w:tcPr>
            <w:tcW w:w="1701" w:type="dxa"/>
          </w:tcPr>
          <w:p>
            <w:pPr>
              <w:rPr>
                <w:b/>
                <w:bCs/>
                <w:noProof/>
                <w:lang w:val="fr-BE"/>
              </w:rPr>
            </w:pPr>
            <w:r>
              <w:rPr>
                <w:b/>
                <w:bCs/>
                <w:noProof/>
                <w:lang w:val="fr-BE"/>
              </w:rPr>
              <w:t>OTIF/RID/CE/GTP/2015/INF.4</w:t>
            </w:r>
          </w:p>
        </w:tc>
        <w:tc>
          <w:tcPr>
            <w:tcW w:w="2126" w:type="dxa"/>
          </w:tcPr>
          <w:p>
            <w:pPr>
              <w:jc w:val="left"/>
              <w:rPr>
                <w:noProof/>
              </w:rPr>
            </w:pPr>
            <w:r>
              <w:rPr>
                <w:noProof/>
              </w:rPr>
              <w:t>Protective distance for road vehicles</w:t>
            </w:r>
          </w:p>
        </w:tc>
        <w:tc>
          <w:tcPr>
            <w:tcW w:w="2693" w:type="dxa"/>
          </w:tcPr>
          <w:p>
            <w:pPr>
              <w:jc w:val="left"/>
              <w:rPr>
                <w:noProof/>
              </w:rPr>
            </w:pPr>
            <w:r>
              <w:rPr>
                <w:noProof/>
              </w:rPr>
              <w:t>Technical consensus at the OTIF Standing Working Group</w:t>
            </w:r>
          </w:p>
        </w:tc>
        <w:tc>
          <w:tcPr>
            <w:tcW w:w="2126" w:type="dxa"/>
          </w:tcPr>
          <w:p>
            <w:pPr>
              <w:jc w:val="left"/>
              <w:rPr>
                <w:noProof/>
              </w:rPr>
            </w:pPr>
            <w:r>
              <w:rPr>
                <w:noProof/>
              </w:rPr>
              <w:t>Agree with the amendments</w:t>
            </w:r>
          </w:p>
        </w:tc>
      </w:tr>
    </w:tbl>
    <w:p>
      <w:pPr>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F8C1AB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0F4BF1E"/>
    <w:lvl w:ilvl="0">
      <w:start w:val="1"/>
      <w:numFmt w:val="decimal"/>
      <w:pStyle w:val="ListNumber3"/>
      <w:lvlText w:val="%1."/>
      <w:lvlJc w:val="left"/>
      <w:pPr>
        <w:tabs>
          <w:tab w:val="num" w:pos="926"/>
        </w:tabs>
        <w:ind w:left="926" w:hanging="360"/>
      </w:pPr>
    </w:lvl>
  </w:abstractNum>
  <w:abstractNum w:abstractNumId="2">
    <w:nsid w:val="FFFFFF7F"/>
    <w:multiLevelType w:val="singleLevel"/>
    <w:tmpl w:val="C4C07500"/>
    <w:lvl w:ilvl="0">
      <w:start w:val="1"/>
      <w:numFmt w:val="decimal"/>
      <w:pStyle w:val="ListNumber2"/>
      <w:lvlText w:val="%1."/>
      <w:lvlJc w:val="left"/>
      <w:pPr>
        <w:tabs>
          <w:tab w:val="num" w:pos="643"/>
        </w:tabs>
        <w:ind w:left="643" w:hanging="360"/>
      </w:pPr>
    </w:lvl>
  </w:abstractNum>
  <w:abstractNum w:abstractNumId="3">
    <w:nsid w:val="FFFFFF81"/>
    <w:multiLevelType w:val="singleLevel"/>
    <w:tmpl w:val="01E6402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8C24A8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32CB07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9084E30"/>
    <w:lvl w:ilvl="0">
      <w:start w:val="1"/>
      <w:numFmt w:val="decimal"/>
      <w:pStyle w:val="ListNumber"/>
      <w:lvlText w:val="%1."/>
      <w:lvlJc w:val="left"/>
      <w:pPr>
        <w:tabs>
          <w:tab w:val="num" w:pos="360"/>
        </w:tabs>
        <w:ind w:left="360" w:hanging="360"/>
      </w:pPr>
    </w:lvl>
  </w:abstractNum>
  <w:abstractNum w:abstractNumId="7">
    <w:nsid w:val="FFFFFF89"/>
    <w:multiLevelType w:val="singleLevel"/>
    <w:tmpl w:val="94C6FA3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01"/>
  <w:displayBackgroundShape/>
  <w:hideSpellingErrors/>
  <w:hideGrammaticalErrors/>
  <w:attachedTemplate r:id="rId1"/>
  <w:revisionView w:markup="0"/>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2-19 10:22:2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ACCOMPAGNANT.CP" w:val="to the"/>
    <w:docVar w:name="LW_ANNEX_NBR_FIRST" w:val="1"/>
    <w:docVar w:name="LW_ANNEX_NBR_LAST" w:val="1"/>
    <w:docVar w:name="LW_CONFIDENCE" w:val=" "/>
    <w:docVar w:name="LW_CONST_RESTREINT_UE" w:val="RESTREINT UE"/>
    <w:docVar w:name="LW_CORRIGENDUM" w:val="&lt;UNUSED&gt;"/>
    <w:docVar w:name="LW_COVERPAGE_GUID" w:val="F840D746CB7F408C9239EFC54B56255C"/>
    <w:docVar w:name="LW_CROSSREFERENCE" w:val="&lt;UNUSED&gt;"/>
    <w:docVar w:name="LW_DocType" w:val="ANNEX"/>
    <w:docVar w:name="LW_EMISSION" w:val="26.2.2016"/>
    <w:docVar w:name="LW_EMISSION_ISODATE" w:val="2016-02-26"/>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CP" w:val="establishing the position to be adopted by the Union at the 54th session of the OTIF Committee of Experts on the Transport of Dangerous Goods as regards certain amendments to Appendix C to the Convention concerning the International Carriage by Rail (COTIF) applicable from 1 January 2017"/>
    <w:docVar w:name="LW_PART_NBR" w:val="1"/>
    <w:docVar w:name="LW_PART_NBR_TOTAL" w:val="1"/>
    <w:docVar w:name="LW_REF.INST.NEW" w:val="COM"/>
    <w:docVar w:name="LW_REF.INST.NEW_ADOPTED" w:val="final"/>
    <w:docVar w:name="LW_REF.INST.NEW_TEXT" w:val="(2016) 89"/>
    <w:docVar w:name="LW_REF.INTERNE" w:val="&lt;UNUSED&gt;"/>
    <w:docVar w:name="LW_SUPERTITRE" w:val="&lt;UNUSED&gt;"/>
    <w:docVar w:name="LW_TITRE.OBJ.CP" w:val="&lt;UNUSED&gt;"/>
    <w:docVar w:name="LW_TYPE.DOC.CP" w:val="ANNEX"/>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Pr>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Pr>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3</Pages>
  <Words>341</Words>
  <Characters>2058</Characters>
  <Application>Microsoft Office Word</Application>
  <DocSecurity>0</DocSecurity>
  <Lines>187</Lines>
  <Paragraphs>72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European Commission</Company>
  <LinksUpToDate>false</LinksUpToDate>
  <CharactersWithSpaces>2327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STANCIU Monica (MOVE)</dc:creator>
  <cp:lastModifiedBy>DIGIT/A3</cp:lastModifiedBy>
  <cp:revision>7</cp:revision>
  <cp:lastPrinted>2016-01-12T09:49:00Z</cp:lastPrinted>
  <dcterms:created xsi:type="dcterms:W3CDTF">2016-02-17T10:39:00Z</dcterms:created>
  <dcterms:modified xsi:type="dcterms:W3CDTF">2016-02-19T09:22:00Z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