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52877280AC74AB6BFA5F2123F69508C" style="width:450.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Accompagnant"/>
        <w:rPr>
          <w:noProof/>
        </w:rPr>
      </w:pPr>
      <w:r>
        <w:rPr>
          <w:noProof/>
        </w:rPr>
        <w:t>à la</w:t>
      </w:r>
    </w:p>
    <w:p>
      <w:pPr>
        <w:pStyle w:val="Typeacteprincipal"/>
        <w:rPr>
          <w:noProof/>
        </w:rPr>
      </w:pPr>
      <w:r>
        <w:rPr>
          <w:noProof/>
        </w:rPr>
        <w:t>proposition de décision du Conseil</w:t>
      </w:r>
    </w:p>
    <w:p>
      <w:pPr>
        <w:pStyle w:val="Objetacteprincipal"/>
        <w:rPr>
          <w:noProof/>
        </w:rPr>
      </w:pPr>
      <w:r>
        <w:rPr>
          <w:noProof/>
        </w:rPr>
        <w:t>établissant la position à adopter par l'Union lors de la 54</w:t>
      </w:r>
      <w:r>
        <w:rPr>
          <w:noProof/>
          <w:vertAlign w:val="superscript"/>
        </w:rPr>
        <w:t>e</w:t>
      </w:r>
      <w:r>
        <w:rPr>
          <w:noProof/>
        </w:rPr>
        <w:t> session de la commission d'experts de l'OTIF pour le transport de marchandises dangereuses en ce qui concerne certaines modifications apportées à l'appendice C de la convention relative aux transports internationaux ferroviaires (COTIF), applicables à partir du 1</w:t>
      </w:r>
      <w:r>
        <w:rPr>
          <w:noProof/>
          <w:vertAlign w:val="superscript"/>
        </w:rPr>
        <w:t>er</w:t>
      </w:r>
      <w:r>
        <w:rPr>
          <w:noProof/>
        </w:rPr>
        <w:t> janvier 2017</w:t>
      </w: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2693"/>
        <w:gridCol w:w="2126"/>
      </w:tblGrid>
      <w:tr>
        <w:tc>
          <w:tcPr>
            <w:tcW w:w="568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Proposition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Document de référence</w:t>
            </w:r>
          </w:p>
        </w:tc>
        <w:tc>
          <w:tcPr>
            <w:tcW w:w="2126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 xml:space="preserve">Objet </w:t>
            </w:r>
          </w:p>
        </w:tc>
        <w:tc>
          <w:tcPr>
            <w:tcW w:w="2693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Remarques </w:t>
            </w:r>
          </w:p>
        </w:tc>
        <w:tc>
          <w:tcPr>
            <w:tcW w:w="2126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Position de l'UE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OTIF/RID/CE/GTP/2015/2</w:t>
            </w: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OTIF/RID/CE/GTP/INF.14</w:t>
            </w: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OTIF/RID/CE/GTP/INF.15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Inclusion d’obligations incombant aux entités chargées de l’entretien (ECE) dans le RID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Consensus technique au sein du groupe de travail permanent de l’OTIF pour l'adoption d'un texte modifié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Accepte les modifications révisées par le groupe de travail permanent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OTIF/RID/CE/GTP/2015/3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Modification de la disposition spéciale TU 16 au chapitre 4.3 du RID/ADR/ADN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Consensus technique au sein du groupe de travail permanent de l'OTIF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Accepte les modifications révisées par le groupe de travail permanent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OTIF/RID/CE/GTP/2015/5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Le transporteur a  l'obligation d’informer le conducteur de train de l'emplacement des marchandises dangereuses à bord du train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Consensus technique au sein du groupe de travail permanent de l'OTIF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Accepte les modifications révisées par le groupe de travail permanent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OTIF/RID/CE/GTP/2015/6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Conteneurs pour vrac souples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Consensus technique au sein du groupe de travail permanent de l'OTIF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Accepte le texte sur les conteneurs pour vrac souples figurant dans le document OTIF/RID/CE/GTP</w:t>
            </w:r>
            <w:r>
              <w:rPr>
                <w:noProof/>
              </w:rPr>
              <w:lastRenderedPageBreak/>
              <w:t>/2015/12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5</w:t>
            </w:r>
          </w:p>
        </w:tc>
        <w:tc>
          <w:tcPr>
            <w:tcW w:w="1701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OTIF/RID/CE/GTP/2015/7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Définitions des termes «chargement complet»/«wagon complet»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Consensus technique au sein du groupe de travail permanent de l'OTIF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Accepte les modifications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OTIF/RID/CE/GTP/2015/12</w:t>
            </w:r>
          </w:p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OTIF/RID/CE/GTP/2015/INF.2</w:t>
            </w:r>
          </w:p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OTIF/RID/CE/GTP/2015/INF.3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Plusieurs modifications consolidées acceptées par le groupe de travail permanent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Consensus technique au sein du groupe de travail permanent de l'OTIF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Accepte les modifications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bCs/>
                <w:noProof/>
              </w:rPr>
            </w:pPr>
            <w:r>
              <w:rPr>
                <w:b/>
                <w:noProof/>
              </w:rPr>
              <w:t xml:space="preserve">ibid.  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Modifications qui feront l'objet d'un examen plus approfondi par le groupe de travail permanent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 xml:space="preserve">ibid. 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Points nécessitant une position commune lors de la réunion conjointe CEE-ONU – OTIF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Nécessité de faciliter un transport multimodal efficace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Accepte les modifications recommandées par la réunion conjointe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OTIF/RID/CE/GTP/2015/14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Déclarations des événements impliquant des marchandises dangereuses conformément au paragraphe 1.8.5 du RID; Hamburg-Billwerder, 3 juillet 2013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Consensus technique au sein du groupe de travail permanent de l'OTIF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Accepte les modifications révisées par le groupe de travail permanent</w:t>
            </w:r>
          </w:p>
        </w:tc>
      </w:tr>
      <w:tr>
        <w:tc>
          <w:tcPr>
            <w:tcW w:w="56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OTIF/RID/CE/GTP/2015/INF.4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Distance de protection pour les véhicules routiers</w:t>
            </w:r>
          </w:p>
        </w:tc>
        <w:tc>
          <w:tcPr>
            <w:tcW w:w="269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Consensus technique au sein du groupe de travail permanent de l'OTIF</w:t>
            </w:r>
          </w:p>
        </w:tc>
        <w:tc>
          <w:tcPr>
            <w:tcW w:w="2126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Accepte les modifications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F8C1A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0F4BF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4C075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1E64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8C24A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32CB0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9084E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C6FA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9 10:22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52877280AC74AB6BFA5F2123F69508C"/>
    <w:docVar w:name="LW_CROSSREFERENCE" w:val="&lt;UNUSED&gt;"/>
    <w:docVar w:name="LW_DocType" w:val="ANNEX"/>
    <w:docVar w:name="LW_EMISSION" w:val="26.2.2016"/>
    <w:docVar w:name="LW_EMISSION_ISODATE" w:val="2016-02-26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établissant la position à adopter par l'Union lors de la 54e session de la commission d'experts de l'OTIF pour le transport de marchandises dangereuses en ce qui concerne certaines modifications apportées à l'appendice C de la convention relative aux transports internationaux ferroviaires (COTIF), applicables à partir du 1er janvier 2017"/>
    <w:docVar w:name="LW_OBJETACTEPRINCIPAL_CONTENT_FMTD" w:val="établissant la position à adopter par l'Union lors de la 54&lt;FMT:super&gt;e&lt;/FMT&gt; session de la commission d'experts de l'OTIF pour le transport de marchandises dangereuses en ce qui concerne certaines modifications apportées à l'appendice C de la convention relative aux transports internationaux ferroviaires (COTIF), applicables à partir du 1&lt;FMT:super&gt;er&lt;/FMT&gt; janvier 2017"/>
    <w:docVar w:name="LW_OBJETACTEPRINCIPAL_USEMAINTEXTFORCP" w:val="1"/>
    <w:docVar w:name="LW_PART_NBR" w:val="1"/>
    <w:docVar w:name="LW_PART_NBR_TOTAL" w:val="1"/>
    <w:docVar w:name="LW_REF.INST.NEW" w:val="COM"/>
    <w:docVar w:name="LW_REF.INST.NEW_ADOPTED" w:val="final"/>
    <w:docVar w:name="LW_REF.INST.NEW_TEXT" w:val="(2016) 89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379</Words>
  <Characters>2430</Characters>
  <Application>Microsoft Office Word</Application>
  <DocSecurity>0</DocSecurity>
  <Lines>202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STANCIU Monica (MOVE)</dc:creator>
  <cp:lastModifiedBy>DIGIT/A3</cp:lastModifiedBy>
  <cp:revision>7</cp:revision>
  <cp:lastPrinted>2016-01-12T09:49:00Z</cp:lastPrinted>
  <dcterms:created xsi:type="dcterms:W3CDTF">2016-02-18T09:32:00Z</dcterms:created>
  <dcterms:modified xsi:type="dcterms:W3CDTF">2016-02-19T09:22:00Z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