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0EFE7A197A34BCCB4D90C77CA58045F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 1</w:t>
      </w:r>
      <w:r>
        <w:rPr>
          <w:noProof/>
        </w:rPr>
        <w:br/>
      </w:r>
    </w:p>
    <w:p>
      <w:pPr>
        <w:pStyle w:val="TableTitle"/>
        <w:outlineLvl w:val="0"/>
        <w:rPr>
          <w:noProof/>
        </w:rPr>
      </w:pPr>
      <w:r>
        <w:rPr>
          <w:noProof/>
        </w:rPr>
        <w:t>Tableau de correspondance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55"/>
      </w:tblGrid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Directive 2011/95/UE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Présent règlement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2, point a)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1)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b)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2)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c)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d)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3)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e)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4)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f)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5)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g)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6)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h)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7)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i)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8)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j)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9)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j), premier tiret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9) a)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j), deuxième tiret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9) b)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j), troisième tiret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9) c)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k)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10)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l)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11)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m)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12)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n)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 13)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points 14) à 19)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paragraphes 1 et 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paragraphes 1 et 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 3, points a) à e)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rStyle w:val="FootnoteReference"/>
                <w:noProof/>
              </w:rPr>
              <w:footnoteReference w:id="1"/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paragraphes 4 et 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4, paragraphes 4 et 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paragraphes 1 et 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paragraphes 1 et 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1, premier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2,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2,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11, paragraphe 1,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2, points a) à c)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2, points a) à 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paragraphes 4 à 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3,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3,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1),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4,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4,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point e)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1, point f)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2,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2,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1, points a) à d)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18, paragraphe 1, points a) à 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18, paragraphe 1, point e)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18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1,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1,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3, point a)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1,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3, point b)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1,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1, point 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paragraphes 1 et 2</w:t>
            </w:r>
          </w:p>
        </w:tc>
        <w:tc>
          <w:tcPr>
            <w:tcW w:w="4655" w:type="dxa"/>
          </w:tcPr>
          <w:p>
            <w:pPr>
              <w:rPr>
                <w:noProof/>
                <w:highlight w:val="yellow"/>
              </w:rPr>
            </w:pPr>
            <w:r>
              <w:rPr>
                <w:noProof/>
              </w:rPr>
              <w:t>Article 22, paragraphes 1 et 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highlight w:val="yellow"/>
              </w:rPr>
            </w:pPr>
            <w:r>
              <w:rPr>
                <w:noProof/>
              </w:rPr>
              <w:t>Article 22,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22, paragraphe 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2, premier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rPr>
          <w:trHeight w:val="533"/>
        </w:trP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2,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premier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paragraphes 1 et 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4, et article 26, paragraphe 2, point 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23, paragraphe 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1, premier alinéa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1, point 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1, point 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2, points a) et 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2, points a) à 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paragraphes 1 et 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32, paragraphes 1 et 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32, paragraphe 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1, premier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1,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30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1, premier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1, deuxième alinéa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paragraphes 2 à 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paragraphes 2 à 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33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28,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paragraphes 1 et 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34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35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36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37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38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39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40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41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42</w:t>
            </w:r>
          </w:p>
        </w:tc>
        <w:tc>
          <w:tcPr>
            <w:tcW w:w="465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Voir article 33, paragraphe 2, du règlement (UE) XXX/XXX [règlement relatif aux procédures].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C7A73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1C6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27881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27CAF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AF236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D86F9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894AC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666A9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31 16:03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F0EFE7A197A34BCCB4D90C77CA58045F"/>
    <w:docVar w:name="LW_CROSSREFERENCE" w:val="&lt;UNUSED&gt;"/>
    <w:docVar w:name="LW_DocType" w:val="ANNEX"/>
    <w:docVar w:name="LW_EMISSION" w:val="13.7.2016"/>
    <w:docVar w:name="LW_EMISSION_ISODATE" w:val="2016-07-1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concernant les normes relatives aux conditions que doivent remplir les ressortissants de pays tiers ou les apatrides pour pouvoir bénéficier d'une protection internationale, à un statut uniforme pour les réfigués ou les personnes pouvant bénéficier de la protection subsidiaire, et au contenu de cette protection, et modifiant la directive 2011/109/CE du Conseil du 25&lt;LWCR:NBS&gt;novembre 2003 relative au statut des ressortissants de pays tiers résidents de longue durée"/>
    <w:docVar w:name="LW_OBJETACTEPRINCIPAL.CP" w:val="concernant les normes relatives aux conditions que doivent remplir les ressortissants de pays tiers ou les apatrides pour pouvoir bénéficier d'une protection internationale, à un statut uniforme pour les réfigués ou les personnes pouvant bénéficier de la protection subsidiaire, et au contenu de cette protection, et modifiant la directive 2011/109/CE du Conseil du 25 novembre 2003 relative au statut des ressortissants de pays tiers résidents de longue durée"/>
    <w:docVar w:name="LW_PART_NBR" w:val="1"/>
    <w:docVar w:name="LW_PART_NBR_TOTAL" w:val="1"/>
    <w:docVar w:name="LW_REF.INST.NEW" w:val="COM"/>
    <w:docVar w:name="LW_REF.INST.NEW_ADOPTED" w:val="final"/>
    <w:docVar w:name="LW_REF.INST.NEW_TEXT" w:val="(2016) 466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962</Words>
  <Characters>4457</Characters>
  <Application>Microsoft Office Word</Application>
  <DocSecurity>0</DocSecurity>
  <Lines>278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CHUDZINSKA Katarzyna (HOME)</dc:creator>
  <cp:lastModifiedBy>DIGIT/A3</cp:lastModifiedBy>
  <cp:revision>9</cp:revision>
  <dcterms:created xsi:type="dcterms:W3CDTF">2016-08-31T14:03:00Z</dcterms:created>
  <dcterms:modified xsi:type="dcterms:W3CDTF">2016-09-01T10:26:00Z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