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9443C54268C41B1BC0B054B738A1BB7" style="width:450.8pt;height:383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 1</w:t>
      </w:r>
      <w:r>
        <w:rPr>
          <w:noProof/>
        </w:rPr>
        <w:br/>
      </w:r>
    </w:p>
    <w:p>
      <w:pPr>
        <w:pStyle w:val="NormalCentered"/>
        <w:rPr>
          <w:b/>
          <w:noProof/>
        </w:rPr>
      </w:pPr>
      <w:r>
        <w:rPr>
          <w:b/>
          <w:noProof/>
        </w:rPr>
        <w:t>Liste commune de l'UE des pays d'origine sûrs visée à l'article 48</w:t>
      </w:r>
    </w:p>
    <w:p>
      <w:pPr>
        <w:pStyle w:val="Normal1"/>
        <w:rPr>
          <w:noProof/>
          <w:color w:val="000000"/>
        </w:rPr>
      </w:pPr>
    </w:p>
    <w:p>
      <w:pPr>
        <w:pStyle w:val="Normal1"/>
        <w:rPr>
          <w:noProof/>
          <w:color w:val="000000"/>
        </w:rPr>
      </w:pP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Albanie,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Bosnie-Herzégovine,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ancienne République yougoslave de Macédoine,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Kosovo*</w:t>
      </w:r>
      <w:r>
        <w:rPr>
          <w:rStyle w:val="FootnoteReference"/>
          <w:noProof/>
          <w:color w:val="000000"/>
        </w:rPr>
        <w:footnoteReference w:id="1"/>
      </w:r>
      <w:r>
        <w:rPr>
          <w:noProof/>
          <w:color w:val="000000"/>
        </w:rPr>
        <w:t>,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Monténégro,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Serbie,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Turquie.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* Cette désignation est sans préjudice des positions sur le statut et elle est conforme à la résolution 1244/99 du Conseil de sécurité des Nations unies ainsi qu'à l’avis de la CIJ sur la déclaration d'indépendance du Kosovo.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23ACC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B927B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4BEFA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B0F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FAA1D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79285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B4A61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31 16:13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9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9443C54268C41B1BC0B054B738A1BB7"/>
    <w:docVar w:name="LW_CROSSREFERENCE" w:val="&lt;UNUSED&gt;"/>
    <w:docVar w:name="LW_DocType" w:val="ANNEX"/>
    <w:docVar w:name="LW_EMISSION" w:val="13.7.2016"/>
    <w:docVar w:name="LW_EMISSION_ISODATE" w:val="2016-07-1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instituant une procédure commune en matière de protection internationale dans l'Union et abrogeant la directive&lt;LWCR:NBS&gt;2013/32/UE"/>
    <w:docVar w:name="LW_OBJETACTEPRINCIPAL.CP" w:val="instituant une procédure commune en matière de protection internationale dans l'Union et abrogeant la directive 2013/32/UE"/>
    <w:docVar w:name="LW_PART_NBR" w:val="1"/>
    <w:docVar w:name="LW_PART_NBR_TOTAL" w:val="1"/>
    <w:docVar w:name="LW_REF.INST.NEW" w:val="COM"/>
    <w:docVar w:name="LW_REF.INST.NEW_ADOPTED" w:val="final"/>
    <w:docVar w:name="LW_REF.INST.NEW_TEXT" w:val="(2016) 467"/>
    <w:docVar w:name="LW_REF.INTERNE" w:val="&lt;UNUSED&gt;"/>
    <w:docVar w:name="LW_SUPERTITRE" w:val="&lt;UNUSED&gt;"/>
    <w:docVar w:name="LW_TITRE.OBJ.CP" w:val="&lt;UNUSED&gt;"/>
    <w:docVar w:name="LW_TYPE.DOC" w:val="ANNEXES"/>
    <w:docVar w:name="LW_TYPE.DOC.CP" w:val="ANNEXES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Normal1">
    <w:name w:val="Normal1"/>
    <w:basedOn w:val="Normal"/>
    <w:pPr>
      <w:spacing w:before="0" w:after="0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Normal1">
    <w:name w:val="Normal1"/>
    <w:basedOn w:val="Normal"/>
    <w:pPr>
      <w:spacing w:before="0" w:after="0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26</Words>
  <Characters>170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CHUDZINSKA Katarzyna (HOME)</dc:creator>
  <cp:lastModifiedBy>DIGIT/A3</cp:lastModifiedBy>
  <cp:revision>8</cp:revision>
  <dcterms:created xsi:type="dcterms:W3CDTF">2016-08-31T14:13:00Z</dcterms:created>
  <dcterms:modified xsi:type="dcterms:W3CDTF">2016-09-01T12:44:00Z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