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C26" w:rsidRDefault="000B73CA">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12EA178BE894EF5BDB7BA9CEE064F4A" style="width:450.35pt;height:307.7pt">
            <v:imagedata r:id="rId9" o:title=""/>
          </v:shape>
        </w:pict>
      </w:r>
    </w:p>
    <w:bookmarkEnd w:id="0"/>
    <w:p w:rsidR="00483C26" w:rsidRDefault="00483C26">
      <w:pPr>
        <w:rPr>
          <w:noProof/>
        </w:rPr>
        <w:sectPr w:rsidR="00483C26">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483C26" w:rsidRDefault="000B73CA">
      <w:pPr>
        <w:jc w:val="center"/>
        <w:rPr>
          <w:rFonts w:ascii="Times New Roman" w:hAnsi="Times New Roman"/>
          <w:b/>
          <w:noProof/>
          <w:sz w:val="24"/>
          <w:szCs w:val="24"/>
        </w:rPr>
      </w:pPr>
      <w:r>
        <w:rPr>
          <w:rFonts w:ascii="Times New Roman" w:hAnsi="Times New Roman"/>
          <w:b/>
          <w:noProof/>
          <w:sz w:val="24"/>
        </w:rPr>
        <w:lastRenderedPageBreak/>
        <w:t>ДОКЛАД НА КОМИСИЯТА ДО ЕВРОПЕЙСКИЯ ПАРЛАМЕНТ И СЪВЕТА</w:t>
      </w:r>
    </w:p>
    <w:p w:rsidR="00483C26" w:rsidRDefault="000B73CA">
      <w:pPr>
        <w:jc w:val="center"/>
        <w:rPr>
          <w:rFonts w:ascii="Times New Roman" w:hAnsi="Times New Roman"/>
          <w:b/>
          <w:noProof/>
          <w:sz w:val="24"/>
          <w:szCs w:val="24"/>
        </w:rPr>
      </w:pPr>
      <w:r>
        <w:rPr>
          <w:rFonts w:ascii="Times New Roman" w:hAnsi="Times New Roman"/>
          <w:b/>
          <w:noProof/>
          <w:sz w:val="24"/>
        </w:rPr>
        <w:t>относно прилагането на Директива 98/58/EО</w:t>
      </w:r>
      <w:r>
        <w:rPr>
          <w:rFonts w:ascii="Times New Roman" w:hAnsi="Times New Roman"/>
          <w:b/>
          <w:noProof/>
          <w:sz w:val="24"/>
        </w:rPr>
        <w:t xml:space="preserve"> на Съвета относно защитата на животни, отглеждани за селскостопански цели</w:t>
      </w:r>
    </w:p>
    <w:p w:rsidR="00483C26" w:rsidRDefault="000B73CA">
      <w:pPr>
        <w:jc w:val="both"/>
        <w:rPr>
          <w:rFonts w:ascii="Times New Roman" w:hAnsi="Times New Roman"/>
          <w:b/>
          <w:noProof/>
          <w:sz w:val="24"/>
          <w:szCs w:val="24"/>
          <w:u w:val="single"/>
        </w:rPr>
      </w:pPr>
      <w:r>
        <w:rPr>
          <w:rFonts w:ascii="Times New Roman" w:hAnsi="Times New Roman"/>
          <w:b/>
          <w:noProof/>
          <w:sz w:val="24"/>
        </w:rPr>
        <w:t>1.</w:t>
      </w:r>
      <w:r>
        <w:rPr>
          <w:noProof/>
        </w:rPr>
        <w:tab/>
      </w:r>
      <w:r>
        <w:rPr>
          <w:rFonts w:ascii="Times New Roman" w:hAnsi="Times New Roman"/>
          <w:b/>
          <w:noProof/>
          <w:sz w:val="24"/>
          <w:u w:val="single"/>
        </w:rPr>
        <w:t>Въведение</w:t>
      </w:r>
    </w:p>
    <w:p w:rsidR="00483C26" w:rsidRDefault="000B73CA">
      <w:pPr>
        <w:jc w:val="both"/>
        <w:rPr>
          <w:rFonts w:ascii="Times New Roman" w:hAnsi="Times New Roman"/>
          <w:noProof/>
          <w:sz w:val="24"/>
          <w:szCs w:val="24"/>
        </w:rPr>
      </w:pPr>
      <w:r>
        <w:rPr>
          <w:rFonts w:ascii="Times New Roman" w:hAnsi="Times New Roman"/>
          <w:noProof/>
          <w:sz w:val="24"/>
        </w:rPr>
        <w:t>Според член 5, параграф 2 от Директива 98/58/ЕО се изисква Комисията да представи на Съвета доклад въз основа на опита, придобит от държавите членки след нейното прилаг</w:t>
      </w:r>
      <w:r>
        <w:rPr>
          <w:rFonts w:ascii="Times New Roman" w:hAnsi="Times New Roman"/>
          <w:noProof/>
          <w:sz w:val="24"/>
        </w:rPr>
        <w:t>ане.</w:t>
      </w:r>
    </w:p>
    <w:p w:rsidR="00483C26" w:rsidRDefault="000B73CA">
      <w:pPr>
        <w:jc w:val="both"/>
        <w:rPr>
          <w:rFonts w:ascii="Times New Roman" w:hAnsi="Times New Roman"/>
          <w:noProof/>
          <w:sz w:val="24"/>
          <w:szCs w:val="24"/>
        </w:rPr>
      </w:pPr>
      <w:r>
        <w:rPr>
          <w:rFonts w:ascii="Times New Roman" w:hAnsi="Times New Roman"/>
          <w:noProof/>
          <w:sz w:val="24"/>
        </w:rPr>
        <w:t>В Решение 2006/778/ЕО на Комисията</w:t>
      </w:r>
      <w:r>
        <w:rPr>
          <w:rFonts w:ascii="Times New Roman" w:hAnsi="Times New Roman"/>
          <w:noProof/>
          <w:sz w:val="24"/>
          <w:vertAlign w:val="superscript"/>
        </w:rPr>
        <w:footnoteReference w:id="1"/>
      </w:r>
      <w:r>
        <w:rPr>
          <w:rFonts w:ascii="Times New Roman" w:hAnsi="Times New Roman"/>
          <w:noProof/>
          <w:sz w:val="24"/>
        </w:rPr>
        <w:t xml:space="preserve"> са определени разпоредби </w:t>
      </w:r>
      <w:r>
        <w:rPr>
          <w:rFonts w:ascii="Times New Roman" w:hAnsi="Times New Roman"/>
          <w:i/>
          <w:noProof/>
          <w:sz w:val="24"/>
        </w:rPr>
        <w:t>относно минималните изисквания за събиране на информация по време на инспекциите на производствените обекти относно определени животни, отглеждани за стопански цели.</w:t>
      </w:r>
      <w:r>
        <w:rPr>
          <w:rFonts w:ascii="Times New Roman" w:hAnsi="Times New Roman"/>
          <w:noProof/>
          <w:sz w:val="24"/>
        </w:rPr>
        <w:t xml:space="preserve"> В приложенията към него </w:t>
      </w:r>
      <w:r>
        <w:rPr>
          <w:rFonts w:ascii="Times New Roman" w:hAnsi="Times New Roman"/>
          <w:noProof/>
          <w:sz w:val="24"/>
        </w:rPr>
        <w:t>се съдържат таблици относно изискванията, които следва да бъдат проверени във връзка с несъответствието. Според посоченото решение държавите членки са задължени да изпращат на Комисията годишни доклади, считано от юни 2009 г. Също така в съображение 9 от т</w:t>
      </w:r>
      <w:r>
        <w:rPr>
          <w:rFonts w:ascii="Times New Roman" w:hAnsi="Times New Roman"/>
          <w:noProof/>
          <w:sz w:val="24"/>
        </w:rPr>
        <w:t xml:space="preserve">ова решение се казва, че </w:t>
      </w:r>
      <w:r>
        <w:rPr>
          <w:rFonts w:ascii="Times New Roman" w:hAnsi="Times New Roman"/>
          <w:i/>
          <w:noProof/>
          <w:sz w:val="24"/>
        </w:rPr>
        <w:t>„[с]ъбирането на данни относно инспекциите за благосъстояние на животните е съществено важно за Общността, за да оцени влиянието на нейната политика в тази област“</w:t>
      </w:r>
      <w:r>
        <w:rPr>
          <w:rFonts w:ascii="Times New Roman" w:hAnsi="Times New Roman"/>
          <w:noProof/>
          <w:sz w:val="24"/>
        </w:rPr>
        <w:t>.</w:t>
      </w:r>
    </w:p>
    <w:p w:rsidR="00483C26" w:rsidRDefault="000B73CA">
      <w:pPr>
        <w:jc w:val="both"/>
        <w:rPr>
          <w:rFonts w:ascii="Times New Roman" w:hAnsi="Times New Roman"/>
          <w:noProof/>
          <w:sz w:val="24"/>
          <w:szCs w:val="24"/>
        </w:rPr>
      </w:pPr>
      <w:r>
        <w:rPr>
          <w:rFonts w:ascii="Times New Roman" w:hAnsi="Times New Roman"/>
          <w:noProof/>
          <w:sz w:val="24"/>
        </w:rPr>
        <w:t xml:space="preserve">В стратегията на ЕС за хуманно отношение към животните за периода </w:t>
      </w:r>
      <w:r>
        <w:rPr>
          <w:rFonts w:ascii="Times New Roman" w:hAnsi="Times New Roman"/>
          <w:noProof/>
          <w:sz w:val="24"/>
        </w:rPr>
        <w:t>2012—2015 г.</w:t>
      </w:r>
      <w:r>
        <w:rPr>
          <w:rFonts w:ascii="Times New Roman" w:hAnsi="Times New Roman"/>
          <w:noProof/>
          <w:sz w:val="24"/>
          <w:vertAlign w:val="superscript"/>
        </w:rPr>
        <w:footnoteReference w:id="2"/>
      </w:r>
      <w:r>
        <w:rPr>
          <w:rFonts w:ascii="Times New Roman" w:hAnsi="Times New Roman"/>
          <w:noProof/>
          <w:sz w:val="24"/>
        </w:rPr>
        <w:t xml:space="preserve"> се посочва, че неприлагането на законодателството на ЕС е един от основните проблеми, засягащи хуманното отношение към животните. Освен това в доклада на Съюза относно прилагането на Директива 98/58/ЕО на Съвета от 20 юли 1998 г. </w:t>
      </w:r>
      <w:r>
        <w:rPr>
          <w:rFonts w:ascii="Times New Roman" w:hAnsi="Times New Roman"/>
          <w:i/>
          <w:noProof/>
          <w:sz w:val="24"/>
        </w:rPr>
        <w:t xml:space="preserve">относно </w:t>
      </w:r>
      <w:r>
        <w:rPr>
          <w:rFonts w:ascii="Times New Roman" w:hAnsi="Times New Roman"/>
          <w:i/>
          <w:noProof/>
          <w:sz w:val="24"/>
        </w:rPr>
        <w:t>защитата на животни, отглеждани за селскостопански цели</w:t>
      </w:r>
      <w:r>
        <w:rPr>
          <w:rFonts w:ascii="Times New Roman" w:hAnsi="Times New Roman"/>
          <w:noProof/>
          <w:sz w:val="24"/>
          <w:vertAlign w:val="superscript"/>
        </w:rPr>
        <w:footnoteReference w:id="3"/>
      </w:r>
      <w:r>
        <w:rPr>
          <w:rFonts w:ascii="Times New Roman" w:hAnsi="Times New Roman"/>
          <w:noProof/>
          <w:sz w:val="24"/>
        </w:rPr>
        <w:t xml:space="preserve"> се предоставя ценна информация за областите на правоприлагането</w:t>
      </w:r>
      <w:r>
        <w:rPr>
          <w:rFonts w:ascii="Times New Roman" w:hAnsi="Times New Roman"/>
          <w:noProof/>
        </w:rPr>
        <w:t>.</w:t>
      </w:r>
    </w:p>
    <w:p w:rsidR="00483C26" w:rsidRDefault="000B73CA">
      <w:pPr>
        <w:jc w:val="both"/>
        <w:rPr>
          <w:rFonts w:ascii="Times New Roman" w:hAnsi="Times New Roman"/>
          <w:b/>
          <w:noProof/>
          <w:sz w:val="24"/>
          <w:szCs w:val="24"/>
          <w:u w:val="single"/>
        </w:rPr>
      </w:pPr>
      <w:r>
        <w:rPr>
          <w:rFonts w:ascii="Times New Roman" w:hAnsi="Times New Roman"/>
          <w:b/>
          <w:noProof/>
          <w:sz w:val="24"/>
        </w:rPr>
        <w:t xml:space="preserve">2. </w:t>
      </w:r>
      <w:r>
        <w:rPr>
          <w:noProof/>
        </w:rPr>
        <w:tab/>
      </w:r>
      <w:r>
        <w:rPr>
          <w:rFonts w:ascii="Times New Roman" w:hAnsi="Times New Roman"/>
          <w:b/>
          <w:noProof/>
          <w:sz w:val="24"/>
          <w:u w:val="single"/>
        </w:rPr>
        <w:t>Методика</w:t>
      </w:r>
    </w:p>
    <w:p w:rsidR="00483C26" w:rsidRDefault="000B73CA">
      <w:pPr>
        <w:jc w:val="both"/>
        <w:rPr>
          <w:rFonts w:ascii="Times New Roman" w:hAnsi="Times New Roman"/>
          <w:noProof/>
          <w:sz w:val="24"/>
          <w:szCs w:val="24"/>
        </w:rPr>
      </w:pPr>
      <w:r>
        <w:rPr>
          <w:rFonts w:ascii="Times New Roman" w:hAnsi="Times New Roman"/>
          <w:noProof/>
          <w:sz w:val="24"/>
        </w:rPr>
        <w:t>Докладът обхваща периода от 1 януари 2011 г. до 31 декември 2014 г.</w:t>
      </w:r>
    </w:p>
    <w:p w:rsidR="00483C26" w:rsidRDefault="000B73CA">
      <w:pPr>
        <w:jc w:val="both"/>
        <w:rPr>
          <w:rFonts w:ascii="Times New Roman" w:hAnsi="Times New Roman"/>
          <w:noProof/>
          <w:sz w:val="24"/>
          <w:szCs w:val="24"/>
        </w:rPr>
      </w:pPr>
      <w:r>
        <w:rPr>
          <w:rFonts w:ascii="Times New Roman" w:hAnsi="Times New Roman"/>
          <w:noProof/>
          <w:sz w:val="24"/>
        </w:rPr>
        <w:t>При изготвянето на настоящия доклад са използвани три</w:t>
      </w:r>
      <w:r>
        <w:rPr>
          <w:rFonts w:ascii="Times New Roman" w:hAnsi="Times New Roman"/>
          <w:noProof/>
          <w:sz w:val="24"/>
        </w:rPr>
        <w:t xml:space="preserve"> източника на информация:</w:t>
      </w:r>
    </w:p>
    <w:p w:rsidR="00483C26" w:rsidRDefault="000B73CA">
      <w:pPr>
        <w:jc w:val="both"/>
        <w:rPr>
          <w:rFonts w:ascii="Times New Roman" w:hAnsi="Times New Roman"/>
          <w:noProof/>
          <w:sz w:val="24"/>
          <w:szCs w:val="24"/>
        </w:rPr>
      </w:pPr>
      <w:r>
        <w:rPr>
          <w:rFonts w:ascii="Times New Roman" w:hAnsi="Times New Roman"/>
          <w:noProof/>
          <w:sz w:val="24"/>
        </w:rPr>
        <w:t>Първо, използваните данни са взети от доклади на Комисията, съдържащи резултатите от одитите, които тя извършва в държавите членки. Докладите са главно от периода 2011—2013 г., тъй като извършваните през тези години одити са насоч</w:t>
      </w:r>
      <w:r>
        <w:rPr>
          <w:rFonts w:ascii="Times New Roman" w:hAnsi="Times New Roman"/>
          <w:noProof/>
          <w:sz w:val="24"/>
        </w:rPr>
        <w:t xml:space="preserve">ени по-специално към положението в стопанствата (вж. таблица 1 от приложение I). </w:t>
      </w:r>
    </w:p>
    <w:p w:rsidR="00483C26" w:rsidRDefault="000B73CA">
      <w:pPr>
        <w:jc w:val="both"/>
        <w:rPr>
          <w:rFonts w:ascii="Times New Roman" w:hAnsi="Times New Roman"/>
          <w:noProof/>
          <w:sz w:val="24"/>
          <w:szCs w:val="24"/>
        </w:rPr>
      </w:pPr>
      <w:r>
        <w:rPr>
          <w:rFonts w:ascii="Times New Roman" w:hAnsi="Times New Roman"/>
          <w:noProof/>
          <w:sz w:val="24"/>
        </w:rPr>
        <w:t xml:space="preserve">Второ, всяка държава членка трябва да гарантира, че инспекциите, свързани с хуманното отношение към животните, се провеждат в съответствие с правилата </w:t>
      </w:r>
      <w:r>
        <w:rPr>
          <w:rFonts w:ascii="Times New Roman" w:hAnsi="Times New Roman"/>
          <w:noProof/>
          <w:sz w:val="24"/>
        </w:rPr>
        <w:lastRenderedPageBreak/>
        <w:t xml:space="preserve">относно официалния </w:t>
      </w:r>
      <w:r>
        <w:rPr>
          <w:rFonts w:ascii="Times New Roman" w:hAnsi="Times New Roman"/>
          <w:noProof/>
          <w:sz w:val="24"/>
        </w:rPr>
        <w:t>контрол, определени в Регламент (ЕО) № 882/2004</w:t>
      </w:r>
      <w:r>
        <w:rPr>
          <w:rFonts w:ascii="Times New Roman" w:hAnsi="Times New Roman"/>
          <w:noProof/>
          <w:sz w:val="24"/>
          <w:vertAlign w:val="superscript"/>
        </w:rPr>
        <w:footnoteReference w:id="4"/>
      </w:r>
      <w:r>
        <w:rPr>
          <w:rFonts w:ascii="Times New Roman" w:hAnsi="Times New Roman"/>
          <w:noProof/>
          <w:sz w:val="24"/>
        </w:rPr>
        <w:t>. Националните компетентни органи отговарят за докладването на констатациите от тези инспекции пред Комисията на годишна база. Комисията е използвала данните, предоставени от държавите членки</w:t>
      </w:r>
      <w:r>
        <w:rPr>
          <w:rFonts w:ascii="Times New Roman" w:hAnsi="Times New Roman"/>
          <w:noProof/>
          <w:sz w:val="24"/>
          <w:vertAlign w:val="superscript"/>
        </w:rPr>
        <w:footnoteReference w:id="5"/>
      </w:r>
      <w:r>
        <w:rPr>
          <w:rFonts w:ascii="Times New Roman" w:hAnsi="Times New Roman"/>
          <w:noProof/>
          <w:sz w:val="24"/>
        </w:rPr>
        <w:t xml:space="preserve"> за 2013 г. и 20</w:t>
      </w:r>
      <w:r>
        <w:rPr>
          <w:rFonts w:ascii="Times New Roman" w:hAnsi="Times New Roman"/>
          <w:noProof/>
          <w:sz w:val="24"/>
        </w:rPr>
        <w:t xml:space="preserve">14 г., тъй като тези данни отразяват най-скорошното състояние. В таблица 2 от приложение I е направен преглед на броя на стопанствата, които подлежат на инспекция, и на процента на инспектираните обекти. </w:t>
      </w:r>
    </w:p>
    <w:p w:rsidR="00483C26" w:rsidRDefault="000B73CA">
      <w:pPr>
        <w:jc w:val="both"/>
        <w:rPr>
          <w:rFonts w:ascii="Times New Roman" w:hAnsi="Times New Roman"/>
          <w:noProof/>
          <w:sz w:val="24"/>
          <w:szCs w:val="24"/>
        </w:rPr>
      </w:pPr>
      <w:r>
        <w:rPr>
          <w:rFonts w:ascii="Times New Roman" w:hAnsi="Times New Roman"/>
          <w:noProof/>
          <w:sz w:val="24"/>
        </w:rPr>
        <w:t>Накрая, понякога Комисията получава жалби</w:t>
      </w:r>
      <w:r>
        <w:rPr>
          <w:rFonts w:ascii="Times New Roman" w:hAnsi="Times New Roman"/>
          <w:noProof/>
          <w:sz w:val="24"/>
          <w:vertAlign w:val="superscript"/>
        </w:rPr>
        <w:footnoteReference w:id="6"/>
      </w:r>
      <w:r>
        <w:rPr>
          <w:rFonts w:ascii="Times New Roman" w:hAnsi="Times New Roman"/>
          <w:noProof/>
          <w:sz w:val="24"/>
        </w:rPr>
        <w:t xml:space="preserve"> във връз</w:t>
      </w:r>
      <w:r>
        <w:rPr>
          <w:rFonts w:ascii="Times New Roman" w:hAnsi="Times New Roman"/>
          <w:noProof/>
          <w:sz w:val="24"/>
        </w:rPr>
        <w:t>ка с предполагаемото неприлагане на правото на Съюза от страна на една или повече държави членки. Тези жалби също могат да предоставят ценна информация за областите, в които гражданите считат, че правото не се прилага надлежно.</w:t>
      </w:r>
    </w:p>
    <w:p w:rsidR="00483C26" w:rsidRDefault="000B73CA">
      <w:pPr>
        <w:jc w:val="both"/>
        <w:rPr>
          <w:rFonts w:ascii="Times New Roman" w:hAnsi="Times New Roman"/>
          <w:b/>
          <w:noProof/>
          <w:sz w:val="24"/>
          <w:szCs w:val="24"/>
          <w:u w:val="single"/>
        </w:rPr>
      </w:pPr>
      <w:r>
        <w:rPr>
          <w:rFonts w:ascii="Times New Roman" w:hAnsi="Times New Roman"/>
          <w:b/>
          <w:noProof/>
          <w:sz w:val="24"/>
        </w:rPr>
        <w:t xml:space="preserve">3. </w:t>
      </w:r>
      <w:r>
        <w:rPr>
          <w:noProof/>
        </w:rPr>
        <w:tab/>
      </w:r>
      <w:r>
        <w:rPr>
          <w:rFonts w:ascii="Times New Roman" w:hAnsi="Times New Roman"/>
          <w:b/>
          <w:noProof/>
          <w:sz w:val="24"/>
          <w:u w:val="single"/>
        </w:rPr>
        <w:t>Констатации</w:t>
      </w:r>
    </w:p>
    <w:p w:rsidR="00483C26" w:rsidRDefault="000B73CA">
      <w:pPr>
        <w:autoSpaceDE w:val="0"/>
        <w:autoSpaceDN w:val="0"/>
        <w:adjustRightInd w:val="0"/>
        <w:spacing w:after="0"/>
        <w:jc w:val="both"/>
        <w:rPr>
          <w:rFonts w:ascii="Times New Roman" w:hAnsi="Times New Roman"/>
          <w:b/>
          <w:noProof/>
          <w:sz w:val="24"/>
          <w:szCs w:val="24"/>
        </w:rPr>
      </w:pPr>
      <w:r>
        <w:rPr>
          <w:rFonts w:ascii="Times New Roman" w:hAnsi="Times New Roman"/>
          <w:b/>
          <w:noProof/>
          <w:sz w:val="24"/>
        </w:rPr>
        <w:t>3.1</w:t>
      </w:r>
      <w:r>
        <w:rPr>
          <w:noProof/>
        </w:rPr>
        <w:tab/>
      </w:r>
      <w:r>
        <w:rPr>
          <w:rFonts w:ascii="Times New Roman" w:hAnsi="Times New Roman"/>
          <w:b/>
          <w:noProof/>
          <w:sz w:val="24"/>
        </w:rPr>
        <w:t xml:space="preserve">Система </w:t>
      </w:r>
      <w:r>
        <w:rPr>
          <w:rFonts w:ascii="Times New Roman" w:hAnsi="Times New Roman"/>
          <w:b/>
          <w:noProof/>
          <w:sz w:val="24"/>
        </w:rPr>
        <w:t>за наблюдение и инспекции</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Одитите на Комисията показват, че държавите членки са въвели основана на риска система за подбор на обектите за инспекция. Сред основните причини за извършването на основани на риска инспекции на хуманното отношение към животните</w:t>
      </w:r>
      <w:r>
        <w:rPr>
          <w:rFonts w:ascii="Times New Roman" w:hAnsi="Times New Roman"/>
          <w:noProof/>
          <w:sz w:val="24"/>
        </w:rPr>
        <w:t xml:space="preserve"> в стопанствата е Регламент (ЕО) № 882/2004 относно официалния контрол и проверките за кръстосано спазване във връзка с единните плащания</w:t>
      </w:r>
      <w:r>
        <w:rPr>
          <w:rFonts w:ascii="Times New Roman" w:hAnsi="Times New Roman"/>
          <w:noProof/>
          <w:sz w:val="24"/>
          <w:vertAlign w:val="superscript"/>
        </w:rPr>
        <w:footnoteReference w:id="7"/>
      </w:r>
      <w:r>
        <w:rPr>
          <w:rFonts w:ascii="Times New Roman" w:hAnsi="Times New Roman"/>
          <w:noProof/>
          <w:sz w:val="24"/>
        </w:rPr>
        <w:t>.</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Няколко държави членки описват подробно своите системи за подбор на стопанствата за инспектиране, които също потвър</w:t>
      </w:r>
      <w:r>
        <w:rPr>
          <w:rFonts w:ascii="Times New Roman" w:hAnsi="Times New Roman"/>
          <w:noProof/>
          <w:sz w:val="24"/>
        </w:rPr>
        <w:t>ждават използването на основан на риска подход. Освен това според законодателството на ЕС се изисква абсолютният брой на инспекциите</w:t>
      </w:r>
      <w:r>
        <w:rPr>
          <w:rFonts w:ascii="Times New Roman" w:hAnsi="Times New Roman"/>
          <w:noProof/>
          <w:sz w:val="24"/>
          <w:vertAlign w:val="superscript"/>
        </w:rPr>
        <w:footnoteReference w:id="8"/>
      </w:r>
      <w:r>
        <w:rPr>
          <w:rFonts w:ascii="Times New Roman" w:hAnsi="Times New Roman"/>
          <w:noProof/>
          <w:sz w:val="24"/>
        </w:rPr>
        <w:t xml:space="preserve"> да е пропорционален на обема на производството и на броя на съответните животни.</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Освен това държавите членки трябва да пр</w:t>
      </w:r>
      <w:r>
        <w:rPr>
          <w:rFonts w:ascii="Times New Roman" w:hAnsi="Times New Roman"/>
          <w:noProof/>
          <w:sz w:val="24"/>
        </w:rPr>
        <w:t>оследяват изпълнението на препоръките, които са отправени по време на одитите. В своите одити Комисията отбелязва, че националните органи са предприемали действия във всички случаи. Въпреки това Комисията констатира също така, че мерките са недостатъчни за</w:t>
      </w:r>
      <w:r>
        <w:rPr>
          <w:rFonts w:ascii="Times New Roman" w:hAnsi="Times New Roman"/>
          <w:noProof/>
          <w:sz w:val="24"/>
        </w:rPr>
        <w:t xml:space="preserve"> постигането на съответствие в три от държавите членки. В две от тези държави членки е установено, че това се дължи на липсата на санкции с достатъчно възпиращ ефект, а една държава членка не е разследвала случая по подходящ начин.</w:t>
      </w:r>
    </w:p>
    <w:p w:rsidR="00483C26" w:rsidRDefault="00483C26">
      <w:pPr>
        <w:autoSpaceDE w:val="0"/>
        <w:autoSpaceDN w:val="0"/>
        <w:adjustRightInd w:val="0"/>
        <w:spacing w:after="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b/>
          <w:noProof/>
          <w:sz w:val="24"/>
          <w:szCs w:val="24"/>
        </w:rPr>
      </w:pPr>
      <w:r>
        <w:rPr>
          <w:rFonts w:ascii="Times New Roman" w:hAnsi="Times New Roman"/>
          <w:b/>
          <w:noProof/>
          <w:sz w:val="24"/>
        </w:rPr>
        <w:t xml:space="preserve">3.2. </w:t>
      </w:r>
      <w:r>
        <w:rPr>
          <w:noProof/>
        </w:rPr>
        <w:tab/>
      </w:r>
      <w:r>
        <w:rPr>
          <w:rFonts w:ascii="Times New Roman" w:hAnsi="Times New Roman"/>
          <w:b/>
          <w:noProof/>
          <w:sz w:val="24"/>
        </w:rPr>
        <w:t>Разлики в докладв</w:t>
      </w:r>
      <w:r>
        <w:rPr>
          <w:rFonts w:ascii="Times New Roman" w:hAnsi="Times New Roman"/>
          <w:b/>
          <w:noProof/>
          <w:sz w:val="24"/>
        </w:rPr>
        <w:t>ането от страна на държавите членки</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iCs/>
          <w:noProof/>
          <w:sz w:val="24"/>
          <w:szCs w:val="24"/>
        </w:rPr>
      </w:pPr>
      <w:r>
        <w:rPr>
          <w:rFonts w:ascii="Times New Roman" w:hAnsi="Times New Roman"/>
          <w:noProof/>
          <w:sz w:val="24"/>
        </w:rPr>
        <w:t>Съществените разлики в докладването от страна на държавите членки значително затрудняват тълкуването и съпоставянето на данните като цяло.</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iCs/>
          <w:noProof/>
          <w:sz w:val="24"/>
          <w:szCs w:val="24"/>
        </w:rPr>
      </w:pPr>
      <w:r>
        <w:rPr>
          <w:rFonts w:ascii="Times New Roman" w:hAnsi="Times New Roman"/>
          <w:noProof/>
          <w:sz w:val="24"/>
        </w:rPr>
        <w:t xml:space="preserve">През 2012 г. е разработен онлайн формуляр, базиран на таблиците от </w:t>
      </w:r>
      <w:r>
        <w:rPr>
          <w:rFonts w:ascii="Times New Roman" w:hAnsi="Times New Roman"/>
          <w:noProof/>
          <w:sz w:val="24"/>
        </w:rPr>
        <w:t xml:space="preserve">Решение 2006/778/ЕО, който държавите членки са използвали през 2013 г. и 2014 г. Този онлайн формуляр дава възможност на Комисията по-ефективно да анализира докладваните данни. Някои от несъответствията обаче не са отстранени. В особено голяма степен това </w:t>
      </w:r>
      <w:r>
        <w:rPr>
          <w:rFonts w:ascii="Times New Roman" w:hAnsi="Times New Roman"/>
          <w:noProof/>
          <w:sz w:val="24"/>
        </w:rPr>
        <w:t>важи за домашните птици. Според определението на термина „домашни птици“</w:t>
      </w:r>
      <w:r>
        <w:rPr>
          <w:rFonts w:ascii="Times New Roman" w:hAnsi="Times New Roman"/>
          <w:noProof/>
          <w:sz w:val="24"/>
          <w:vertAlign w:val="superscript"/>
        </w:rPr>
        <w:footnoteReference w:id="9"/>
      </w:r>
      <w:r>
        <w:rPr>
          <w:rFonts w:ascii="Times New Roman" w:hAnsi="Times New Roman"/>
          <w:noProof/>
          <w:sz w:val="24"/>
        </w:rPr>
        <w:t xml:space="preserve"> тази колона трябва да се използва само за пилета, отглеждани за производство на месо (бройлери). Няколко държави членки обаче са включили в колоната за домашни птици така също данни </w:t>
      </w:r>
      <w:r>
        <w:rPr>
          <w:rFonts w:ascii="Times New Roman" w:hAnsi="Times New Roman"/>
          <w:noProof/>
          <w:sz w:val="24"/>
        </w:rPr>
        <w:t>за малки стопанства за кокошки носачки</w:t>
      </w:r>
      <w:r>
        <w:rPr>
          <w:rFonts w:ascii="Times New Roman" w:hAnsi="Times New Roman"/>
          <w:noProof/>
          <w:sz w:val="24"/>
          <w:vertAlign w:val="superscript"/>
        </w:rPr>
        <w:footnoteReference w:id="10"/>
      </w:r>
      <w:r>
        <w:rPr>
          <w:rFonts w:ascii="Times New Roman" w:hAnsi="Times New Roman"/>
          <w:noProof/>
          <w:sz w:val="24"/>
        </w:rPr>
        <w:t>. По тази причина не е възможно да се прецени дали констатациите са представителни за стопанствата за бройлери или за кокошки носачки.</w:t>
      </w:r>
    </w:p>
    <w:p w:rsidR="00483C26" w:rsidRDefault="00483C26">
      <w:pPr>
        <w:autoSpaceDE w:val="0"/>
        <w:autoSpaceDN w:val="0"/>
        <w:adjustRightInd w:val="0"/>
        <w:spacing w:after="0"/>
        <w:ind w:left="720"/>
        <w:jc w:val="both"/>
        <w:rPr>
          <w:rFonts w:ascii="Times New Roman" w:hAnsi="Times New Roman"/>
          <w:iCs/>
          <w:noProof/>
          <w:sz w:val="24"/>
          <w:szCs w:val="24"/>
        </w:rPr>
      </w:pPr>
    </w:p>
    <w:p w:rsidR="00483C26" w:rsidRDefault="000B73CA">
      <w:pPr>
        <w:autoSpaceDE w:val="0"/>
        <w:autoSpaceDN w:val="0"/>
        <w:adjustRightInd w:val="0"/>
        <w:spacing w:after="0"/>
        <w:jc w:val="both"/>
        <w:rPr>
          <w:rFonts w:ascii="Times New Roman" w:hAnsi="Times New Roman"/>
          <w:iCs/>
          <w:noProof/>
          <w:sz w:val="24"/>
          <w:szCs w:val="24"/>
        </w:rPr>
      </w:pPr>
      <w:r>
        <w:rPr>
          <w:rFonts w:ascii="Times New Roman" w:hAnsi="Times New Roman"/>
          <w:noProof/>
          <w:sz w:val="24"/>
        </w:rPr>
        <w:t>Подобен проблем съществува също в категория „едър рогат добитък“, която включва с</w:t>
      </w:r>
      <w:r>
        <w:rPr>
          <w:rFonts w:ascii="Times New Roman" w:hAnsi="Times New Roman"/>
          <w:noProof/>
          <w:sz w:val="24"/>
        </w:rPr>
        <w:t>истемите за производство както на говеждо месо, така и на млечни продукти. Тъй като рисковете за хуманното отношение към животните в двете системи се различават, от полза би било да се направи анализ на данните поотделно.</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spacing w:after="0" w:line="240" w:lineRule="auto"/>
        <w:rPr>
          <w:rFonts w:ascii="Times New Roman" w:hAnsi="Times New Roman"/>
          <w:b/>
          <w:noProof/>
          <w:sz w:val="24"/>
          <w:szCs w:val="24"/>
        </w:rPr>
      </w:pPr>
      <w:r>
        <w:rPr>
          <w:rFonts w:ascii="Times New Roman" w:hAnsi="Times New Roman"/>
          <w:b/>
          <w:noProof/>
          <w:sz w:val="24"/>
        </w:rPr>
        <w:t>3.3. Технически констатации</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Първ</w:t>
      </w:r>
      <w:r>
        <w:rPr>
          <w:rFonts w:ascii="Times New Roman" w:hAnsi="Times New Roman"/>
          <w:noProof/>
          <w:sz w:val="24"/>
        </w:rPr>
        <w:t>о, за да се считат констатациите за представителни за системата на производство, процентът на инспектираните стопанства спрямо общия брой на стопанствата трябва да бъде достатъчно висок (вж. фигура 1 от приложение I). Само в един случай експертите на Комис</w:t>
      </w:r>
      <w:r>
        <w:rPr>
          <w:rFonts w:ascii="Times New Roman" w:hAnsi="Times New Roman"/>
          <w:noProof/>
          <w:sz w:val="24"/>
        </w:rPr>
        <w:t>ията отбелязват, че броят на инспектираните съоръжения е твърде нисък с оглед на обема на производството. Комисията не докладва за нередности по отношение на подбора на стопанствата на основата на риска.</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Следва да се отбележи, че броят на инспектираните с</w:t>
      </w:r>
      <w:r>
        <w:rPr>
          <w:rFonts w:ascii="Times New Roman" w:hAnsi="Times New Roman"/>
          <w:noProof/>
          <w:sz w:val="24"/>
        </w:rPr>
        <w:t>топанства е бил особено висок за стопанствата с кокошки носачки и свине майки през 2013 г. и 2014 г. Това може да се дължи на забраната за използване на неуголемени клетки за кокошки носачки (2012 г.) и въвеждането на групово отглеждане на свинете майки (2</w:t>
      </w:r>
      <w:r>
        <w:rPr>
          <w:rFonts w:ascii="Times New Roman" w:hAnsi="Times New Roman"/>
          <w:noProof/>
          <w:sz w:val="24"/>
        </w:rPr>
        <w:t>013 г.) и свързаното задължение за осигуряване на пълно съответствие.</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 xml:space="preserve">Второ, що се отнася до броя на несъответствията, важно е да се има предвид, че те включват всички видове нарушения на законодателството на ЕС, дори и незначителните. Категории А и Б в </w:t>
      </w:r>
      <w:r>
        <w:rPr>
          <w:rFonts w:ascii="Times New Roman" w:hAnsi="Times New Roman"/>
          <w:noProof/>
          <w:sz w:val="24"/>
        </w:rPr>
        <w:t xml:space="preserve">таблица 3 обхващат административни актове за несъответствие, които водят до искане за отстраняване на проблема или в рамките на три месеца, или понякога в по-дълъг срок. Категория В обхваща по-тежки нарушения, които водят до незабавни действия, свързани с </w:t>
      </w:r>
      <w:r>
        <w:rPr>
          <w:rFonts w:ascii="Times New Roman" w:hAnsi="Times New Roman"/>
          <w:noProof/>
          <w:sz w:val="24"/>
        </w:rPr>
        <w:t>административни или наказателни санкции. Като пример може да се посочи, че само 8,1 % от регистрираните през 2014 г. нарушения в стопанства за домашни птици са били тежки, което е довело до предприемането на незабавни действия.</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Накрая, важно е да се има п</w:t>
      </w:r>
      <w:r>
        <w:rPr>
          <w:rFonts w:ascii="Times New Roman" w:hAnsi="Times New Roman"/>
          <w:noProof/>
          <w:sz w:val="24"/>
        </w:rPr>
        <w:t>редвид, че ако се следва основания на риска подход, инспекциите специално са насочени към стопанствата, в които има най-голяма вероятност от нарушения. В резултат на това не винаги повишаването на броя на отчетените нарушения е признак за влошаване на поло</w:t>
      </w:r>
      <w:r>
        <w:rPr>
          <w:rFonts w:ascii="Times New Roman" w:hAnsi="Times New Roman"/>
          <w:noProof/>
          <w:sz w:val="24"/>
        </w:rPr>
        <w:t>жението от гледна точка на хуманното отношение към животните. Освен това основаният на риска подход като цяло би трябвало да води до по-бързо отстраняване на проблемите, свързани с хуманното отношение към животните, и подобряване на състоянието на животнит</w:t>
      </w:r>
      <w:r>
        <w:rPr>
          <w:rFonts w:ascii="Times New Roman" w:hAnsi="Times New Roman"/>
          <w:noProof/>
          <w:sz w:val="24"/>
        </w:rPr>
        <w:t>е.</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keepNext/>
        <w:keepLines/>
        <w:autoSpaceDE w:val="0"/>
        <w:autoSpaceDN w:val="0"/>
        <w:adjustRightInd w:val="0"/>
        <w:spacing w:after="0"/>
        <w:jc w:val="both"/>
        <w:rPr>
          <w:rFonts w:ascii="Times New Roman" w:hAnsi="Times New Roman"/>
          <w:noProof/>
          <w:sz w:val="24"/>
          <w:szCs w:val="24"/>
        </w:rPr>
      </w:pPr>
      <w:r>
        <w:rPr>
          <w:rFonts w:ascii="Times New Roman" w:hAnsi="Times New Roman"/>
          <w:noProof/>
          <w:sz w:val="24"/>
        </w:rPr>
        <w:t>С надлежно отчитане на слабостите в методиката, констатациите са следните:</w:t>
      </w:r>
    </w:p>
    <w:p w:rsidR="00483C26" w:rsidRDefault="00483C26">
      <w:pPr>
        <w:keepNext/>
        <w:keepLines/>
        <w:autoSpaceDE w:val="0"/>
        <w:autoSpaceDN w:val="0"/>
        <w:adjustRightInd w:val="0"/>
        <w:spacing w:after="0"/>
        <w:ind w:left="720"/>
        <w:jc w:val="both"/>
        <w:rPr>
          <w:rFonts w:ascii="Times New Roman" w:hAnsi="Times New Roman"/>
          <w:noProof/>
          <w:sz w:val="24"/>
          <w:szCs w:val="24"/>
        </w:rPr>
      </w:pPr>
    </w:p>
    <w:p w:rsidR="00483C26" w:rsidRDefault="000B73CA">
      <w:pPr>
        <w:keepNext/>
        <w:keepLines/>
        <w:autoSpaceDE w:val="0"/>
        <w:autoSpaceDN w:val="0"/>
        <w:adjustRightInd w:val="0"/>
        <w:spacing w:after="0"/>
        <w:jc w:val="both"/>
        <w:rPr>
          <w:rFonts w:ascii="Times New Roman" w:hAnsi="Times New Roman"/>
          <w:noProof/>
          <w:sz w:val="24"/>
          <w:szCs w:val="24"/>
          <w:u w:val="single"/>
        </w:rPr>
      </w:pPr>
      <w:r>
        <w:rPr>
          <w:rFonts w:ascii="Times New Roman" w:hAnsi="Times New Roman"/>
          <w:noProof/>
          <w:sz w:val="24"/>
          <w:u w:val="single"/>
        </w:rPr>
        <w:t>Одити от страна на Комисията</w:t>
      </w:r>
    </w:p>
    <w:p w:rsidR="00483C26" w:rsidRDefault="000B73CA">
      <w:pPr>
        <w:keepNext/>
        <w:keepLines/>
        <w:autoSpaceDE w:val="0"/>
        <w:autoSpaceDN w:val="0"/>
        <w:adjustRightInd w:val="0"/>
        <w:spacing w:after="0"/>
        <w:jc w:val="both"/>
        <w:rPr>
          <w:rFonts w:ascii="Times New Roman" w:hAnsi="Times New Roman"/>
          <w:noProof/>
          <w:sz w:val="24"/>
          <w:szCs w:val="24"/>
        </w:rPr>
      </w:pPr>
      <w:r>
        <w:rPr>
          <w:rFonts w:ascii="Times New Roman" w:hAnsi="Times New Roman"/>
          <w:noProof/>
          <w:sz w:val="24"/>
        </w:rPr>
        <w:t>Осемнадесет от одитите на Комисията през периода 2011—2013 г. са насочени към кокошки носачки (13) и/или свине майки (8). Резултатите от тези одити</w:t>
      </w:r>
      <w:r>
        <w:rPr>
          <w:rFonts w:ascii="Times New Roman" w:hAnsi="Times New Roman"/>
          <w:noProof/>
          <w:sz w:val="24"/>
        </w:rPr>
        <w:t xml:space="preserve"> представят добре положението преди въвеждането на забраната за използване на неуголемени клетки за кокошки носачки и прехода към групово отглеждане на свине майки.</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 xml:space="preserve">Що се отнася до отглеждането на свине, за повечето държави членки, които са били обект на </w:t>
      </w:r>
      <w:r>
        <w:rPr>
          <w:rFonts w:ascii="Times New Roman" w:hAnsi="Times New Roman"/>
          <w:noProof/>
          <w:sz w:val="24"/>
        </w:rPr>
        <w:t>одит, експертите на Комисията отчитат несъответствие във връзка с предоставянето на манипулируеми материали и избягването на купиране на опашката. Констатациите в тези държави членки са твърде разнообразни. За някои е установено, че не правят много за избя</w:t>
      </w:r>
      <w:r>
        <w:rPr>
          <w:rFonts w:ascii="Times New Roman" w:hAnsi="Times New Roman"/>
          <w:noProof/>
          <w:sz w:val="24"/>
        </w:rPr>
        <w:t xml:space="preserve">гване на рутинното купиране на опашката или че не предоставят манипулируеми материали. </w:t>
      </w:r>
    </w:p>
    <w:p w:rsidR="00483C26" w:rsidRDefault="00483C26">
      <w:pPr>
        <w:autoSpaceDE w:val="0"/>
        <w:autoSpaceDN w:val="0"/>
        <w:adjustRightInd w:val="0"/>
        <w:spacing w:after="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В чести случаи от компетентните органи не е проявявана настойчивост в налагането на други мерки като промени в условията на заобикалящата среда или промени в системите</w:t>
      </w:r>
      <w:r>
        <w:rPr>
          <w:rFonts w:ascii="Times New Roman" w:hAnsi="Times New Roman"/>
          <w:noProof/>
          <w:sz w:val="24"/>
        </w:rPr>
        <w:t xml:space="preserve"> на управление. Освен това неподходящи материали като метални вериги са считани за приемливи от длъжностните лица в повечето държави членки, докато някои подходящи материали са определяни например за несъвместими със системите за оттичане. </w:t>
      </w:r>
    </w:p>
    <w:p w:rsidR="00483C26" w:rsidRDefault="00483C26">
      <w:pPr>
        <w:autoSpaceDE w:val="0"/>
        <w:autoSpaceDN w:val="0"/>
        <w:adjustRightInd w:val="0"/>
        <w:spacing w:after="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Четири държави</w:t>
      </w:r>
      <w:r>
        <w:rPr>
          <w:rFonts w:ascii="Times New Roman" w:hAnsi="Times New Roman"/>
          <w:noProof/>
          <w:sz w:val="24"/>
        </w:rPr>
        <w:t xml:space="preserve"> членки са издали насоки или въвели мерки за намаляване на несъответствията. При това одитите показват, че често длъжностните лица на държавите членки нямат достатъчно експертни познания за това как да тълкуват изискванията за предоставяне на манипулируеми</w:t>
      </w:r>
      <w:r>
        <w:rPr>
          <w:rFonts w:ascii="Times New Roman" w:hAnsi="Times New Roman"/>
          <w:noProof/>
          <w:sz w:val="24"/>
        </w:rPr>
        <w:t xml:space="preserve"> материали и за промени в управлението и заобикалящата среда, които трябва да бъдат осигурени преди да се разреши рутинно купиране на опашката.</w:t>
      </w:r>
    </w:p>
    <w:p w:rsidR="00483C26" w:rsidRDefault="00483C26">
      <w:pPr>
        <w:autoSpaceDE w:val="0"/>
        <w:autoSpaceDN w:val="0"/>
        <w:adjustRightInd w:val="0"/>
        <w:spacing w:after="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Комисията извърши също така 9 одита през 2014 г.</w:t>
      </w:r>
      <w:r>
        <w:rPr>
          <w:rFonts w:ascii="Times New Roman" w:hAnsi="Times New Roman"/>
          <w:noProof/>
          <w:sz w:val="24"/>
          <w:vertAlign w:val="superscript"/>
        </w:rPr>
        <w:footnoteReference w:id="11"/>
      </w:r>
      <w:r>
        <w:rPr>
          <w:rFonts w:ascii="Times New Roman" w:hAnsi="Times New Roman"/>
          <w:noProof/>
          <w:sz w:val="24"/>
        </w:rPr>
        <w:t>, при които е констатирано, че за оценка на хуманното отношени</w:t>
      </w:r>
      <w:r>
        <w:rPr>
          <w:rFonts w:ascii="Times New Roman" w:hAnsi="Times New Roman"/>
          <w:noProof/>
          <w:sz w:val="24"/>
        </w:rPr>
        <w:t>е към домашни птици/бройлери в стопанствата са използвани данни от кланиците. Само в три от одитираните държави членки обаче тези данни действително са използвани за извършване на проверки на стопанствата. В останалите държави членки при клането редовно са</w:t>
      </w:r>
      <w:r>
        <w:rPr>
          <w:rFonts w:ascii="Times New Roman" w:hAnsi="Times New Roman"/>
          <w:noProof/>
          <w:sz w:val="24"/>
        </w:rPr>
        <w:t xml:space="preserve"> наблюдавани сериозни наранявания, но в редки случаи е подавана обратна връзка към лицата, извършващи проверки в стопанствата. </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u w:val="single"/>
        </w:rPr>
      </w:pPr>
      <w:r>
        <w:rPr>
          <w:rFonts w:ascii="Times New Roman" w:hAnsi="Times New Roman"/>
          <w:noProof/>
          <w:sz w:val="24"/>
          <w:u w:val="single"/>
        </w:rPr>
        <w:t>Доклади на държавите членки</w:t>
      </w: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Информация за докладваните от държавите членки нарушения във връзка с отглежданите видове, които са</w:t>
      </w:r>
      <w:r>
        <w:rPr>
          <w:rFonts w:ascii="Times New Roman" w:hAnsi="Times New Roman"/>
          <w:noProof/>
          <w:sz w:val="24"/>
        </w:rPr>
        <w:t xml:space="preserve"> обект на правилата на ЕС за хуманно отношение към животните, е представена в таблица 3 от приложение I.</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w:t>
      </w:r>
      <w:r>
        <w:rPr>
          <w:rFonts w:ascii="Times New Roman" w:hAnsi="Times New Roman"/>
          <w:i/>
          <w:noProof/>
          <w:sz w:val="24"/>
        </w:rPr>
        <w:t>Записването</w:t>
      </w:r>
      <w:r>
        <w:rPr>
          <w:rFonts w:ascii="Times New Roman" w:hAnsi="Times New Roman"/>
          <w:noProof/>
          <w:sz w:val="24"/>
        </w:rPr>
        <w:t>“ е една от категориите, в която има голям брой несъответствия за почти всички отглеждани видове. Тази категория е свързана с недостатъчна</w:t>
      </w:r>
      <w:r>
        <w:rPr>
          <w:rFonts w:ascii="Times New Roman" w:hAnsi="Times New Roman"/>
          <w:noProof/>
          <w:sz w:val="24"/>
        </w:rPr>
        <w:t>та проследяемост на лечението с лекарствени средства и смъртността, наблюдавана от земеделския стопанин, и е важен източник на информация.</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Що се отнася до изискванията, които засягат самото животно, най-честата отрицателна констатация се отнася до „</w:t>
      </w:r>
      <w:r>
        <w:rPr>
          <w:rFonts w:ascii="Times New Roman" w:hAnsi="Times New Roman"/>
          <w:i/>
          <w:noProof/>
          <w:sz w:val="24"/>
        </w:rPr>
        <w:t>сгради</w:t>
      </w:r>
      <w:r>
        <w:rPr>
          <w:rFonts w:ascii="Times New Roman" w:hAnsi="Times New Roman"/>
          <w:i/>
          <w:noProof/>
          <w:sz w:val="24"/>
        </w:rPr>
        <w:t xml:space="preserve"> и настаняване</w:t>
      </w:r>
      <w:r>
        <w:rPr>
          <w:rFonts w:ascii="Times New Roman" w:hAnsi="Times New Roman"/>
          <w:noProof/>
          <w:sz w:val="24"/>
        </w:rPr>
        <w:t>“. В тази категория попада неправилната конструкция на сградите, подовете и инсталациите. Освен това категорията обхваща оборудването вътре в сградата/клетката/кочината, както и неподходящото използване на съоръженията като режим на слабо про</w:t>
      </w:r>
      <w:r>
        <w:rPr>
          <w:rFonts w:ascii="Times New Roman" w:hAnsi="Times New Roman"/>
          <w:noProof/>
          <w:sz w:val="24"/>
        </w:rPr>
        <w:t>вертяване или осветление.</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Основните други видове установени несъответствия се различават в зависимост от отглеждания вид животни. При телетата това са „</w:t>
      </w:r>
      <w:r>
        <w:rPr>
          <w:rFonts w:ascii="Times New Roman" w:hAnsi="Times New Roman"/>
          <w:i/>
          <w:noProof/>
          <w:sz w:val="24"/>
        </w:rPr>
        <w:t>свободното движение</w:t>
      </w:r>
      <w:r>
        <w:rPr>
          <w:rFonts w:ascii="Times New Roman" w:hAnsi="Times New Roman"/>
          <w:noProof/>
          <w:sz w:val="24"/>
        </w:rPr>
        <w:t xml:space="preserve">“, което включва възможността на животните да се движат и правилата по отношение на </w:t>
      </w:r>
      <w:r>
        <w:rPr>
          <w:rFonts w:ascii="Times New Roman" w:hAnsi="Times New Roman"/>
          <w:noProof/>
          <w:sz w:val="24"/>
        </w:rPr>
        <w:t>връзването, докато при домашните птици несъответствията се отнасят до редовни проверки на функционирането на „</w:t>
      </w:r>
      <w:r>
        <w:rPr>
          <w:rFonts w:ascii="Times New Roman" w:hAnsi="Times New Roman"/>
          <w:i/>
          <w:noProof/>
          <w:sz w:val="24"/>
        </w:rPr>
        <w:t>автоматично и механично оборудване</w:t>
      </w:r>
      <w:r>
        <w:rPr>
          <w:rFonts w:ascii="Times New Roman" w:hAnsi="Times New Roman"/>
          <w:noProof/>
          <w:sz w:val="24"/>
        </w:rPr>
        <w:t>“. Проблемите, свързани с „</w:t>
      </w:r>
      <w:r>
        <w:rPr>
          <w:rFonts w:ascii="Times New Roman" w:hAnsi="Times New Roman"/>
          <w:i/>
          <w:noProof/>
          <w:sz w:val="24"/>
        </w:rPr>
        <w:t>храна, вода и други вещества</w:t>
      </w:r>
      <w:r>
        <w:rPr>
          <w:rFonts w:ascii="Times New Roman" w:hAnsi="Times New Roman"/>
          <w:noProof/>
          <w:sz w:val="24"/>
        </w:rPr>
        <w:t>“, са често срещани при свободно отглежданите кокошки нос</w:t>
      </w:r>
      <w:r>
        <w:rPr>
          <w:rFonts w:ascii="Times New Roman" w:hAnsi="Times New Roman"/>
          <w:noProof/>
          <w:sz w:val="24"/>
        </w:rPr>
        <w:t>ачки, едър рогат добитък, овце и кози. Последният проблем обхваща самия режим на хранене, достъпа на животното до храна и вода и проверките на всички автоматични хранилки или поилки.</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От докладите на държавите членки е видно, че през 2013 г. несъответствия</w:t>
      </w:r>
      <w:r>
        <w:rPr>
          <w:rFonts w:ascii="Times New Roman" w:hAnsi="Times New Roman"/>
          <w:noProof/>
          <w:sz w:val="24"/>
        </w:rPr>
        <w:t>та по отношение на свинете и предоставянето на манипулируеми материали представляват 8,4 %. При нараняванията (т.е. купиране на опашката, но също така кастриране и подрязване на зъбите) отчетеният от държавите членки процент на несъответствията е 2,2 %.</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u w:val="single"/>
        </w:rPr>
      </w:pPr>
      <w:r>
        <w:rPr>
          <w:rFonts w:ascii="Times New Roman" w:hAnsi="Times New Roman"/>
          <w:noProof/>
          <w:sz w:val="24"/>
          <w:u w:val="single"/>
        </w:rPr>
        <w:t>Ж</w:t>
      </w:r>
      <w:r>
        <w:rPr>
          <w:rFonts w:ascii="Times New Roman" w:hAnsi="Times New Roman"/>
          <w:noProof/>
          <w:sz w:val="24"/>
          <w:u w:val="single"/>
        </w:rPr>
        <w:t>алби</w:t>
      </w: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През 2013 г. и 2014 г. Комисията регистрира осем жалби, касаещи непредоставяне от страна на държавите членки на манипулируеми материали и рутинно купиране на опашката на свинете. Тези жалби отразяват също така констатациите от одитите на Комисията. До</w:t>
      </w:r>
      <w:r>
        <w:rPr>
          <w:rFonts w:ascii="Times New Roman" w:hAnsi="Times New Roman"/>
          <w:noProof/>
          <w:sz w:val="24"/>
        </w:rPr>
        <w:t xml:space="preserve"> момента пет от тях са приключени. Междувременно Комисията издаде насоки в тази област</w:t>
      </w:r>
      <w:r>
        <w:rPr>
          <w:rStyle w:val="FootnoteReference"/>
          <w:rFonts w:ascii="Times New Roman" w:hAnsi="Times New Roman"/>
          <w:noProof/>
          <w:sz w:val="24"/>
        </w:rPr>
        <w:footnoteReference w:id="12"/>
      </w:r>
      <w:r>
        <w:rPr>
          <w:rFonts w:ascii="Times New Roman" w:hAnsi="Times New Roman"/>
          <w:noProof/>
          <w:sz w:val="24"/>
        </w:rPr>
        <w:t xml:space="preserve">. </w:t>
      </w:r>
    </w:p>
    <w:p w:rsidR="00483C26" w:rsidRDefault="00483C26">
      <w:pPr>
        <w:autoSpaceDE w:val="0"/>
        <w:autoSpaceDN w:val="0"/>
        <w:adjustRightInd w:val="0"/>
        <w:spacing w:after="0"/>
        <w:ind w:left="720"/>
        <w:jc w:val="both"/>
        <w:rPr>
          <w:rFonts w:ascii="Times New Roman" w:hAnsi="Times New Roman"/>
          <w:noProof/>
          <w:sz w:val="24"/>
          <w:szCs w:val="24"/>
        </w:rPr>
      </w:pPr>
    </w:p>
    <w:p w:rsidR="00483C26" w:rsidRDefault="000B73CA">
      <w:pPr>
        <w:autoSpaceDE w:val="0"/>
        <w:autoSpaceDN w:val="0"/>
        <w:adjustRightInd w:val="0"/>
        <w:spacing w:after="0"/>
        <w:jc w:val="both"/>
        <w:rPr>
          <w:rFonts w:ascii="Times New Roman" w:hAnsi="Times New Roman"/>
          <w:noProof/>
          <w:sz w:val="24"/>
          <w:szCs w:val="24"/>
        </w:rPr>
      </w:pPr>
      <w:r>
        <w:rPr>
          <w:rFonts w:ascii="Times New Roman" w:hAnsi="Times New Roman"/>
          <w:noProof/>
          <w:sz w:val="24"/>
        </w:rPr>
        <w:t xml:space="preserve">Въпреки че има жалби и по други въпроси, свързани с хуманното отношение към животните, като например производството на </w:t>
      </w:r>
      <w:r>
        <w:rPr>
          <w:rFonts w:ascii="Times New Roman" w:hAnsi="Times New Roman"/>
          <w:i/>
          <w:noProof/>
          <w:sz w:val="24"/>
        </w:rPr>
        <w:t>гъши дроб</w:t>
      </w:r>
      <w:r>
        <w:rPr>
          <w:rFonts w:ascii="Times New Roman" w:hAnsi="Times New Roman"/>
          <w:noProof/>
          <w:sz w:val="24"/>
        </w:rPr>
        <w:t>, транспортирането и хуманното отноше</w:t>
      </w:r>
      <w:r>
        <w:rPr>
          <w:rFonts w:ascii="Times New Roman" w:hAnsi="Times New Roman"/>
          <w:noProof/>
          <w:sz w:val="24"/>
        </w:rPr>
        <w:t>ние при клане, във всяка от категориите броят се запазва нисък. Всички жалби са разгледани внимателно и е заключено, че няма достатъчни основания да се предприемат действия по никоя от тях. По тази причина по-голямата част от тях са приключени.</w:t>
      </w:r>
    </w:p>
    <w:p w:rsidR="00483C26" w:rsidRDefault="00483C26">
      <w:pPr>
        <w:jc w:val="both"/>
        <w:rPr>
          <w:rFonts w:ascii="Times New Roman" w:hAnsi="Times New Roman"/>
          <w:b/>
          <w:noProof/>
          <w:sz w:val="24"/>
          <w:szCs w:val="24"/>
        </w:rPr>
      </w:pPr>
    </w:p>
    <w:p w:rsidR="00483C26" w:rsidRDefault="000B73CA">
      <w:pPr>
        <w:keepNext/>
        <w:jc w:val="both"/>
        <w:rPr>
          <w:rFonts w:ascii="Times New Roman" w:hAnsi="Times New Roman"/>
          <w:b/>
          <w:noProof/>
          <w:sz w:val="24"/>
          <w:szCs w:val="24"/>
          <w:u w:val="single"/>
        </w:rPr>
      </w:pPr>
      <w:r>
        <w:rPr>
          <w:rFonts w:ascii="Times New Roman" w:hAnsi="Times New Roman"/>
          <w:b/>
          <w:noProof/>
          <w:sz w:val="24"/>
        </w:rPr>
        <w:t xml:space="preserve">4. </w:t>
      </w:r>
      <w:r>
        <w:rPr>
          <w:noProof/>
        </w:rPr>
        <w:tab/>
      </w:r>
      <w:r>
        <w:rPr>
          <w:rFonts w:ascii="Times New Roman" w:hAnsi="Times New Roman"/>
          <w:b/>
          <w:noProof/>
          <w:sz w:val="24"/>
          <w:u w:val="single"/>
        </w:rPr>
        <w:t>Заключ</w:t>
      </w:r>
      <w:r>
        <w:rPr>
          <w:rFonts w:ascii="Times New Roman" w:hAnsi="Times New Roman"/>
          <w:b/>
          <w:noProof/>
          <w:sz w:val="24"/>
          <w:u w:val="single"/>
        </w:rPr>
        <w:t>ение</w:t>
      </w:r>
    </w:p>
    <w:p w:rsidR="00483C26" w:rsidRDefault="000B73CA">
      <w:pPr>
        <w:jc w:val="both"/>
        <w:rPr>
          <w:rFonts w:ascii="Times New Roman" w:hAnsi="Times New Roman"/>
          <w:noProof/>
          <w:sz w:val="24"/>
          <w:szCs w:val="24"/>
        </w:rPr>
      </w:pPr>
      <w:r>
        <w:rPr>
          <w:rFonts w:ascii="Times New Roman" w:hAnsi="Times New Roman"/>
          <w:noProof/>
          <w:sz w:val="24"/>
        </w:rPr>
        <w:t xml:space="preserve">Предвидените в Директива 98/58/ЕО общи принципи и разпоредби за защита на животните, отглеждани за селскостопански цели, са спомогнали за създаването на обща рамка за хуманно отношение към отглежданите животни в ЕС.  Директивата така също е помогнала </w:t>
      </w:r>
      <w:r>
        <w:rPr>
          <w:rFonts w:ascii="Times New Roman" w:hAnsi="Times New Roman"/>
          <w:noProof/>
          <w:sz w:val="24"/>
        </w:rPr>
        <w:t>на държавите членки да осигурят правилното прилагане и изпълнението на тези правила. Много важно е, че държавите членки са задължени да представят годишни доклади за резултатите от своите проверки на прилагането на правилата за хуманно отношение към животн</w:t>
      </w:r>
      <w:r>
        <w:rPr>
          <w:rFonts w:ascii="Times New Roman" w:hAnsi="Times New Roman"/>
          <w:noProof/>
          <w:sz w:val="24"/>
        </w:rPr>
        <w:t>ите и да определят нови цели за подобряване на прилагането; това е довело до приоритетно разглеждане на въпросите, свързани с хуманното отношение. Всъщност в докладите се посочва, че държавите членки явно работят систематично за справяне с всяко установено</w:t>
      </w:r>
      <w:r>
        <w:rPr>
          <w:rFonts w:ascii="Times New Roman" w:hAnsi="Times New Roman"/>
          <w:noProof/>
          <w:sz w:val="24"/>
        </w:rPr>
        <w:t xml:space="preserve"> несъответствие и за прилагане на правилата на ЕС за хуманно отношение към животните. Това се потвърждава от данните от предишния доклад на Комисията от 2006 г.</w:t>
      </w:r>
      <w:r>
        <w:rPr>
          <w:rFonts w:ascii="Times New Roman" w:hAnsi="Times New Roman"/>
          <w:noProof/>
          <w:sz w:val="24"/>
          <w:vertAlign w:val="superscript"/>
        </w:rPr>
        <w:footnoteReference w:id="13"/>
      </w:r>
      <w:r>
        <w:rPr>
          <w:rFonts w:ascii="Times New Roman" w:hAnsi="Times New Roman"/>
          <w:noProof/>
          <w:sz w:val="24"/>
        </w:rPr>
        <w:t xml:space="preserve"> и отчетените данни от държавите членки за 2013 г. и 2014 г. Налице е значително увеличение на </w:t>
      </w:r>
      <w:r>
        <w:rPr>
          <w:rFonts w:ascii="Times New Roman" w:hAnsi="Times New Roman"/>
          <w:noProof/>
          <w:sz w:val="24"/>
        </w:rPr>
        <w:t xml:space="preserve">броя на съответстващите стопанства. </w:t>
      </w:r>
    </w:p>
    <w:p w:rsidR="00483C26" w:rsidRDefault="000B73CA">
      <w:pPr>
        <w:jc w:val="both"/>
        <w:rPr>
          <w:rFonts w:ascii="Times New Roman" w:hAnsi="Times New Roman"/>
          <w:noProof/>
          <w:sz w:val="24"/>
          <w:szCs w:val="24"/>
        </w:rPr>
      </w:pPr>
      <w:r>
        <w:rPr>
          <w:rFonts w:ascii="Times New Roman" w:hAnsi="Times New Roman"/>
          <w:noProof/>
          <w:sz w:val="24"/>
        </w:rPr>
        <w:t>Всъщност, що се отнася до последните две въведени мерки — забрана за използване на неуголемени клетки за кокошки носачки (2012 г.) и на индивидуалните боксове за свинете майки (2013 г.) — предприетите действия от Комиси</w:t>
      </w:r>
      <w:r>
        <w:rPr>
          <w:rFonts w:ascii="Times New Roman" w:hAnsi="Times New Roman"/>
          <w:noProof/>
          <w:sz w:val="24"/>
        </w:rPr>
        <w:t>ята за насърчаване на правилното прилагане на тези забрани от всички държави членки са доказали своята ефективност. Според информацията, с която разполага Комисията, понастоящем всички държави членки са постигнали съответствие и използват или уголемени кле</w:t>
      </w:r>
      <w:r>
        <w:rPr>
          <w:rFonts w:ascii="Times New Roman" w:hAnsi="Times New Roman"/>
          <w:noProof/>
          <w:sz w:val="24"/>
        </w:rPr>
        <w:t>тки, или алтернативни системи за кокошки носачки. Що се отнася до груповото отглеждане на свине майки, 25 държави членки са постигнали съответствие, като три са декларирали пълно съответствие. Понастоящем Комисията извършва проверка на документацията, пред</w:t>
      </w:r>
      <w:r>
        <w:rPr>
          <w:rFonts w:ascii="Times New Roman" w:hAnsi="Times New Roman"/>
          <w:noProof/>
          <w:sz w:val="24"/>
        </w:rPr>
        <w:t>оставена като доказателство в подкрепа на тези твърдения.</w:t>
      </w:r>
    </w:p>
    <w:p w:rsidR="00483C26" w:rsidRDefault="000B73CA">
      <w:pPr>
        <w:jc w:val="both"/>
        <w:rPr>
          <w:rFonts w:ascii="Times New Roman" w:hAnsi="Times New Roman"/>
          <w:noProof/>
          <w:sz w:val="24"/>
          <w:szCs w:val="24"/>
        </w:rPr>
      </w:pPr>
      <w:r>
        <w:rPr>
          <w:rFonts w:ascii="Times New Roman" w:hAnsi="Times New Roman"/>
          <w:noProof/>
          <w:sz w:val="24"/>
        </w:rPr>
        <w:t>В повечето случаи данните показват слаби подобрения между 2013 г. и 2014 г. Например отчетеният процент на съответствие за домашни птици и изискването към „</w:t>
      </w:r>
      <w:r>
        <w:rPr>
          <w:rFonts w:ascii="Times New Roman" w:hAnsi="Times New Roman"/>
          <w:i/>
          <w:noProof/>
          <w:sz w:val="24"/>
        </w:rPr>
        <w:t>автоматично и механично оборудване</w:t>
      </w:r>
      <w:r>
        <w:rPr>
          <w:rFonts w:ascii="Times New Roman" w:hAnsi="Times New Roman"/>
          <w:noProof/>
          <w:sz w:val="24"/>
        </w:rPr>
        <w:t>“ е увел</w:t>
      </w:r>
      <w:r>
        <w:rPr>
          <w:rFonts w:ascii="Times New Roman" w:hAnsi="Times New Roman"/>
          <w:noProof/>
          <w:sz w:val="24"/>
        </w:rPr>
        <w:t>ичено от 82,1 % на 86,4 %. Отчетено е така също общо подобрение между 2013 г. и 2014 г. в категории „</w:t>
      </w:r>
      <w:r>
        <w:rPr>
          <w:rFonts w:ascii="Times New Roman" w:hAnsi="Times New Roman"/>
          <w:i/>
          <w:noProof/>
          <w:sz w:val="24"/>
        </w:rPr>
        <w:t>записване</w:t>
      </w:r>
      <w:r>
        <w:rPr>
          <w:rFonts w:ascii="Times New Roman" w:hAnsi="Times New Roman"/>
          <w:noProof/>
          <w:sz w:val="24"/>
        </w:rPr>
        <w:t>“ и „</w:t>
      </w:r>
      <w:r>
        <w:rPr>
          <w:rFonts w:ascii="Times New Roman" w:hAnsi="Times New Roman"/>
          <w:i/>
          <w:noProof/>
          <w:sz w:val="24"/>
        </w:rPr>
        <w:t>сгради и настаняване</w:t>
      </w:r>
      <w:r>
        <w:rPr>
          <w:rFonts w:ascii="Times New Roman" w:hAnsi="Times New Roman"/>
          <w:noProof/>
          <w:sz w:val="24"/>
        </w:rPr>
        <w:t>“ при по-голямата част от видовете и системите на производство. По-голямата част от държавите членки, които са предостави</w:t>
      </w:r>
      <w:r>
        <w:rPr>
          <w:rFonts w:ascii="Times New Roman" w:hAnsi="Times New Roman"/>
          <w:noProof/>
          <w:sz w:val="24"/>
        </w:rPr>
        <w:t>ли анализ на констатациите си, отбелязват също така, че е налице обща тенденция на промяна към по-добро. Някои подчертават също така, че често незнанието е причина за несъответствие и по тази причина са въвели мерки за обучение в плановете си за действие з</w:t>
      </w:r>
      <w:r>
        <w:rPr>
          <w:rFonts w:ascii="Times New Roman" w:hAnsi="Times New Roman"/>
          <w:noProof/>
          <w:sz w:val="24"/>
        </w:rPr>
        <w:t>а следващата година.</w:t>
      </w:r>
    </w:p>
    <w:p w:rsidR="00483C26" w:rsidRDefault="000B73CA">
      <w:pPr>
        <w:jc w:val="both"/>
        <w:rPr>
          <w:rFonts w:ascii="Times New Roman" w:hAnsi="Times New Roman"/>
          <w:noProof/>
          <w:sz w:val="24"/>
          <w:szCs w:val="24"/>
        </w:rPr>
      </w:pPr>
      <w:r>
        <w:rPr>
          <w:rFonts w:ascii="Times New Roman" w:hAnsi="Times New Roman"/>
          <w:noProof/>
          <w:sz w:val="24"/>
        </w:rPr>
        <w:t>Това общо подобрение се подкрепя както от страна на държавите членки, така и от одитите на Комисията, извършени през същия период.  В тях се заключва, че държавите членки са изпълнили препоръките и че положението се е подобрило в сравн</w:t>
      </w:r>
      <w:r>
        <w:rPr>
          <w:rFonts w:ascii="Times New Roman" w:hAnsi="Times New Roman"/>
          <w:noProof/>
          <w:sz w:val="24"/>
        </w:rPr>
        <w:t>ение с предходните одити.</w:t>
      </w:r>
    </w:p>
    <w:p w:rsidR="00483C26" w:rsidRDefault="000B73CA">
      <w:pPr>
        <w:jc w:val="both"/>
        <w:rPr>
          <w:rFonts w:ascii="Times New Roman" w:hAnsi="Times New Roman"/>
          <w:noProof/>
          <w:sz w:val="24"/>
          <w:szCs w:val="24"/>
        </w:rPr>
      </w:pPr>
      <w:r>
        <w:rPr>
          <w:rFonts w:ascii="Times New Roman" w:hAnsi="Times New Roman"/>
          <w:noProof/>
          <w:sz w:val="24"/>
        </w:rPr>
        <w:t xml:space="preserve">Необходимо е обаче да продължи работата с държавите членки, за да бъдат въведени по-нататъшни подобрения в начина на докладване на съответствието с правилата за хуманно отношение към животните. Например след публикуването на </w:t>
      </w:r>
      <w:r>
        <w:rPr>
          <w:rFonts w:ascii="Times New Roman" w:hAnsi="Times New Roman"/>
          <w:noProof/>
          <w:sz w:val="24"/>
        </w:rPr>
        <w:t>Решение 2006/778/ЕО са приети и други правни изисквания в областта на хуманното отношение към животните</w:t>
      </w:r>
      <w:r>
        <w:rPr>
          <w:rStyle w:val="FootnoteReference"/>
          <w:rFonts w:ascii="Times New Roman" w:hAnsi="Times New Roman"/>
          <w:noProof/>
          <w:sz w:val="24"/>
        </w:rPr>
        <w:footnoteReference w:id="14"/>
      </w:r>
      <w:r>
        <w:rPr>
          <w:rFonts w:ascii="Times New Roman" w:hAnsi="Times New Roman"/>
          <w:noProof/>
          <w:sz w:val="24"/>
        </w:rPr>
        <w:t>. Тези законодателни промени, въведени на по-късен етап, не са отразени в настоящите задължения за докладване. Необходимо е да бъдат разгледани възможно</w:t>
      </w:r>
      <w:r>
        <w:rPr>
          <w:rFonts w:ascii="Times New Roman" w:hAnsi="Times New Roman"/>
          <w:noProof/>
          <w:sz w:val="24"/>
        </w:rPr>
        <w:t xml:space="preserve">стите как най-добре може да се осигури съгласуваното предаване на тези допълнителни данни, като в същото време административната тежест бъде сведена до минимум. </w:t>
      </w:r>
    </w:p>
    <w:p w:rsidR="00483C26" w:rsidRDefault="000B73CA">
      <w:pPr>
        <w:jc w:val="both"/>
        <w:rPr>
          <w:rFonts w:ascii="Times New Roman" w:hAnsi="Times New Roman"/>
          <w:noProof/>
          <w:sz w:val="24"/>
          <w:szCs w:val="24"/>
        </w:rPr>
      </w:pPr>
      <w:r>
        <w:rPr>
          <w:rFonts w:ascii="Times New Roman" w:hAnsi="Times New Roman"/>
          <w:noProof/>
          <w:sz w:val="24"/>
        </w:rPr>
        <w:t>Накрая, от събраната информация става ясно, че е необходимо по-добро общо разбиране на съществ</w:t>
      </w:r>
      <w:r>
        <w:rPr>
          <w:rFonts w:ascii="Times New Roman" w:hAnsi="Times New Roman"/>
          <w:noProof/>
          <w:sz w:val="24"/>
        </w:rPr>
        <w:t xml:space="preserve">уващите правила за хуманно отношение към животните и как трябва да бъдат прилагани и изпълнявани. Това важи по-специално за някои правни изисквания за хуманно отношение към свинете. Данните от държавите членки за периода 2013—2014 г. показват, че има само </w:t>
      </w:r>
      <w:r>
        <w:rPr>
          <w:rFonts w:ascii="Times New Roman" w:hAnsi="Times New Roman"/>
          <w:noProof/>
          <w:sz w:val="24"/>
        </w:rPr>
        <w:t>малко увеличение на отчетените нарушения по отношение на предоставянето на манипулируеми материали и че е намалял броят на нарушенията, свързани с купиране на опашката на свинете. Това противоречи на одитните доклади на Комисията, според които броят на нар</w:t>
      </w:r>
      <w:r>
        <w:rPr>
          <w:rFonts w:ascii="Times New Roman" w:hAnsi="Times New Roman"/>
          <w:noProof/>
          <w:sz w:val="24"/>
        </w:rPr>
        <w:t>ушенията по тези две изисквания е много по-голям в повечето одитирани държави членки. Освен това броят на жалбите по тези въпроси явно доказва повишена осведоменост сред гражданите на ЕС и интерес от хуманното отношение към свинете. Отчетеният от държавите</w:t>
      </w:r>
      <w:r>
        <w:rPr>
          <w:rFonts w:ascii="Times New Roman" w:hAnsi="Times New Roman"/>
          <w:noProof/>
          <w:sz w:val="24"/>
        </w:rPr>
        <w:t xml:space="preserve"> членки по-малък брой може да е резултат от неразпознаване на несъответствието. Одитите на Комисията показват, че по отношение на купирането на опашката повечето държави членки считат, че съответстват на правото на Съюза. Наред с това по този въпрос се раб</w:t>
      </w:r>
      <w:r>
        <w:rPr>
          <w:rFonts w:ascii="Times New Roman" w:hAnsi="Times New Roman"/>
          <w:noProof/>
          <w:sz w:val="24"/>
        </w:rPr>
        <w:t>оти  в продължение на няколко години, за да се повишат знанията и да се променят нагласите. С Препоръка (ЕС) 2016/336 на Комисията от 8 март 2016 г. се въвеждат редица параметри, отнасящи се до намаляване на хапането на опашките, и се изброяват характерист</w:t>
      </w:r>
      <w:r>
        <w:rPr>
          <w:rFonts w:ascii="Times New Roman" w:hAnsi="Times New Roman"/>
          <w:noProof/>
          <w:sz w:val="24"/>
        </w:rPr>
        <w:t xml:space="preserve">иките на оптималния материал за обогатяване на средата. С придружаващия работен документ на Комисията на държавите членки се предоставят допълнителни подробности по въпроса, като им се дават така също инструменти и показатели, които могат да използват при </w:t>
      </w:r>
      <w:r>
        <w:rPr>
          <w:rFonts w:ascii="Times New Roman" w:hAnsi="Times New Roman"/>
          <w:noProof/>
          <w:sz w:val="24"/>
        </w:rPr>
        <w:t xml:space="preserve">оценяване на положението в стопанствата. </w:t>
      </w:r>
    </w:p>
    <w:p w:rsidR="00483C26" w:rsidRDefault="000B73CA">
      <w:pPr>
        <w:jc w:val="both"/>
        <w:rPr>
          <w:rFonts w:ascii="Times New Roman" w:hAnsi="Times New Roman"/>
          <w:noProof/>
          <w:sz w:val="24"/>
          <w:szCs w:val="24"/>
        </w:rPr>
      </w:pPr>
      <w:r>
        <w:rPr>
          <w:rFonts w:ascii="Times New Roman" w:hAnsi="Times New Roman"/>
          <w:noProof/>
          <w:sz w:val="24"/>
        </w:rPr>
        <w:t>Комисията най-малкото ще продължи да следи съответствието с прилагането на Директива 98/58/ЕО на Съвета.  От плановете за действие и предоставените коментари е видно обаче, че държавите членки използват различни ин</w:t>
      </w:r>
      <w:r>
        <w:rPr>
          <w:rFonts w:ascii="Times New Roman" w:hAnsi="Times New Roman"/>
          <w:noProof/>
          <w:sz w:val="24"/>
        </w:rPr>
        <w:t>струменти за по-добро правоприлагане в тази област. Успоредно с това Комисията счита, че е изключително важно да бъдат осъществени по-нататъшни диалози със заинтересованите страни, с цел да бъдат подкрепени конкретни инициативи и проекти в тази област, кои</w:t>
      </w:r>
      <w:r>
        <w:rPr>
          <w:rFonts w:ascii="Times New Roman" w:hAnsi="Times New Roman"/>
          <w:noProof/>
          <w:sz w:val="24"/>
        </w:rPr>
        <w:t>то биха могли да са от взаимна полза както от икономическа гледна точка, така и от гледна точка на хуманното отношение към животните. В този контекст Комисията понастоящем работи върху по-систематичен и по-реален формат на този диалог, за да могат всички з</w:t>
      </w:r>
      <w:r>
        <w:rPr>
          <w:rFonts w:ascii="Times New Roman" w:hAnsi="Times New Roman"/>
          <w:noProof/>
          <w:sz w:val="24"/>
        </w:rPr>
        <w:t>аинтересовани страни (организации за хуманно отношение към животните, учени, ветеринарни лекари, земеделски стопани, преработвателни предприятия в хранително-вкусовата промишленост, търговци на дребно на храни т.н.) да изразят своята загриженост, да сподел</w:t>
      </w:r>
      <w:r>
        <w:rPr>
          <w:rFonts w:ascii="Times New Roman" w:hAnsi="Times New Roman"/>
          <w:noProof/>
          <w:sz w:val="24"/>
        </w:rPr>
        <w:t>ят своите знания и ресурси за осъществяването на общи дейности.</w:t>
      </w:r>
    </w:p>
    <w:p w:rsidR="00483C26" w:rsidRDefault="000B73CA">
      <w:pPr>
        <w:jc w:val="both"/>
        <w:rPr>
          <w:rFonts w:ascii="Times New Roman" w:hAnsi="Times New Roman"/>
          <w:noProof/>
          <w:sz w:val="24"/>
          <w:szCs w:val="24"/>
          <w:highlight w:val="green"/>
        </w:rPr>
      </w:pPr>
      <w:r>
        <w:rPr>
          <w:rFonts w:ascii="Times New Roman" w:hAnsi="Times New Roman"/>
          <w:noProof/>
          <w:sz w:val="24"/>
        </w:rPr>
        <w:t>Освен това с приемането на Предложението на Комисията относно официалния контрол</w:t>
      </w:r>
      <w:r>
        <w:rPr>
          <w:rStyle w:val="FootnoteReference"/>
          <w:rFonts w:ascii="Times New Roman" w:hAnsi="Times New Roman"/>
          <w:noProof/>
          <w:sz w:val="24"/>
        </w:rPr>
        <w:footnoteReference w:id="15"/>
      </w:r>
      <w:r>
        <w:rPr>
          <w:rFonts w:ascii="Times New Roman" w:hAnsi="Times New Roman"/>
          <w:noProof/>
          <w:sz w:val="24"/>
        </w:rPr>
        <w:t xml:space="preserve"> ще се даде възможност за създаването на европейски референтни центрове за хуманно отношение към животните, кое</w:t>
      </w:r>
      <w:r>
        <w:rPr>
          <w:rFonts w:ascii="Times New Roman" w:hAnsi="Times New Roman"/>
          <w:noProof/>
          <w:sz w:val="24"/>
        </w:rPr>
        <w:t>то също може да допринесе за допълнителни подобрения чрез създаването и обмена на по-добри технически и научни знания.</w:t>
      </w:r>
    </w:p>
    <w:p w:rsidR="00483C26" w:rsidRDefault="00483C26">
      <w:pPr>
        <w:jc w:val="both"/>
        <w:rPr>
          <w:rFonts w:ascii="Times New Roman" w:hAnsi="Times New Roman"/>
          <w:noProof/>
          <w:sz w:val="24"/>
          <w:szCs w:val="24"/>
        </w:rPr>
      </w:pPr>
    </w:p>
    <w:p w:rsidR="00483C26" w:rsidRDefault="00483C26">
      <w:pPr>
        <w:jc w:val="center"/>
        <w:rPr>
          <w:rFonts w:ascii="Times New Roman" w:hAnsi="Times New Roman"/>
          <w:noProof/>
          <w:sz w:val="24"/>
          <w:szCs w:val="24"/>
        </w:rPr>
        <w:sectPr w:rsidR="00483C26">
          <w:headerReference w:type="even" r:id="rId16"/>
          <w:headerReference w:type="default" r:id="rId17"/>
          <w:footerReference w:type="even" r:id="rId18"/>
          <w:footerReference w:type="default" r:id="rId19"/>
          <w:headerReference w:type="first" r:id="rId20"/>
          <w:footerReference w:type="first" r:id="rId21"/>
          <w:pgSz w:w="11906" w:h="16838"/>
          <w:pgMar w:top="1417" w:right="1417" w:bottom="1417" w:left="1417" w:header="708" w:footer="708" w:gutter="0"/>
          <w:pgNumType w:start="2"/>
          <w:cols w:space="720"/>
          <w:docGrid w:linePitch="360"/>
        </w:sectPr>
      </w:pPr>
    </w:p>
    <w:p w:rsidR="00483C26" w:rsidRDefault="000B73CA">
      <w:pPr>
        <w:jc w:val="center"/>
        <w:rPr>
          <w:rFonts w:ascii="Times New Roman" w:hAnsi="Times New Roman"/>
          <w:b/>
          <w:noProof/>
          <w:sz w:val="24"/>
          <w:szCs w:val="24"/>
        </w:rPr>
      </w:pPr>
      <w:r>
        <w:rPr>
          <w:rFonts w:ascii="Times New Roman" w:hAnsi="Times New Roman"/>
          <w:b/>
          <w:noProof/>
          <w:sz w:val="24"/>
        </w:rPr>
        <w:t>Приложение I:</w:t>
      </w:r>
    </w:p>
    <w:p w:rsidR="00483C26" w:rsidRDefault="000B73CA">
      <w:pPr>
        <w:jc w:val="center"/>
        <w:rPr>
          <w:rFonts w:ascii="Times New Roman" w:hAnsi="Times New Roman"/>
          <w:b/>
          <w:noProof/>
          <w:sz w:val="24"/>
          <w:szCs w:val="24"/>
        </w:rPr>
      </w:pPr>
      <w:r>
        <w:rPr>
          <w:rFonts w:ascii="Times New Roman" w:hAnsi="Times New Roman"/>
          <w:b/>
          <w:noProof/>
          <w:sz w:val="24"/>
        </w:rPr>
        <w:t>Таблица 1</w:t>
      </w:r>
    </w:p>
    <w:p w:rsidR="00483C26" w:rsidRDefault="000B73CA">
      <w:pPr>
        <w:jc w:val="center"/>
        <w:rPr>
          <w:rFonts w:ascii="Times New Roman" w:hAnsi="Times New Roman"/>
          <w:b/>
          <w:noProof/>
          <w:sz w:val="24"/>
          <w:szCs w:val="24"/>
        </w:rPr>
      </w:pPr>
      <w:r>
        <w:rPr>
          <w:rFonts w:ascii="Times New Roman" w:hAnsi="Times New Roman"/>
          <w:b/>
          <w:noProof/>
          <w:sz w:val="24"/>
        </w:rPr>
        <w:t xml:space="preserve">Списък с одитите, проведени от Комисията през </w:t>
      </w:r>
      <w:r>
        <w:rPr>
          <w:rFonts w:ascii="Times New Roman" w:hAnsi="Times New Roman"/>
          <w:b/>
          <w:noProof/>
          <w:sz w:val="24"/>
        </w:rPr>
        <w:t>периода 2010—2014 г.</w:t>
      </w:r>
    </w:p>
    <w:tbl>
      <w:tblPr>
        <w:tblW w:w="0" w:type="auto"/>
        <w:jc w:val="center"/>
        <w:tblCellSpacing w:w="15" w:type="dxa"/>
        <w:tblInd w:w="-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4A0" w:firstRow="1" w:lastRow="0" w:firstColumn="1" w:lastColumn="0" w:noHBand="0" w:noVBand="1"/>
      </w:tblPr>
      <w:tblGrid>
        <w:gridCol w:w="1901"/>
        <w:gridCol w:w="1056"/>
        <w:gridCol w:w="5177"/>
        <w:gridCol w:w="1447"/>
      </w:tblGrid>
      <w:tr w:rsidR="00483C26">
        <w:trPr>
          <w:tblHeader/>
          <w:tblCellSpacing w:w="15" w:type="dxa"/>
          <w:jc w:val="center"/>
        </w:trPr>
        <w:tc>
          <w:tcPr>
            <w:tcW w:w="1856" w:type="dxa"/>
            <w:shd w:val="clear" w:color="auto" w:fill="BFBFBF"/>
          </w:tcPr>
          <w:p w:rsidR="00483C26" w:rsidRDefault="000B73CA">
            <w:pPr>
              <w:spacing w:after="0" w:line="240" w:lineRule="auto"/>
              <w:jc w:val="center"/>
              <w:rPr>
                <w:rFonts w:ascii="Arial" w:eastAsia="Times New Roman" w:hAnsi="Arial" w:cs="Arial"/>
                <w:b/>
                <w:bCs/>
                <w:noProof/>
                <w:color w:val="000000"/>
                <w:sz w:val="16"/>
                <w:szCs w:val="16"/>
              </w:rPr>
            </w:pPr>
            <w:r>
              <w:rPr>
                <w:rFonts w:ascii="Arial" w:hAnsi="Arial"/>
                <w:b/>
                <w:noProof/>
                <w:color w:val="000000"/>
                <w:sz w:val="16"/>
              </w:rPr>
              <w:t>Държава членка</w:t>
            </w:r>
          </w:p>
        </w:tc>
        <w:tc>
          <w:tcPr>
            <w:tcW w:w="0" w:type="auto"/>
            <w:shd w:val="clear" w:color="auto" w:fill="BFBFBF"/>
          </w:tcPr>
          <w:p w:rsidR="00483C26" w:rsidRDefault="000B73CA">
            <w:pPr>
              <w:spacing w:after="0" w:line="240" w:lineRule="auto"/>
              <w:jc w:val="center"/>
              <w:rPr>
                <w:rFonts w:ascii="Arial" w:eastAsia="Times New Roman" w:hAnsi="Arial" w:cs="Arial"/>
                <w:b/>
                <w:bCs/>
                <w:noProof/>
                <w:color w:val="000000"/>
                <w:sz w:val="16"/>
                <w:szCs w:val="16"/>
              </w:rPr>
            </w:pPr>
            <w:r>
              <w:rPr>
                <w:rFonts w:ascii="Arial" w:hAnsi="Arial"/>
                <w:b/>
                <w:noProof/>
                <w:color w:val="000000"/>
                <w:sz w:val="16"/>
              </w:rPr>
              <w:t>Номер на доклада</w:t>
            </w:r>
          </w:p>
        </w:tc>
        <w:tc>
          <w:tcPr>
            <w:tcW w:w="0" w:type="auto"/>
            <w:shd w:val="clear" w:color="auto" w:fill="BFBFBF"/>
          </w:tcPr>
          <w:p w:rsidR="00483C26" w:rsidRDefault="000B73CA">
            <w:pPr>
              <w:spacing w:after="0" w:line="240" w:lineRule="auto"/>
              <w:jc w:val="center"/>
              <w:rPr>
                <w:rFonts w:ascii="Arial" w:eastAsia="Times New Roman" w:hAnsi="Arial" w:cs="Arial"/>
                <w:b/>
                <w:bCs/>
                <w:noProof/>
                <w:color w:val="000000"/>
                <w:sz w:val="16"/>
                <w:szCs w:val="16"/>
              </w:rPr>
            </w:pPr>
            <w:r>
              <w:rPr>
                <w:rFonts w:ascii="Arial" w:hAnsi="Arial"/>
                <w:b/>
                <w:noProof/>
                <w:color w:val="000000"/>
                <w:sz w:val="16"/>
              </w:rPr>
              <w:t>Предмет на одита за хуманно отношение към животните</w:t>
            </w:r>
          </w:p>
        </w:tc>
        <w:tc>
          <w:tcPr>
            <w:tcW w:w="0" w:type="auto"/>
            <w:shd w:val="clear" w:color="auto" w:fill="BFBFBF"/>
          </w:tcPr>
          <w:p w:rsidR="00483C26" w:rsidRDefault="000B73CA">
            <w:pPr>
              <w:spacing w:after="0" w:line="240" w:lineRule="auto"/>
              <w:jc w:val="center"/>
              <w:rPr>
                <w:rFonts w:ascii="Arial" w:eastAsia="Times New Roman" w:hAnsi="Arial" w:cs="Arial"/>
                <w:b/>
                <w:bCs/>
                <w:noProof/>
                <w:color w:val="FFFFFF"/>
                <w:sz w:val="16"/>
                <w:szCs w:val="16"/>
              </w:rPr>
            </w:pPr>
            <w:r>
              <w:rPr>
                <w:rFonts w:ascii="Arial" w:hAnsi="Arial"/>
                <w:b/>
                <w:noProof/>
                <w:color w:val="000000"/>
                <w:sz w:val="16"/>
              </w:rPr>
              <w:t>Дата</w:t>
            </w:r>
          </w:p>
        </w:tc>
      </w:tr>
      <w:tr w:rsidR="00483C26">
        <w:trPr>
          <w:trHeight w:val="113"/>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Малта</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2010-8386</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(кокошки носачки, телета, свине, Решение 2006/778/ЕО)</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Януари 2010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Люксембург</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2010-8385</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(Директива 98/58/ЕО, Решение 2006/778/ЕО, кокошки носачки,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Януари 2010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Франция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2010-8390</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(кокошки носачки, свине, Решение 2006/778)</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Февруари 2010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Полша</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2010-8387</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стопанства и </w:t>
            </w:r>
            <w:r>
              <w:rPr>
                <w:rFonts w:ascii="Arial" w:hAnsi="Arial"/>
                <w:noProof/>
                <w:color w:val="313F4B"/>
                <w:sz w:val="14"/>
              </w:rPr>
              <w:t>транспортиране (кокошки носачки,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Февруари — март 2010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Италия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2010-8388</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(Директива 98/58/ЕО, кокошки носачки,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Март 2010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Румъния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2010-8389</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(кокошки носачки,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Април 2010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България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2010-8383</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(кокошки носачки,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Април 2010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Чешка република</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2010-8384</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(кокошки носачки,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Юни 2010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Швеция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2010-8391</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стопанства и транспортиране (Директива 2006/778/ЕО, </w:t>
            </w:r>
            <w:r>
              <w:rPr>
                <w:rFonts w:ascii="Arial" w:hAnsi="Arial"/>
                <w:noProof/>
                <w:color w:val="313F4B"/>
                <w:sz w:val="14"/>
              </w:rPr>
              <w:t>кокошки носачки,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Октомври 2010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Дания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2010-8392</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(кокошки носачки,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Ноември 2010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Австрия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2011-6096</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(Директива 98/58/ЕО, кокошки носачки, свине, бройлери)</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Януари 2011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Португалия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2011-6052</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(бройлери, кокошки носачки, телета,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Май 2011 г. </w:t>
            </w:r>
          </w:p>
        </w:tc>
      </w:tr>
      <w:tr w:rsidR="00483C26">
        <w:trPr>
          <w:tblCellSpacing w:w="15" w:type="dxa"/>
          <w:jc w:val="center"/>
        </w:trPr>
        <w:tc>
          <w:tcPr>
            <w:tcW w:w="1856" w:type="dxa"/>
            <w:hideMark/>
          </w:tcPr>
          <w:p w:rsidR="00483C26" w:rsidRDefault="000B73CA">
            <w:pPr>
              <w:spacing w:after="0" w:line="240" w:lineRule="auto"/>
              <w:rPr>
                <w:rFonts w:ascii="Arial" w:eastAsia="Times New Roman" w:hAnsi="Arial" w:cs="Arial"/>
                <w:b/>
                <w:bCs/>
                <w:noProof/>
                <w:color w:val="000000"/>
                <w:sz w:val="14"/>
                <w:szCs w:val="14"/>
              </w:rPr>
            </w:pPr>
            <w:r>
              <w:rPr>
                <w:rFonts w:ascii="Arial" w:hAnsi="Arial"/>
                <w:b/>
                <w:noProof/>
                <w:color w:val="313F4B"/>
                <w:sz w:val="14"/>
              </w:rPr>
              <w:t>Полша</w:t>
            </w:r>
          </w:p>
        </w:tc>
        <w:tc>
          <w:tcPr>
            <w:tcW w:w="0" w:type="auto"/>
            <w:hideMark/>
          </w:tcPr>
          <w:p w:rsidR="00483C26" w:rsidRDefault="000B73CA">
            <w:pPr>
              <w:spacing w:after="0" w:line="240" w:lineRule="auto"/>
              <w:rPr>
                <w:rFonts w:ascii="Arial" w:eastAsia="Times New Roman" w:hAnsi="Arial" w:cs="Arial"/>
                <w:bCs/>
                <w:noProof/>
                <w:color w:val="000000"/>
                <w:sz w:val="14"/>
                <w:szCs w:val="14"/>
              </w:rPr>
            </w:pPr>
            <w:r>
              <w:rPr>
                <w:rFonts w:ascii="Arial" w:hAnsi="Arial"/>
                <w:noProof/>
                <w:color w:val="313F4B"/>
                <w:sz w:val="14"/>
              </w:rPr>
              <w:t>2011-6049</w:t>
            </w:r>
          </w:p>
        </w:tc>
        <w:tc>
          <w:tcPr>
            <w:tcW w:w="0" w:type="auto"/>
            <w:hideMark/>
          </w:tcPr>
          <w:p w:rsidR="00483C26" w:rsidRDefault="000B73CA">
            <w:pPr>
              <w:spacing w:after="0" w:line="240" w:lineRule="auto"/>
              <w:rPr>
                <w:rFonts w:ascii="Arial" w:eastAsia="Times New Roman" w:hAnsi="Arial" w:cs="Arial"/>
                <w:bCs/>
                <w:noProof/>
                <w:color w:val="000000"/>
                <w:sz w:val="14"/>
                <w:szCs w:val="14"/>
              </w:rPr>
            </w:pPr>
            <w:r>
              <w:rPr>
                <w:rFonts w:ascii="Arial" w:hAnsi="Arial"/>
                <w:noProof/>
                <w:color w:val="313F4B"/>
                <w:sz w:val="14"/>
              </w:rPr>
              <w:t>стопанства и транспортиране (Директива 98/58/ЕО, кокошки носачки, свине, бройлери)</w:t>
            </w:r>
          </w:p>
        </w:tc>
        <w:tc>
          <w:tcPr>
            <w:tcW w:w="0" w:type="auto"/>
            <w:hideMark/>
          </w:tcPr>
          <w:p w:rsidR="00483C26" w:rsidRDefault="000B73CA">
            <w:pPr>
              <w:spacing w:after="0" w:line="240" w:lineRule="auto"/>
              <w:rPr>
                <w:rFonts w:ascii="Arial" w:eastAsia="Times New Roman" w:hAnsi="Arial" w:cs="Arial"/>
                <w:bCs/>
                <w:noProof/>
                <w:color w:val="000000"/>
                <w:sz w:val="14"/>
                <w:szCs w:val="14"/>
              </w:rPr>
            </w:pPr>
            <w:r>
              <w:rPr>
                <w:rFonts w:ascii="Arial" w:hAnsi="Arial"/>
                <w:noProof/>
                <w:color w:val="313F4B"/>
                <w:sz w:val="14"/>
              </w:rPr>
              <w:t>Май — юни 2011 г.</w:t>
            </w:r>
            <w:r>
              <w:rPr>
                <w:rFonts w:ascii="Arial" w:hAnsi="Arial"/>
                <w:noProof/>
                <w:color w:val="000000"/>
                <w:sz w:val="14"/>
              </w:rPr>
              <w:t xml:space="preserve">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Белгия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2011-6039</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стопанства и </w:t>
            </w:r>
            <w:r>
              <w:rPr>
                <w:rFonts w:ascii="Arial" w:hAnsi="Arial"/>
                <w:noProof/>
                <w:color w:val="313F4B"/>
                <w:sz w:val="14"/>
              </w:rPr>
              <w:t>транспортиране (Директива 98/58/ЕО, кокошки носачки, свине, бройлери)</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Юни — юли 2011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Унгария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2011-6045</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(Директива 98/58/ЕО, кокошки носачки, бройлери, свине, гъски съгласно Препоръката на Съвета на Европа (СЕ)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Септември 201</w:t>
            </w:r>
            <w:r>
              <w:rPr>
                <w:rFonts w:ascii="Arial" w:hAnsi="Arial"/>
                <w:noProof/>
                <w:color w:val="313F4B"/>
                <w:sz w:val="14"/>
              </w:rPr>
              <w:t xml:space="preserve">1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Словакия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2011-6053</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(кокошки носачки, бройлери,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Септември 2011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Италия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2011-6048</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(Директива 98/58/ЕО, кокошки носачки, свине, бройлери)</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Ноември 2011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Ирландия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2012-6379</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кокошки носачки в стопанства </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Март 2012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Словения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2012-6375</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(Директива 98/58/ЕО, кокошки носачки, свине, бройлери)</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Април 2012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Нидерландия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2012-6376</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стопанства и транспортиране (Директива 98/58/ЕО, кокошки носачки, </w:t>
            </w:r>
            <w:r>
              <w:rPr>
                <w:rFonts w:ascii="Arial" w:hAnsi="Arial"/>
                <w:noProof/>
                <w:color w:val="313F4B"/>
                <w:sz w:val="14"/>
              </w:rPr>
              <w:t>свине, бройлери, едър рогат добитък съгласно СЕ)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Май 2012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България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2012-6454</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(кокошки носачки, бройлери, свине)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Юни 2012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Латвия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2012-6525</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стопанства и транспортиране (Директива 98/58/ЕО, Решение 2006/778/ЕО, кокошки </w:t>
            </w:r>
            <w:r>
              <w:rPr>
                <w:rFonts w:ascii="Arial" w:hAnsi="Arial"/>
                <w:noProof/>
                <w:color w:val="313F4B"/>
                <w:sz w:val="14"/>
              </w:rPr>
              <w:t>носачки, свине, бройлери, телета, едър рогат добитък съгласно СЕ, стопанства за кожи съгласно СЕ)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Октомври 2012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Литва</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2012-6526</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(Директива 98/58/ЕО, свине, бройлери, стопанства за кожи съгласно СЕ)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Ноември 2012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Франция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2012-6446</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(кокошки носачки, свине, бройлери, мускусни патици съгласно СЕ)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Ноември 2012 г. </w:t>
            </w:r>
          </w:p>
        </w:tc>
      </w:tr>
      <w:tr w:rsidR="00483C26">
        <w:trPr>
          <w:tblCellSpacing w:w="15" w:type="dxa"/>
          <w:jc w:val="center"/>
        </w:trPr>
        <w:tc>
          <w:tcPr>
            <w:tcW w:w="1856" w:type="dxa"/>
            <w:hideMark/>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Румъния</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2012-6374</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стопанства и транспортиране (кокошки носачки, свине, бройлери, пуйки съгласно СЕ, патици съгласно СЕ)</w:t>
            </w:r>
          </w:p>
        </w:tc>
        <w:tc>
          <w:tcPr>
            <w:tcW w:w="0" w:type="auto"/>
            <w:hideMark/>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Ноември 2012 г.</w:t>
            </w:r>
            <w:r>
              <w:rPr>
                <w:rFonts w:ascii="Arial" w:hAnsi="Arial"/>
                <w:noProof/>
                <w:color w:val="313F4B"/>
                <w:sz w:val="14"/>
              </w:rPr>
              <w:t xml:space="preserve"> </w:t>
            </w:r>
          </w:p>
        </w:tc>
      </w:tr>
      <w:tr w:rsidR="00483C26">
        <w:trPr>
          <w:tblCellSpacing w:w="15" w:type="dxa"/>
          <w:jc w:val="center"/>
        </w:trPr>
        <w:tc>
          <w:tcPr>
            <w:tcW w:w="1856" w:type="dxa"/>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Обединено кралство</w:t>
            </w:r>
          </w:p>
        </w:tc>
        <w:tc>
          <w:tcPr>
            <w:tcW w:w="0" w:type="auto"/>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2013-6822</w:t>
            </w:r>
          </w:p>
        </w:tc>
        <w:tc>
          <w:tcPr>
            <w:tcW w:w="0" w:type="auto"/>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основни отглеждани видове и пилета за производство на месо (бройлери, пуйки съгласно СЕ)</w:t>
            </w:r>
          </w:p>
        </w:tc>
        <w:tc>
          <w:tcPr>
            <w:tcW w:w="0" w:type="auto"/>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Февруари — март 2013 г.</w:t>
            </w:r>
          </w:p>
        </w:tc>
      </w:tr>
      <w:tr w:rsidR="00483C26">
        <w:trPr>
          <w:tblCellSpacing w:w="15" w:type="dxa"/>
          <w:jc w:val="center"/>
        </w:trPr>
        <w:tc>
          <w:tcPr>
            <w:tcW w:w="1856" w:type="dxa"/>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Дания</w:t>
            </w:r>
          </w:p>
        </w:tc>
        <w:tc>
          <w:tcPr>
            <w:tcW w:w="0" w:type="auto"/>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2013-6807</w:t>
            </w:r>
          </w:p>
        </w:tc>
        <w:tc>
          <w:tcPr>
            <w:tcW w:w="0" w:type="auto"/>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 xml:space="preserve">основни отглеждани видове и пилета за производство на месо (бройлери, стопанства за кожи </w:t>
            </w:r>
            <w:r>
              <w:rPr>
                <w:rFonts w:ascii="Arial" w:hAnsi="Arial"/>
                <w:noProof/>
                <w:color w:val="313F4B"/>
                <w:sz w:val="14"/>
              </w:rPr>
              <w:t>съгласно СЕ, едър рогат добитък съгласно СЕ)</w:t>
            </w:r>
          </w:p>
        </w:tc>
        <w:tc>
          <w:tcPr>
            <w:tcW w:w="0" w:type="auto"/>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Октомври 2013 г.</w:t>
            </w:r>
          </w:p>
        </w:tc>
      </w:tr>
      <w:tr w:rsidR="00483C26">
        <w:trPr>
          <w:tblCellSpacing w:w="15" w:type="dxa"/>
          <w:jc w:val="center"/>
        </w:trPr>
        <w:tc>
          <w:tcPr>
            <w:tcW w:w="1856" w:type="dxa"/>
          </w:tcPr>
          <w:p w:rsidR="00483C26" w:rsidRDefault="000B73CA">
            <w:pPr>
              <w:spacing w:after="0" w:line="240" w:lineRule="auto"/>
              <w:rPr>
                <w:rFonts w:ascii="Arial" w:hAnsi="Arial" w:cs="Arial"/>
                <w:b/>
                <w:noProof/>
                <w:color w:val="313F4B"/>
                <w:sz w:val="14"/>
                <w:szCs w:val="14"/>
              </w:rPr>
            </w:pPr>
            <w:r>
              <w:rPr>
                <w:rFonts w:ascii="Arial" w:hAnsi="Arial"/>
                <w:b/>
                <w:noProof/>
                <w:color w:val="313F4B"/>
                <w:sz w:val="14"/>
              </w:rPr>
              <w:t>Австрия</w:t>
            </w:r>
          </w:p>
        </w:tc>
        <w:tc>
          <w:tcPr>
            <w:tcW w:w="0" w:type="auto"/>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2013-6805</w:t>
            </w:r>
          </w:p>
        </w:tc>
        <w:tc>
          <w:tcPr>
            <w:tcW w:w="0" w:type="auto"/>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основни отглеждани видове — изисквания на Съвета на Европа (Решение 2006/778/ЕО, едър рогат добитък съгласно СЕ, пуйки съгласно СЕ, гъски съгласно СЕ)</w:t>
            </w:r>
          </w:p>
        </w:tc>
        <w:tc>
          <w:tcPr>
            <w:tcW w:w="0" w:type="auto"/>
          </w:tcPr>
          <w:p w:rsidR="00483C26" w:rsidRDefault="000B73CA">
            <w:pPr>
              <w:spacing w:after="0" w:line="240" w:lineRule="auto"/>
              <w:rPr>
                <w:rFonts w:ascii="Arial" w:hAnsi="Arial" w:cs="Arial"/>
                <w:noProof/>
                <w:color w:val="313F4B"/>
                <w:sz w:val="14"/>
                <w:szCs w:val="14"/>
              </w:rPr>
            </w:pPr>
            <w:r>
              <w:rPr>
                <w:rFonts w:ascii="Arial" w:hAnsi="Arial"/>
                <w:noProof/>
                <w:color w:val="313F4B"/>
                <w:sz w:val="14"/>
              </w:rPr>
              <w:t>Ноември 2013 г.</w:t>
            </w:r>
          </w:p>
        </w:tc>
      </w:tr>
    </w:tbl>
    <w:p w:rsidR="00483C26" w:rsidRDefault="00483C26">
      <w:pPr>
        <w:spacing w:after="0" w:line="240" w:lineRule="auto"/>
        <w:rPr>
          <w:rFonts w:ascii="Times New Roman" w:hAnsi="Times New Roman"/>
          <w:b/>
          <w:noProof/>
          <w:sz w:val="24"/>
          <w:szCs w:val="24"/>
        </w:rPr>
        <w:sectPr w:rsidR="00483C26">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709" w:footer="709" w:gutter="0"/>
          <w:cols w:space="720"/>
          <w:docGrid w:linePitch="360"/>
        </w:sectPr>
      </w:pPr>
      <w:bookmarkStart w:id="1" w:name="_GoBack"/>
      <w:bookmarkEnd w:id="1"/>
    </w:p>
    <w:p w:rsidR="00483C26" w:rsidRDefault="000B73CA">
      <w:pPr>
        <w:jc w:val="center"/>
        <w:rPr>
          <w:rFonts w:ascii="Times New Roman" w:hAnsi="Times New Roman"/>
          <w:b/>
          <w:noProof/>
          <w:sz w:val="24"/>
          <w:szCs w:val="24"/>
        </w:rPr>
      </w:pPr>
      <w:r>
        <w:rPr>
          <w:rFonts w:ascii="Times New Roman" w:hAnsi="Times New Roman"/>
          <w:b/>
          <w:noProof/>
          <w:sz w:val="24"/>
        </w:rPr>
        <w:t>Таблица 2</w:t>
      </w:r>
    </w:p>
    <w:p w:rsidR="00483C26" w:rsidRDefault="000B73CA">
      <w:pPr>
        <w:jc w:val="center"/>
        <w:rPr>
          <w:rFonts w:ascii="Times New Roman" w:hAnsi="Times New Roman"/>
          <w:b/>
          <w:noProof/>
          <w:sz w:val="24"/>
          <w:szCs w:val="24"/>
        </w:rPr>
      </w:pPr>
      <w:r>
        <w:rPr>
          <w:rFonts w:ascii="Times New Roman" w:hAnsi="Times New Roman"/>
          <w:b/>
          <w:noProof/>
          <w:sz w:val="24"/>
        </w:rPr>
        <w:t>Обобщение на докладите на всички държави членки за периода 2013—2014 г., по видове</w:t>
      </w:r>
    </w:p>
    <w:tbl>
      <w:tblPr>
        <w:tblW w:w="15137" w:type="dxa"/>
        <w:jc w:val="center"/>
        <w:tblInd w:w="93" w:type="dxa"/>
        <w:tblLook w:val="04A0" w:firstRow="1" w:lastRow="0" w:firstColumn="1" w:lastColumn="0" w:noHBand="0" w:noVBand="1"/>
      </w:tblPr>
      <w:tblGrid>
        <w:gridCol w:w="856"/>
        <w:gridCol w:w="4013"/>
        <w:gridCol w:w="255"/>
        <w:gridCol w:w="1345"/>
        <w:gridCol w:w="255"/>
        <w:gridCol w:w="1306"/>
        <w:gridCol w:w="255"/>
        <w:gridCol w:w="1345"/>
        <w:gridCol w:w="255"/>
        <w:gridCol w:w="1306"/>
        <w:gridCol w:w="255"/>
        <w:gridCol w:w="1423"/>
        <w:gridCol w:w="255"/>
        <w:gridCol w:w="1306"/>
        <w:gridCol w:w="255"/>
        <w:gridCol w:w="1306"/>
      </w:tblGrid>
      <w:tr w:rsidR="00483C26">
        <w:trPr>
          <w:trHeight w:val="216"/>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right"/>
              <w:rPr>
                <w:rFonts w:ascii="Arial" w:eastAsia="Times New Roman" w:hAnsi="Arial" w:cs="Arial"/>
                <w:b/>
                <w:bCs/>
                <w:noProof/>
                <w:color w:val="000000"/>
                <w:sz w:val="20"/>
                <w:szCs w:val="20"/>
              </w:rPr>
            </w:pPr>
            <w:r>
              <w:rPr>
                <w:rFonts w:ascii="Arial" w:hAnsi="Arial"/>
                <w:b/>
                <w:noProof/>
                <w:color w:val="000000"/>
                <w:sz w:val="20"/>
              </w:rPr>
              <w:t>2013 г.</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6"/>
                <w:szCs w:val="16"/>
              </w:rPr>
            </w:pPr>
            <w:r>
              <w:rPr>
                <w:rFonts w:ascii="Arial" w:hAnsi="Arial"/>
                <w:b/>
                <w:noProof/>
                <w:color w:val="000000"/>
                <w:sz w:val="16"/>
              </w:rPr>
              <w:t>Описание на категорията</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Кокошки носачки — свободно отглеждане</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Кокошки носачки — хамбар</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 xml:space="preserve">Кокошки </w:t>
            </w:r>
            <w:r>
              <w:rPr>
                <w:rFonts w:ascii="Arial" w:hAnsi="Arial"/>
                <w:b/>
                <w:noProof/>
                <w:color w:val="000000"/>
                <w:sz w:val="14"/>
              </w:rPr>
              <w:t>носачки — уголемени клетки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Пуйки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Домашни птици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Патици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Гъски</w:t>
            </w:r>
          </w:p>
        </w:tc>
      </w:tr>
      <w:tr w:rsidR="00483C26">
        <w:trPr>
          <w:trHeight w:val="68"/>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rPr>
                <w:rFonts w:ascii="Arial" w:eastAsia="Times New Roman" w:hAnsi="Arial" w:cs="Arial"/>
                <w:b/>
                <w:bCs/>
                <w:noProof/>
                <w:color w:val="000000"/>
                <w:sz w:val="14"/>
                <w:szCs w:val="14"/>
              </w:rPr>
            </w:pPr>
            <w:r>
              <w:rPr>
                <w:rFonts w:ascii="Arial" w:hAnsi="Arial"/>
                <w:b/>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r>
      <w:tr w:rsidR="00483C26">
        <w:trPr>
          <w:trHeight w:val="253"/>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Производствени обекти, предмет на инспекция</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6 731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3 490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3 236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19 768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111 115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29 877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13 553 </w:t>
            </w:r>
          </w:p>
        </w:tc>
      </w:tr>
      <w:tr w:rsidR="00483C26">
        <w:trPr>
          <w:trHeight w:val="253"/>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Инспектирани производствени обекти</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20,1 %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33,6 %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40 %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5,1 %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5,3 %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2,8 %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5,6 %</w:t>
            </w:r>
          </w:p>
        </w:tc>
      </w:tr>
      <w:tr w:rsidR="00483C26">
        <w:trPr>
          <w:trHeight w:val="253"/>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Производствени обекти без несъответствие</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89,8 %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89,4 %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87,5 %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90,7 %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82,7 %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89,9 %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89 %</w:t>
            </w:r>
          </w:p>
        </w:tc>
      </w:tr>
      <w:tr w:rsidR="00483C26">
        <w:trPr>
          <w:trHeight w:val="103"/>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rPr>
                <w:rFonts w:ascii="Arial" w:eastAsia="Times New Roman" w:hAnsi="Arial" w:cs="Arial"/>
                <w:b/>
                <w:bCs/>
                <w:noProof/>
                <w:color w:val="FFFFFF"/>
                <w:sz w:val="6"/>
                <w:szCs w:val="6"/>
              </w:rPr>
            </w:pPr>
            <w:r>
              <w:rPr>
                <w:rFonts w:ascii="Arial" w:hAnsi="Arial"/>
                <w:b/>
                <w:noProof/>
                <w:color w:val="FFFFFF"/>
                <w:sz w:val="6"/>
              </w:rPr>
              <w:t>Общо несъответствие за категорията</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198</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189</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224</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122</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1275</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132</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127 г.</w:t>
            </w:r>
          </w:p>
        </w:tc>
      </w:tr>
      <w:tr w:rsidR="00483C26">
        <w:trPr>
          <w:trHeight w:val="325"/>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6"/>
                <w:szCs w:val="16"/>
              </w:rPr>
            </w:pPr>
            <w:r>
              <w:rPr>
                <w:rFonts w:ascii="Arial" w:hAnsi="Arial"/>
                <w:b/>
                <w:noProof/>
                <w:color w:val="000000"/>
                <w:sz w:val="16"/>
              </w:rPr>
              <w:t>Описание на категорията</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Щраусови птици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Свине</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Едър рогат добитък (освен телета)</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Телета</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Овце</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Кози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Животни, отглеждани за кожа</w:t>
            </w:r>
          </w:p>
        </w:tc>
      </w:tr>
      <w:tr w:rsidR="00483C26">
        <w:trPr>
          <w:trHeight w:val="103"/>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rPr>
                <w:rFonts w:ascii="Arial" w:eastAsia="Times New Roman" w:hAnsi="Arial" w:cs="Arial"/>
                <w:b/>
                <w:bCs/>
                <w:noProof/>
                <w:color w:val="FFFFFF"/>
                <w:sz w:val="6"/>
                <w:szCs w:val="6"/>
              </w:rPr>
            </w:pPr>
            <w:r>
              <w:rPr>
                <w:rFonts w:ascii="Arial" w:hAnsi="Arial"/>
                <w:b/>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Производствени обекти, предмет на инспекция</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788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685 660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1 503 586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942 407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549 713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186 632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3 956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Инспектирани производствени обекти</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13,5 %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4,3 %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4,5 %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4,1 %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3 %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2,5 %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28,8 %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Производствени обекти без несъответствие</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90,6 %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80,8 %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86,2 %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87,2 %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86,4 %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80,7 %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85,1 %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483C26">
            <w:pPr>
              <w:spacing w:after="0" w:line="240" w:lineRule="auto"/>
              <w:jc w:val="center"/>
              <w:rPr>
                <w:rFonts w:ascii="Arial" w:eastAsia="Times New Roman" w:hAnsi="Arial" w:cs="Arial"/>
                <w:noProof/>
                <w:color w:val="000000"/>
                <w:sz w:val="14"/>
                <w:szCs w:val="14"/>
              </w:rPr>
            </w:pPr>
          </w:p>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r>
      <w:tr w:rsidR="00483C26">
        <w:trPr>
          <w:trHeight w:val="103"/>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rPr>
                <w:rFonts w:ascii="Arial" w:eastAsia="Times New Roman" w:hAnsi="Arial" w:cs="Arial"/>
                <w:b/>
                <w:bCs/>
                <w:noProof/>
                <w:color w:val="FFFFFF"/>
                <w:sz w:val="6"/>
                <w:szCs w:val="6"/>
              </w:rPr>
            </w:pPr>
            <w:r>
              <w:rPr>
                <w:rFonts w:ascii="Arial" w:hAnsi="Arial"/>
                <w:b/>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r>
      <w:tr w:rsidR="00483C26">
        <w:trPr>
          <w:trHeight w:val="216"/>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right"/>
              <w:rPr>
                <w:rFonts w:ascii="Arial" w:eastAsia="Times New Roman" w:hAnsi="Arial" w:cs="Arial"/>
                <w:b/>
                <w:bCs/>
                <w:noProof/>
                <w:color w:val="000000"/>
                <w:sz w:val="20"/>
                <w:szCs w:val="20"/>
              </w:rPr>
            </w:pPr>
            <w:r>
              <w:rPr>
                <w:rFonts w:ascii="Arial" w:hAnsi="Arial"/>
                <w:b/>
                <w:noProof/>
                <w:color w:val="000000"/>
                <w:sz w:val="20"/>
              </w:rPr>
              <w:t>2014 г.</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6"/>
                <w:szCs w:val="16"/>
              </w:rPr>
            </w:pPr>
            <w:r>
              <w:rPr>
                <w:rFonts w:ascii="Arial" w:hAnsi="Arial"/>
                <w:b/>
                <w:noProof/>
                <w:color w:val="000000"/>
                <w:sz w:val="16"/>
              </w:rPr>
              <w:t>Описание на категорията</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 xml:space="preserve">Кокошки носачки — свободно </w:t>
            </w:r>
            <w:r>
              <w:rPr>
                <w:rFonts w:ascii="Arial" w:hAnsi="Arial"/>
                <w:b/>
                <w:noProof/>
                <w:color w:val="000000"/>
                <w:sz w:val="14"/>
              </w:rPr>
              <w:t>отглеждане</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Кокошки носачки — хамбар</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Кокошки носачки — уголемени клетки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Пуйки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Домашни птици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Патици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Гъски</w:t>
            </w:r>
          </w:p>
        </w:tc>
      </w:tr>
      <w:tr w:rsidR="00483C26">
        <w:trPr>
          <w:trHeight w:val="103"/>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rPr>
                <w:rFonts w:ascii="Arial" w:eastAsia="Times New Roman" w:hAnsi="Arial" w:cs="Arial"/>
                <w:b/>
                <w:bCs/>
                <w:noProof/>
                <w:color w:val="FFFFFF"/>
                <w:sz w:val="6"/>
                <w:szCs w:val="6"/>
              </w:rPr>
            </w:pPr>
            <w:r>
              <w:rPr>
                <w:rFonts w:ascii="Arial" w:hAnsi="Arial"/>
                <w:b/>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 xml:space="preserve">Производствени обекти, предмет на </w:t>
            </w:r>
            <w:r>
              <w:rPr>
                <w:rFonts w:ascii="Arial" w:hAnsi="Arial"/>
                <w:b/>
                <w:noProof/>
                <w:color w:val="000000"/>
                <w:sz w:val="16"/>
              </w:rPr>
              <w:t>инспекция</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12 099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12 772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3 565 </w:t>
            </w: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26 395 </w:t>
            </w: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183 920 </w:t>
            </w: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75 420 </w:t>
            </w:r>
          </w:p>
        </w:tc>
        <w:tc>
          <w:tcPr>
            <w:tcW w:w="0" w:type="auto"/>
            <w:tcBorders>
              <w:top w:val="nil"/>
              <w:left w:val="nil"/>
              <w:bottom w:val="nil"/>
              <w:right w:val="nil"/>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37 241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Инспектирани производствени обекти</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17,3 %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16 %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40,5 %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5,6 %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4,1 %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1,9 %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3,3 %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Производствени обекти без несъответствие</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91,8 %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92,3 %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86,4 %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88,4 %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83,5 %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91,5 %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90,7 %</w:t>
            </w:r>
          </w:p>
        </w:tc>
      </w:tr>
      <w:tr w:rsidR="00483C26">
        <w:trPr>
          <w:trHeight w:val="103"/>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rPr>
                <w:rFonts w:ascii="Arial" w:eastAsia="Times New Roman" w:hAnsi="Arial" w:cs="Arial"/>
                <w:b/>
                <w:bCs/>
                <w:noProof/>
                <w:color w:val="FFFFFF"/>
                <w:sz w:val="6"/>
                <w:szCs w:val="6"/>
              </w:rPr>
            </w:pPr>
            <w:r>
              <w:rPr>
                <w:rFonts w:ascii="Arial" w:hAnsi="Arial"/>
                <w:b/>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r>
      <w:tr w:rsidR="00483C26">
        <w:trPr>
          <w:trHeight w:val="325"/>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6"/>
                <w:szCs w:val="16"/>
              </w:rPr>
            </w:pPr>
            <w:r>
              <w:rPr>
                <w:rFonts w:ascii="Arial" w:hAnsi="Arial"/>
                <w:b/>
                <w:noProof/>
                <w:color w:val="000000"/>
                <w:sz w:val="16"/>
              </w:rPr>
              <w:t>Описание на категорията</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Щраусови птици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Свине</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Едър рогат добитък (освен телета)</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Телета</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Овце</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Кози</w:t>
            </w:r>
          </w:p>
        </w:tc>
        <w:tc>
          <w:tcPr>
            <w:tcW w:w="0" w:type="auto"/>
            <w:tcBorders>
              <w:top w:val="nil"/>
              <w:left w:val="nil"/>
              <w:bottom w:val="nil"/>
              <w:right w:val="nil"/>
            </w:tcBorders>
            <w:shd w:val="clear" w:color="FFFFFF" w:fill="FFFFFF"/>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ascii="Arial" w:eastAsia="Times New Roman" w:hAnsi="Arial" w:cs="Arial"/>
                <w:b/>
                <w:bCs/>
                <w:noProof/>
                <w:color w:val="000000"/>
                <w:sz w:val="14"/>
                <w:szCs w:val="14"/>
              </w:rPr>
            </w:pPr>
            <w:r>
              <w:rPr>
                <w:rFonts w:ascii="Arial" w:hAnsi="Arial"/>
                <w:b/>
                <w:noProof/>
                <w:color w:val="000000"/>
                <w:sz w:val="14"/>
              </w:rPr>
              <w:t>Животни, отглеждани за кожа</w:t>
            </w:r>
          </w:p>
        </w:tc>
      </w:tr>
      <w:tr w:rsidR="00483C26">
        <w:trPr>
          <w:trHeight w:val="103"/>
          <w:jc w:val="center"/>
        </w:trPr>
        <w:tc>
          <w:tcPr>
            <w:tcW w:w="0" w:type="auto"/>
            <w:tcBorders>
              <w:top w:val="nil"/>
              <w:left w:val="nil"/>
              <w:bottom w:val="nil"/>
              <w:right w:val="nil"/>
            </w:tcBorders>
            <w:shd w:val="clear" w:color="FFFFFF" w:fill="FFFFFF"/>
            <w:noWrap/>
            <w:vAlign w:val="center"/>
            <w:hideMark/>
          </w:tcPr>
          <w:p w:rsidR="00483C26" w:rsidRDefault="000B73CA">
            <w:pPr>
              <w:spacing w:after="0" w:line="240" w:lineRule="auto"/>
              <w:rPr>
                <w:rFonts w:ascii="Arial" w:eastAsia="Times New Roman" w:hAnsi="Arial" w:cs="Arial"/>
                <w:noProof/>
                <w:color w:val="000000"/>
                <w:sz w:val="12"/>
                <w:szCs w:val="12"/>
              </w:rPr>
            </w:pPr>
            <w:r>
              <w:rPr>
                <w:rFonts w:ascii="Arial" w:hAnsi="Arial"/>
                <w:noProof/>
                <w:color w:val="000000"/>
                <w:sz w:val="12"/>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rPr>
                <w:rFonts w:ascii="Arial" w:eastAsia="Times New Roman" w:hAnsi="Arial" w:cs="Arial"/>
                <w:b/>
                <w:bCs/>
                <w:noProof/>
                <w:color w:val="FFFFFF"/>
                <w:sz w:val="6"/>
                <w:szCs w:val="6"/>
              </w:rPr>
            </w:pPr>
            <w:r>
              <w:rPr>
                <w:rFonts w:ascii="Arial" w:hAnsi="Arial"/>
                <w:b/>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c>
          <w:tcPr>
            <w:tcW w:w="0" w:type="auto"/>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nil"/>
              <w:bottom w:val="nil"/>
              <w:right w:val="nil"/>
            </w:tcBorders>
            <w:shd w:val="clear" w:color="FFFFFF" w:fill="FFFFFF"/>
            <w:noWrap/>
            <w:hideMark/>
          </w:tcPr>
          <w:p w:rsidR="00483C26" w:rsidRDefault="000B73CA">
            <w:pPr>
              <w:spacing w:after="0" w:line="240" w:lineRule="auto"/>
              <w:jc w:val="center"/>
              <w:rPr>
                <w:rFonts w:ascii="Arial" w:eastAsia="Times New Roman" w:hAnsi="Arial" w:cs="Arial"/>
                <w:noProof/>
                <w:color w:val="FFFFFF"/>
                <w:sz w:val="6"/>
                <w:szCs w:val="6"/>
              </w:rPr>
            </w:pPr>
            <w:r>
              <w:rPr>
                <w:rFonts w:ascii="Arial" w:hAnsi="Arial"/>
                <w:noProof/>
                <w:color w:val="FFFFFF"/>
                <w:sz w:val="6"/>
              </w:rPr>
              <w:t>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Производствени обекти, предмет на инспекция</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1 716 </w:t>
            </w:r>
          </w:p>
        </w:tc>
        <w:tc>
          <w:tcPr>
            <w:tcW w:w="0" w:type="auto"/>
            <w:tcBorders>
              <w:top w:val="nil"/>
              <w:left w:val="nil"/>
              <w:bottom w:val="nil"/>
              <w:right w:val="nil"/>
            </w:tcBorders>
            <w:shd w:val="clear" w:color="auto" w:fill="auto"/>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767 042 </w:t>
            </w:r>
          </w:p>
        </w:tc>
        <w:tc>
          <w:tcPr>
            <w:tcW w:w="0" w:type="auto"/>
            <w:tcBorders>
              <w:top w:val="nil"/>
              <w:left w:val="nil"/>
              <w:bottom w:val="nil"/>
              <w:right w:val="nil"/>
            </w:tcBorders>
            <w:shd w:val="clear" w:color="auto" w:fill="auto"/>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1 626 413 </w:t>
            </w:r>
          </w:p>
        </w:tc>
        <w:tc>
          <w:tcPr>
            <w:tcW w:w="0" w:type="auto"/>
            <w:tcBorders>
              <w:top w:val="nil"/>
              <w:left w:val="nil"/>
              <w:bottom w:val="nil"/>
              <w:right w:val="nil"/>
            </w:tcBorders>
            <w:shd w:val="clear" w:color="auto" w:fill="auto"/>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978 358 </w:t>
            </w:r>
          </w:p>
        </w:tc>
        <w:tc>
          <w:tcPr>
            <w:tcW w:w="0" w:type="auto"/>
            <w:tcBorders>
              <w:top w:val="nil"/>
              <w:left w:val="nil"/>
              <w:bottom w:val="nil"/>
              <w:right w:val="nil"/>
            </w:tcBorders>
            <w:shd w:val="clear" w:color="auto" w:fill="auto"/>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653 721 </w:t>
            </w:r>
          </w:p>
        </w:tc>
        <w:tc>
          <w:tcPr>
            <w:tcW w:w="0" w:type="auto"/>
            <w:tcBorders>
              <w:top w:val="nil"/>
              <w:left w:val="nil"/>
              <w:bottom w:val="nil"/>
              <w:right w:val="nil"/>
            </w:tcBorders>
            <w:shd w:val="clear" w:color="auto" w:fill="auto"/>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235 205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xml:space="preserve">                   4 317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Инспектирани производствени обекти</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11,2 %</w:t>
            </w:r>
          </w:p>
        </w:tc>
        <w:tc>
          <w:tcPr>
            <w:tcW w:w="0" w:type="auto"/>
            <w:tcBorders>
              <w:top w:val="nil"/>
              <w:left w:val="nil"/>
              <w:bottom w:val="nil"/>
              <w:right w:val="nil"/>
            </w:tcBorders>
            <w:shd w:val="clear" w:color="auto" w:fill="auto"/>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4,7 %</w:t>
            </w:r>
          </w:p>
        </w:tc>
        <w:tc>
          <w:tcPr>
            <w:tcW w:w="0" w:type="auto"/>
            <w:tcBorders>
              <w:top w:val="nil"/>
              <w:left w:val="nil"/>
              <w:bottom w:val="nil"/>
              <w:right w:val="nil"/>
            </w:tcBorders>
            <w:shd w:val="clear" w:color="auto" w:fill="auto"/>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4,6 %</w:t>
            </w:r>
          </w:p>
        </w:tc>
        <w:tc>
          <w:tcPr>
            <w:tcW w:w="0" w:type="auto"/>
            <w:tcBorders>
              <w:top w:val="nil"/>
              <w:left w:val="nil"/>
              <w:bottom w:val="nil"/>
              <w:right w:val="nil"/>
            </w:tcBorders>
            <w:shd w:val="clear" w:color="auto" w:fill="auto"/>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4,5 %</w:t>
            </w:r>
          </w:p>
        </w:tc>
        <w:tc>
          <w:tcPr>
            <w:tcW w:w="0" w:type="auto"/>
            <w:tcBorders>
              <w:top w:val="nil"/>
              <w:left w:val="nil"/>
              <w:bottom w:val="nil"/>
              <w:right w:val="nil"/>
            </w:tcBorders>
            <w:shd w:val="clear" w:color="auto" w:fill="auto"/>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3,4 %</w:t>
            </w:r>
          </w:p>
        </w:tc>
        <w:tc>
          <w:tcPr>
            <w:tcW w:w="0" w:type="auto"/>
            <w:tcBorders>
              <w:top w:val="nil"/>
              <w:left w:val="nil"/>
              <w:bottom w:val="nil"/>
              <w:right w:val="nil"/>
            </w:tcBorders>
            <w:shd w:val="clear" w:color="auto" w:fill="auto"/>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2,9 %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28,7 %</w:t>
            </w:r>
          </w:p>
        </w:tc>
      </w:tr>
      <w:tr w:rsidR="00483C26">
        <w:trPr>
          <w:trHeight w:val="253"/>
          <w:jc w:val="center"/>
        </w:trPr>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ascii="Arial" w:eastAsia="Times New Roman" w:hAnsi="Arial" w:cs="Arial"/>
                <w:b/>
                <w:bCs/>
                <w:noProof/>
                <w:color w:val="000000"/>
                <w:sz w:val="16"/>
                <w:szCs w:val="16"/>
              </w:rPr>
            </w:pPr>
            <w:r>
              <w:rPr>
                <w:rFonts w:ascii="Arial" w:hAnsi="Arial"/>
                <w:b/>
                <w:noProof/>
                <w:color w:val="000000"/>
                <w:sz w:val="16"/>
              </w:rPr>
              <w:t>Производствени обекти без несъответствие</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92,2 %</w:t>
            </w:r>
          </w:p>
        </w:tc>
        <w:tc>
          <w:tcPr>
            <w:tcW w:w="0" w:type="auto"/>
            <w:tcBorders>
              <w:top w:val="nil"/>
              <w:left w:val="nil"/>
              <w:bottom w:val="nil"/>
              <w:right w:val="nil"/>
            </w:tcBorders>
            <w:shd w:val="clear" w:color="auto" w:fill="auto"/>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82,2 %</w:t>
            </w:r>
          </w:p>
        </w:tc>
        <w:tc>
          <w:tcPr>
            <w:tcW w:w="0" w:type="auto"/>
            <w:tcBorders>
              <w:top w:val="nil"/>
              <w:left w:val="nil"/>
              <w:bottom w:val="nil"/>
              <w:right w:val="nil"/>
            </w:tcBorders>
            <w:shd w:val="clear" w:color="auto" w:fill="auto"/>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86,6 %</w:t>
            </w:r>
          </w:p>
        </w:tc>
        <w:tc>
          <w:tcPr>
            <w:tcW w:w="0" w:type="auto"/>
            <w:tcBorders>
              <w:top w:val="nil"/>
              <w:left w:val="nil"/>
              <w:bottom w:val="nil"/>
              <w:right w:val="nil"/>
            </w:tcBorders>
            <w:shd w:val="clear" w:color="auto" w:fill="auto"/>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84,7 %</w:t>
            </w:r>
          </w:p>
        </w:tc>
        <w:tc>
          <w:tcPr>
            <w:tcW w:w="0" w:type="auto"/>
            <w:tcBorders>
              <w:top w:val="nil"/>
              <w:left w:val="nil"/>
              <w:bottom w:val="nil"/>
              <w:right w:val="nil"/>
            </w:tcBorders>
            <w:shd w:val="clear" w:color="auto" w:fill="auto"/>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89,5 %</w:t>
            </w:r>
          </w:p>
        </w:tc>
        <w:tc>
          <w:tcPr>
            <w:tcW w:w="0" w:type="auto"/>
            <w:tcBorders>
              <w:top w:val="nil"/>
              <w:left w:val="nil"/>
              <w:bottom w:val="nil"/>
              <w:right w:val="nil"/>
            </w:tcBorders>
            <w:shd w:val="clear" w:color="auto" w:fill="auto"/>
            <w:noWrap/>
            <w:vAlign w:val="bottom"/>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 </w:t>
            </w: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81,4 %</w:t>
            </w:r>
          </w:p>
        </w:tc>
        <w:tc>
          <w:tcPr>
            <w:tcW w:w="0" w:type="auto"/>
            <w:tcBorders>
              <w:top w:val="nil"/>
              <w:left w:val="nil"/>
              <w:bottom w:val="nil"/>
              <w:right w:val="nil"/>
            </w:tcBorders>
            <w:shd w:val="clear" w:color="auto" w:fill="auto"/>
            <w:noWrap/>
            <w:vAlign w:val="bottom"/>
            <w:hideMark/>
          </w:tcPr>
          <w:p w:rsidR="00483C26" w:rsidRDefault="00483C26">
            <w:pPr>
              <w:spacing w:after="0" w:line="240" w:lineRule="auto"/>
              <w:rPr>
                <w:rFonts w:ascii="Arial" w:eastAsia="Times New Roman" w:hAnsi="Arial" w:cs="Arial"/>
                <w:noProof/>
                <w:sz w:val="20"/>
                <w:szCs w:val="20"/>
              </w:rPr>
            </w:pPr>
          </w:p>
        </w:tc>
        <w:tc>
          <w:tcPr>
            <w:tcW w:w="0" w:type="auto"/>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85,6 %</w:t>
            </w:r>
          </w:p>
        </w:tc>
      </w:tr>
    </w:tbl>
    <w:p w:rsidR="00483C26" w:rsidRDefault="00483C26">
      <w:pPr>
        <w:jc w:val="center"/>
        <w:rPr>
          <w:rFonts w:ascii="Times New Roman" w:hAnsi="Times New Roman"/>
          <w:noProof/>
          <w:sz w:val="24"/>
          <w:szCs w:val="24"/>
        </w:rPr>
      </w:pPr>
    </w:p>
    <w:p w:rsidR="00483C26" w:rsidRDefault="000B73CA">
      <w:pPr>
        <w:spacing w:after="0" w:line="240" w:lineRule="auto"/>
        <w:rPr>
          <w:rFonts w:ascii="Times New Roman" w:hAnsi="Times New Roman"/>
          <w:noProof/>
          <w:sz w:val="24"/>
          <w:szCs w:val="24"/>
        </w:rPr>
      </w:pPr>
      <w:r>
        <w:rPr>
          <w:noProof/>
        </w:rPr>
        <w:br w:type="page"/>
      </w:r>
    </w:p>
    <w:p w:rsidR="00483C26" w:rsidRDefault="000B73CA">
      <w:pPr>
        <w:jc w:val="center"/>
        <w:rPr>
          <w:rFonts w:ascii="Times New Roman" w:hAnsi="Times New Roman"/>
          <w:b/>
          <w:noProof/>
          <w:sz w:val="24"/>
          <w:szCs w:val="24"/>
        </w:rPr>
      </w:pPr>
      <w:r>
        <w:rPr>
          <w:rFonts w:ascii="Times New Roman" w:hAnsi="Times New Roman"/>
          <w:b/>
          <w:noProof/>
          <w:sz w:val="24"/>
        </w:rPr>
        <w:t>Фигура 1</w:t>
      </w:r>
    </w:p>
    <w:p w:rsidR="00483C26" w:rsidRDefault="000B73CA">
      <w:pPr>
        <w:jc w:val="center"/>
        <w:rPr>
          <w:rFonts w:ascii="Times New Roman" w:hAnsi="Times New Roman"/>
          <w:b/>
          <w:noProof/>
          <w:sz w:val="24"/>
          <w:szCs w:val="24"/>
        </w:rPr>
      </w:pPr>
      <w:r>
        <w:rPr>
          <w:rFonts w:ascii="Times New Roman" w:hAnsi="Times New Roman"/>
          <w:b/>
          <w:noProof/>
          <w:sz w:val="24"/>
        </w:rPr>
        <w:t>Процент на инспектираните производствени обекти през 2013 г. и 2014 г.</w:t>
      </w:r>
    </w:p>
    <w:p w:rsidR="00483C26" w:rsidRDefault="000B73CA">
      <w:pPr>
        <w:jc w:val="both"/>
        <w:rPr>
          <w:rFonts w:ascii="Times New Roman" w:hAnsi="Times New Roman"/>
          <w:b/>
          <w:noProof/>
          <w:sz w:val="24"/>
          <w:szCs w:val="24"/>
        </w:rPr>
      </w:pPr>
      <w:r>
        <w:rPr>
          <w:noProof/>
          <w:lang w:val="en-GB" w:eastAsia="en-GB" w:bidi="ar-SA"/>
        </w:rPr>
        <w:drawing>
          <wp:inline distT="0" distB="0" distL="0" distR="0">
            <wp:extent cx="7539486" cy="4919337"/>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44630" cy="4922693"/>
                    </a:xfrm>
                    <a:prstGeom prst="rect">
                      <a:avLst/>
                    </a:prstGeom>
                    <a:noFill/>
                    <a:ln>
                      <a:noFill/>
                    </a:ln>
                  </pic:spPr>
                </pic:pic>
              </a:graphicData>
            </a:graphic>
          </wp:inline>
        </w:drawing>
      </w:r>
    </w:p>
    <w:p w:rsidR="00483C26" w:rsidRDefault="00483C26">
      <w:pPr>
        <w:jc w:val="center"/>
        <w:rPr>
          <w:rFonts w:ascii="Times New Roman" w:hAnsi="Times New Roman"/>
          <w:b/>
          <w:noProof/>
          <w:sz w:val="24"/>
          <w:szCs w:val="24"/>
        </w:rPr>
      </w:pPr>
    </w:p>
    <w:p w:rsidR="00483C26" w:rsidRDefault="000B73CA">
      <w:pPr>
        <w:rPr>
          <w:rFonts w:ascii="Times New Roman" w:hAnsi="Times New Roman"/>
          <w:b/>
          <w:noProof/>
          <w:sz w:val="24"/>
          <w:szCs w:val="24"/>
        </w:rPr>
      </w:pPr>
      <w:r>
        <w:rPr>
          <w:rFonts w:ascii="Times New Roman" w:hAnsi="Times New Roman"/>
          <w:b/>
          <w:noProof/>
          <w:sz w:val="24"/>
        </w:rPr>
        <w:t>Таблица 3</w:t>
      </w:r>
    </w:p>
    <w:p w:rsidR="00483C26" w:rsidRDefault="000B73CA">
      <w:pPr>
        <w:jc w:val="center"/>
        <w:rPr>
          <w:rFonts w:ascii="Times New Roman" w:hAnsi="Times New Roman"/>
          <w:b/>
          <w:noProof/>
          <w:sz w:val="24"/>
          <w:szCs w:val="24"/>
        </w:rPr>
      </w:pPr>
      <w:r>
        <w:rPr>
          <w:rFonts w:ascii="Times New Roman" w:hAnsi="Times New Roman"/>
          <w:b/>
          <w:noProof/>
          <w:sz w:val="24"/>
        </w:rPr>
        <w:t xml:space="preserve">Брой на производствените обекти в държавите членки, които са били предмет на инспекция, и процент на несъответствията през 2013 г. и 2014 г. </w:t>
      </w:r>
    </w:p>
    <w:p w:rsidR="00483C26" w:rsidRDefault="000B73CA">
      <w:pPr>
        <w:jc w:val="center"/>
        <w:rPr>
          <w:rFonts w:ascii="Times New Roman" w:hAnsi="Times New Roman"/>
          <w:b/>
          <w:noProof/>
          <w:sz w:val="24"/>
          <w:szCs w:val="24"/>
        </w:rPr>
      </w:pPr>
      <w:r>
        <w:rPr>
          <w:rFonts w:ascii="Times New Roman" w:hAnsi="Times New Roman"/>
          <w:b/>
          <w:noProof/>
          <w:sz w:val="24"/>
        </w:rPr>
        <w:t>- основни отглеждани видове</w:t>
      </w:r>
    </w:p>
    <w:tbl>
      <w:tblPr>
        <w:tblW w:w="13718" w:type="dxa"/>
        <w:jc w:val="center"/>
        <w:tblLook w:val="04A0" w:firstRow="1" w:lastRow="0" w:firstColumn="1" w:lastColumn="0" w:noHBand="0" w:noVBand="1"/>
      </w:tblPr>
      <w:tblGrid>
        <w:gridCol w:w="3179"/>
        <w:gridCol w:w="253"/>
        <w:gridCol w:w="1044"/>
        <w:gridCol w:w="357"/>
        <w:gridCol w:w="1044"/>
        <w:gridCol w:w="357"/>
        <w:gridCol w:w="982"/>
        <w:gridCol w:w="357"/>
        <w:gridCol w:w="982"/>
        <w:gridCol w:w="357"/>
        <w:gridCol w:w="982"/>
        <w:gridCol w:w="357"/>
        <w:gridCol w:w="875"/>
        <w:gridCol w:w="357"/>
        <w:gridCol w:w="1105"/>
        <w:gridCol w:w="357"/>
        <w:gridCol w:w="902"/>
      </w:tblGrid>
      <w:tr w:rsidR="00483C26">
        <w:trPr>
          <w:trHeight w:val="277"/>
          <w:jc w:val="center"/>
        </w:trPr>
        <w:tc>
          <w:tcPr>
            <w:tcW w:w="3179" w:type="dxa"/>
            <w:tcBorders>
              <w:top w:val="nil"/>
              <w:left w:val="nil"/>
              <w:bottom w:val="nil"/>
              <w:right w:val="nil"/>
            </w:tcBorders>
            <w:shd w:val="clear" w:color="FFFFFF" w:fill="FFFFFF"/>
            <w:noWrap/>
            <w:vAlign w:val="center"/>
            <w:hideMark/>
          </w:tcPr>
          <w:p w:rsidR="00483C26" w:rsidRDefault="00483C26">
            <w:pPr>
              <w:spacing w:after="0" w:line="240" w:lineRule="auto"/>
              <w:jc w:val="center"/>
              <w:rPr>
                <w:rFonts w:eastAsia="Times New Roman" w:cs="Calibri"/>
                <w:noProof/>
                <w:color w:val="000000"/>
                <w:sz w:val="16"/>
                <w:szCs w:val="16"/>
              </w:rPr>
            </w:pPr>
          </w:p>
        </w:tc>
        <w:tc>
          <w:tcPr>
            <w:tcW w:w="253" w:type="dxa"/>
            <w:tcBorders>
              <w:top w:val="nil"/>
              <w:left w:val="nil"/>
              <w:bottom w:val="nil"/>
              <w:right w:val="nil"/>
            </w:tcBorders>
            <w:shd w:val="clear" w:color="FFFFFF" w:fill="FFFFFF"/>
            <w:noWrap/>
            <w:vAlign w:val="center"/>
            <w:hideMark/>
          </w:tcPr>
          <w:p w:rsidR="00483C26" w:rsidRDefault="00483C26">
            <w:pPr>
              <w:spacing w:after="0" w:line="240" w:lineRule="auto"/>
              <w:jc w:val="center"/>
              <w:rPr>
                <w:rFonts w:eastAsia="Times New Roman" w:cs="Calibri"/>
                <w:noProof/>
                <w:color w:val="000000"/>
                <w:sz w:val="16"/>
                <w:szCs w:val="16"/>
              </w:rPr>
            </w:pPr>
          </w:p>
        </w:tc>
        <w:tc>
          <w:tcPr>
            <w:tcW w:w="1000" w:type="dxa"/>
            <w:tcBorders>
              <w:top w:val="single" w:sz="4" w:space="0" w:color="auto"/>
              <w:left w:val="single" w:sz="4" w:space="0" w:color="auto"/>
              <w:bottom w:val="single" w:sz="4" w:space="0" w:color="auto"/>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2013 г.</w:t>
            </w:r>
          </w:p>
        </w:tc>
        <w:tc>
          <w:tcPr>
            <w:tcW w:w="357" w:type="dxa"/>
            <w:tcBorders>
              <w:top w:val="nil"/>
              <w:left w:val="nil"/>
              <w:bottom w:val="nil"/>
              <w:right w:val="single" w:sz="4" w:space="0" w:color="auto"/>
            </w:tcBorders>
            <w:shd w:val="clear" w:color="FFFFFF" w:fill="FFFFFF"/>
            <w:noWrap/>
            <w:vAlign w:val="center"/>
            <w:hideMark/>
          </w:tcPr>
          <w:p w:rsidR="00483C26" w:rsidRDefault="00483C26">
            <w:pPr>
              <w:spacing w:after="0" w:line="240" w:lineRule="auto"/>
              <w:jc w:val="center"/>
              <w:rPr>
                <w:rFonts w:eastAsia="Times New Roman" w:cs="Calibri"/>
                <w:b/>
                <w:bCs/>
                <w:noProof/>
                <w:color w:val="000000"/>
                <w:sz w:val="16"/>
                <w:szCs w:val="16"/>
              </w:rPr>
            </w:pPr>
          </w:p>
        </w:tc>
        <w:tc>
          <w:tcPr>
            <w:tcW w:w="1000" w:type="dxa"/>
            <w:tcBorders>
              <w:top w:val="single" w:sz="4" w:space="0" w:color="auto"/>
              <w:left w:val="nil"/>
              <w:bottom w:val="single" w:sz="4" w:space="0" w:color="auto"/>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2014 г.</w:t>
            </w:r>
          </w:p>
        </w:tc>
        <w:tc>
          <w:tcPr>
            <w:tcW w:w="357" w:type="dxa"/>
            <w:tcBorders>
              <w:top w:val="nil"/>
              <w:left w:val="nil"/>
              <w:bottom w:val="nil"/>
              <w:right w:val="single" w:sz="4" w:space="0" w:color="auto"/>
            </w:tcBorders>
            <w:shd w:val="clear" w:color="FFFFFF" w:fill="FFFFFF"/>
            <w:noWrap/>
            <w:vAlign w:val="center"/>
            <w:hideMark/>
          </w:tcPr>
          <w:p w:rsidR="00483C26" w:rsidRDefault="00483C26">
            <w:pPr>
              <w:spacing w:after="0" w:line="240" w:lineRule="auto"/>
              <w:jc w:val="center"/>
              <w:rPr>
                <w:rFonts w:eastAsia="Times New Roman" w:cs="Calibri"/>
                <w:b/>
                <w:bCs/>
                <w:noProof/>
                <w:color w:val="000000"/>
                <w:sz w:val="16"/>
                <w:szCs w:val="16"/>
              </w:rPr>
            </w:pPr>
          </w:p>
        </w:tc>
        <w:tc>
          <w:tcPr>
            <w:tcW w:w="982" w:type="dxa"/>
            <w:tcBorders>
              <w:top w:val="single" w:sz="4" w:space="0" w:color="auto"/>
              <w:left w:val="nil"/>
              <w:bottom w:val="single" w:sz="4" w:space="0" w:color="auto"/>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2013 г.</w:t>
            </w:r>
          </w:p>
        </w:tc>
        <w:tc>
          <w:tcPr>
            <w:tcW w:w="357" w:type="dxa"/>
            <w:tcBorders>
              <w:top w:val="nil"/>
              <w:left w:val="nil"/>
              <w:bottom w:val="nil"/>
              <w:right w:val="single" w:sz="4" w:space="0" w:color="auto"/>
            </w:tcBorders>
            <w:shd w:val="clear" w:color="FFFFFF" w:fill="FFFFFF"/>
            <w:noWrap/>
            <w:vAlign w:val="center"/>
            <w:hideMark/>
          </w:tcPr>
          <w:p w:rsidR="00483C26" w:rsidRDefault="00483C26">
            <w:pPr>
              <w:spacing w:after="0" w:line="240" w:lineRule="auto"/>
              <w:jc w:val="center"/>
              <w:rPr>
                <w:rFonts w:eastAsia="Times New Roman" w:cs="Calibri"/>
                <w:b/>
                <w:bCs/>
                <w:noProof/>
                <w:color w:val="000000"/>
                <w:sz w:val="16"/>
                <w:szCs w:val="16"/>
              </w:rPr>
            </w:pPr>
          </w:p>
        </w:tc>
        <w:tc>
          <w:tcPr>
            <w:tcW w:w="982" w:type="dxa"/>
            <w:tcBorders>
              <w:top w:val="single" w:sz="4" w:space="0" w:color="auto"/>
              <w:left w:val="nil"/>
              <w:bottom w:val="single" w:sz="4" w:space="0" w:color="auto"/>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2014 г.</w:t>
            </w:r>
          </w:p>
        </w:tc>
        <w:tc>
          <w:tcPr>
            <w:tcW w:w="357" w:type="dxa"/>
            <w:tcBorders>
              <w:top w:val="nil"/>
              <w:left w:val="nil"/>
              <w:bottom w:val="nil"/>
              <w:right w:val="single" w:sz="4" w:space="0" w:color="auto"/>
            </w:tcBorders>
            <w:shd w:val="clear" w:color="FFFFFF" w:fill="FFFFFF"/>
            <w:noWrap/>
            <w:vAlign w:val="center"/>
            <w:hideMark/>
          </w:tcPr>
          <w:p w:rsidR="00483C26" w:rsidRDefault="00483C26">
            <w:pPr>
              <w:spacing w:after="0" w:line="240" w:lineRule="auto"/>
              <w:jc w:val="center"/>
              <w:rPr>
                <w:rFonts w:eastAsia="Times New Roman" w:cs="Calibri"/>
                <w:b/>
                <w:bCs/>
                <w:noProof/>
                <w:color w:val="000000"/>
                <w:sz w:val="16"/>
                <w:szCs w:val="16"/>
              </w:rPr>
            </w:pPr>
          </w:p>
        </w:tc>
        <w:tc>
          <w:tcPr>
            <w:tcW w:w="982" w:type="dxa"/>
            <w:tcBorders>
              <w:top w:val="single" w:sz="4" w:space="0" w:color="auto"/>
              <w:left w:val="nil"/>
              <w:bottom w:val="single" w:sz="4" w:space="0" w:color="auto"/>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2013 г.</w:t>
            </w:r>
          </w:p>
        </w:tc>
        <w:tc>
          <w:tcPr>
            <w:tcW w:w="357" w:type="dxa"/>
            <w:tcBorders>
              <w:top w:val="nil"/>
              <w:left w:val="nil"/>
              <w:bottom w:val="nil"/>
              <w:right w:val="single" w:sz="4" w:space="0" w:color="auto"/>
            </w:tcBorders>
            <w:shd w:val="clear" w:color="FFFFFF" w:fill="FFFFFF"/>
            <w:noWrap/>
            <w:vAlign w:val="center"/>
            <w:hideMark/>
          </w:tcPr>
          <w:p w:rsidR="00483C26" w:rsidRDefault="00483C26">
            <w:pPr>
              <w:spacing w:after="0" w:line="240" w:lineRule="auto"/>
              <w:jc w:val="center"/>
              <w:rPr>
                <w:rFonts w:eastAsia="Times New Roman" w:cs="Calibri"/>
                <w:b/>
                <w:bCs/>
                <w:noProof/>
                <w:color w:val="000000"/>
                <w:sz w:val="16"/>
                <w:szCs w:val="16"/>
              </w:rPr>
            </w:pPr>
          </w:p>
        </w:tc>
        <w:tc>
          <w:tcPr>
            <w:tcW w:w="875" w:type="dxa"/>
            <w:tcBorders>
              <w:top w:val="single" w:sz="4" w:space="0" w:color="auto"/>
              <w:left w:val="nil"/>
              <w:bottom w:val="single" w:sz="4" w:space="0" w:color="auto"/>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2014 г.</w:t>
            </w:r>
          </w:p>
        </w:tc>
        <w:tc>
          <w:tcPr>
            <w:tcW w:w="357" w:type="dxa"/>
            <w:tcBorders>
              <w:top w:val="nil"/>
              <w:left w:val="nil"/>
              <w:bottom w:val="nil"/>
              <w:right w:val="single" w:sz="4" w:space="0" w:color="auto"/>
            </w:tcBorders>
            <w:shd w:val="clear" w:color="FFFFFF" w:fill="FFFFFF"/>
            <w:noWrap/>
            <w:vAlign w:val="center"/>
            <w:hideMark/>
          </w:tcPr>
          <w:p w:rsidR="00483C26" w:rsidRDefault="00483C26">
            <w:pPr>
              <w:spacing w:after="0" w:line="240" w:lineRule="auto"/>
              <w:jc w:val="center"/>
              <w:rPr>
                <w:rFonts w:eastAsia="Times New Roman" w:cs="Calibri"/>
                <w:b/>
                <w:bCs/>
                <w:noProof/>
                <w:color w:val="000000"/>
                <w:sz w:val="16"/>
                <w:szCs w:val="16"/>
              </w:rPr>
            </w:pPr>
          </w:p>
        </w:tc>
        <w:tc>
          <w:tcPr>
            <w:tcW w:w="1105" w:type="dxa"/>
            <w:tcBorders>
              <w:top w:val="single" w:sz="4" w:space="0" w:color="auto"/>
              <w:left w:val="nil"/>
              <w:bottom w:val="single" w:sz="4" w:space="0" w:color="auto"/>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2013 г.</w:t>
            </w:r>
          </w:p>
        </w:tc>
        <w:tc>
          <w:tcPr>
            <w:tcW w:w="357" w:type="dxa"/>
            <w:tcBorders>
              <w:top w:val="nil"/>
              <w:left w:val="nil"/>
              <w:bottom w:val="nil"/>
              <w:right w:val="single" w:sz="4" w:space="0" w:color="auto"/>
            </w:tcBorders>
            <w:shd w:val="clear" w:color="FFFFFF" w:fill="FFFFFF"/>
            <w:noWrap/>
            <w:vAlign w:val="center"/>
            <w:hideMark/>
          </w:tcPr>
          <w:p w:rsidR="00483C26" w:rsidRDefault="00483C26">
            <w:pPr>
              <w:spacing w:after="0" w:line="240" w:lineRule="auto"/>
              <w:jc w:val="center"/>
              <w:rPr>
                <w:rFonts w:eastAsia="Times New Roman" w:cs="Calibri"/>
                <w:b/>
                <w:bCs/>
                <w:noProof/>
                <w:color w:val="000000"/>
                <w:sz w:val="16"/>
                <w:szCs w:val="16"/>
              </w:rPr>
            </w:pPr>
          </w:p>
        </w:tc>
        <w:tc>
          <w:tcPr>
            <w:tcW w:w="861" w:type="dxa"/>
            <w:tcBorders>
              <w:top w:val="single" w:sz="4" w:space="0" w:color="auto"/>
              <w:left w:val="nil"/>
              <w:bottom w:val="single" w:sz="4" w:space="0" w:color="auto"/>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2014 г.</w:t>
            </w:r>
          </w:p>
        </w:tc>
      </w:tr>
      <w:tr w:rsidR="00483C26">
        <w:trPr>
          <w:trHeight w:val="271"/>
          <w:jc w:val="center"/>
        </w:trPr>
        <w:tc>
          <w:tcPr>
            <w:tcW w:w="3179" w:type="dxa"/>
            <w:tcBorders>
              <w:top w:val="single" w:sz="4" w:space="0" w:color="000000"/>
              <w:left w:val="single" w:sz="4" w:space="0" w:color="000000"/>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Описание на категорията</w:t>
            </w:r>
          </w:p>
        </w:tc>
        <w:tc>
          <w:tcPr>
            <w:tcW w:w="253" w:type="dxa"/>
            <w:tcBorders>
              <w:top w:val="nil"/>
              <w:left w:val="nil"/>
              <w:bottom w:val="nil"/>
              <w:right w:val="nil"/>
            </w:tcBorders>
            <w:shd w:val="clear" w:color="FFFFFF" w:fill="FFFFFF"/>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nil"/>
            </w:tcBorders>
            <w:shd w:val="clear" w:color="FFFFFF" w:fill="C0C0C0"/>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Кокошки носачки — свободно отглеж</w:t>
            </w:r>
            <w:r>
              <w:rPr>
                <w:b/>
                <w:noProof/>
                <w:color w:val="000000"/>
                <w:sz w:val="16"/>
              </w:rPr>
              <w:t>дане</w:t>
            </w:r>
          </w:p>
        </w:tc>
        <w:tc>
          <w:tcPr>
            <w:tcW w:w="357" w:type="dxa"/>
            <w:tcBorders>
              <w:top w:val="nil"/>
              <w:left w:val="single" w:sz="4" w:space="0" w:color="auto"/>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 </w:t>
            </w:r>
          </w:p>
        </w:tc>
        <w:tc>
          <w:tcPr>
            <w:tcW w:w="1000" w:type="dxa"/>
            <w:tcBorders>
              <w:top w:val="nil"/>
              <w:left w:val="nil"/>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Кокошки носачки — свободно отглеждане</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 </w:t>
            </w:r>
          </w:p>
        </w:tc>
        <w:tc>
          <w:tcPr>
            <w:tcW w:w="982" w:type="dxa"/>
            <w:tcBorders>
              <w:top w:val="nil"/>
              <w:left w:val="nil"/>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Свине</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 </w:t>
            </w:r>
          </w:p>
        </w:tc>
        <w:tc>
          <w:tcPr>
            <w:tcW w:w="982" w:type="dxa"/>
            <w:tcBorders>
              <w:top w:val="nil"/>
              <w:left w:val="nil"/>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Свине</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 </w:t>
            </w:r>
          </w:p>
        </w:tc>
        <w:tc>
          <w:tcPr>
            <w:tcW w:w="982" w:type="dxa"/>
            <w:tcBorders>
              <w:top w:val="nil"/>
              <w:left w:val="nil"/>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Телета</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 </w:t>
            </w:r>
          </w:p>
        </w:tc>
        <w:tc>
          <w:tcPr>
            <w:tcW w:w="875" w:type="dxa"/>
            <w:tcBorders>
              <w:top w:val="nil"/>
              <w:left w:val="nil"/>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Телета</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 </w:t>
            </w:r>
          </w:p>
        </w:tc>
        <w:tc>
          <w:tcPr>
            <w:tcW w:w="1105" w:type="dxa"/>
            <w:tcBorders>
              <w:top w:val="nil"/>
              <w:left w:val="nil"/>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Домашни птици</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 </w:t>
            </w:r>
          </w:p>
        </w:tc>
        <w:tc>
          <w:tcPr>
            <w:tcW w:w="861" w:type="dxa"/>
            <w:tcBorders>
              <w:top w:val="nil"/>
              <w:left w:val="nil"/>
              <w:bottom w:val="single" w:sz="4" w:space="0" w:color="000000"/>
              <w:right w:val="single" w:sz="4" w:space="0" w:color="000000"/>
            </w:tcBorders>
            <w:shd w:val="clear" w:color="FFFFFF" w:fill="C0C0C0"/>
            <w:vAlign w:val="center"/>
            <w:hideMark/>
          </w:tcPr>
          <w:p w:rsidR="00483C26" w:rsidRDefault="000B73CA">
            <w:pPr>
              <w:spacing w:after="0" w:line="240" w:lineRule="auto"/>
              <w:jc w:val="center"/>
              <w:rPr>
                <w:rFonts w:eastAsia="Times New Roman" w:cs="Calibri"/>
                <w:b/>
                <w:bCs/>
                <w:noProof/>
                <w:color w:val="000000"/>
                <w:sz w:val="16"/>
                <w:szCs w:val="16"/>
              </w:rPr>
            </w:pPr>
            <w:r>
              <w:rPr>
                <w:b/>
                <w:noProof/>
                <w:color w:val="000000"/>
                <w:sz w:val="16"/>
              </w:rPr>
              <w:t>Домашни птици</w:t>
            </w:r>
          </w:p>
        </w:tc>
      </w:tr>
      <w:tr w:rsidR="00483C26">
        <w:trPr>
          <w:trHeight w:val="73"/>
          <w:jc w:val="center"/>
        </w:trPr>
        <w:tc>
          <w:tcPr>
            <w:tcW w:w="3179" w:type="dxa"/>
            <w:tcBorders>
              <w:top w:val="nil"/>
              <w:left w:val="nil"/>
              <w:bottom w:val="nil"/>
              <w:right w:val="nil"/>
            </w:tcBorders>
            <w:shd w:val="clear" w:color="FFFFFF" w:fill="FFFFFF"/>
            <w:noWrap/>
            <w:vAlign w:val="bottom"/>
            <w:hideMark/>
          </w:tcPr>
          <w:p w:rsidR="00483C26" w:rsidRDefault="000B73CA">
            <w:pPr>
              <w:spacing w:after="0" w:line="240" w:lineRule="auto"/>
              <w:rPr>
                <w:rFonts w:eastAsia="Times New Roman" w:cs="Calibri"/>
                <w:b/>
                <w:bCs/>
                <w:noProof/>
                <w:color w:val="000000"/>
                <w:sz w:val="16"/>
                <w:szCs w:val="16"/>
              </w:rPr>
            </w:pPr>
            <w:r>
              <w:rPr>
                <w:b/>
                <w:noProof/>
                <w:color w:val="000000"/>
                <w:sz w:val="16"/>
              </w:rPr>
              <w:t> </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single" w:sz="4" w:space="0" w:color="auto"/>
              <w:bottom w:val="nil"/>
              <w:right w:val="single" w:sz="4" w:space="0" w:color="auto"/>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r>
      <w:tr w:rsidR="00483C26">
        <w:trPr>
          <w:trHeight w:val="224"/>
          <w:jc w:val="center"/>
        </w:trPr>
        <w:tc>
          <w:tcPr>
            <w:tcW w:w="3179" w:type="dxa"/>
            <w:tcBorders>
              <w:top w:val="single" w:sz="4" w:space="0" w:color="auto"/>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Производствени обекти, предмет на инспекция</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6 731</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483C26">
            <w:pPr>
              <w:spacing w:after="0" w:line="240" w:lineRule="auto"/>
              <w:jc w:val="center"/>
              <w:rPr>
                <w:rFonts w:eastAsia="Times New Roman" w:cs="Calibri"/>
                <w:noProof/>
                <w:color w:val="000000"/>
                <w:sz w:val="16"/>
                <w:szCs w:val="16"/>
              </w:rPr>
            </w:pPr>
          </w:p>
        </w:tc>
        <w:tc>
          <w:tcPr>
            <w:tcW w:w="1000"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12 099</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483C26">
            <w:pPr>
              <w:spacing w:after="0" w:line="240" w:lineRule="auto"/>
              <w:jc w:val="center"/>
              <w:rPr>
                <w:rFonts w:eastAsia="Times New Roman" w:cs="Calibri"/>
                <w:noProof/>
                <w:color w:val="000000"/>
                <w:sz w:val="16"/>
                <w:szCs w:val="16"/>
              </w:rPr>
            </w:pP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685 6</w:t>
            </w:r>
            <w:r>
              <w:rPr>
                <w:noProof/>
                <w:color w:val="000000"/>
                <w:sz w:val="16"/>
              </w:rPr>
              <w:t>60</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483C26">
            <w:pPr>
              <w:spacing w:after="0" w:line="240" w:lineRule="auto"/>
              <w:jc w:val="center"/>
              <w:rPr>
                <w:rFonts w:eastAsia="Times New Roman" w:cs="Calibri"/>
                <w:noProof/>
                <w:color w:val="000000"/>
                <w:sz w:val="16"/>
                <w:szCs w:val="16"/>
              </w:rPr>
            </w:pP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767 042</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483C26">
            <w:pPr>
              <w:spacing w:after="0" w:line="240" w:lineRule="auto"/>
              <w:jc w:val="center"/>
              <w:rPr>
                <w:rFonts w:eastAsia="Times New Roman" w:cs="Calibri"/>
                <w:noProof/>
                <w:color w:val="000000"/>
                <w:sz w:val="16"/>
                <w:szCs w:val="16"/>
              </w:rPr>
            </w:pP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942 407</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483C26">
            <w:pPr>
              <w:spacing w:after="0" w:line="240" w:lineRule="auto"/>
              <w:jc w:val="center"/>
              <w:rPr>
                <w:rFonts w:eastAsia="Times New Roman" w:cs="Calibri"/>
                <w:noProof/>
                <w:color w:val="000000"/>
                <w:sz w:val="16"/>
                <w:szCs w:val="16"/>
              </w:rPr>
            </w:pPr>
          </w:p>
        </w:tc>
        <w:tc>
          <w:tcPr>
            <w:tcW w:w="875"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978 358</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483C26">
            <w:pPr>
              <w:spacing w:after="0" w:line="240" w:lineRule="auto"/>
              <w:jc w:val="center"/>
              <w:rPr>
                <w:rFonts w:eastAsia="Times New Roman" w:cs="Calibri"/>
                <w:noProof/>
                <w:color w:val="000000"/>
                <w:sz w:val="16"/>
                <w:szCs w:val="16"/>
              </w:rPr>
            </w:pPr>
          </w:p>
        </w:tc>
        <w:tc>
          <w:tcPr>
            <w:tcW w:w="1105"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111 115</w:t>
            </w:r>
          </w:p>
        </w:tc>
        <w:tc>
          <w:tcPr>
            <w:tcW w:w="357"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483C26">
            <w:pPr>
              <w:spacing w:after="0" w:line="240" w:lineRule="auto"/>
              <w:jc w:val="center"/>
              <w:rPr>
                <w:rFonts w:eastAsia="Times New Roman" w:cs="Calibri"/>
                <w:noProof/>
                <w:color w:val="000000"/>
                <w:sz w:val="16"/>
                <w:szCs w:val="16"/>
              </w:rPr>
            </w:pPr>
          </w:p>
        </w:tc>
        <w:tc>
          <w:tcPr>
            <w:tcW w:w="861"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183 920</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Инспектирани производствени обекти</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nil"/>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20,1 %</w:t>
            </w:r>
          </w:p>
        </w:tc>
        <w:tc>
          <w:tcPr>
            <w:tcW w:w="357" w:type="dxa"/>
            <w:tcBorders>
              <w:top w:val="nil"/>
              <w:left w:val="single" w:sz="4" w:space="0" w:color="auto"/>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17,3 %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4,3 %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4,7 %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4,1 %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5,3 %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4,1 %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Производствени обекти без несъответствие</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nil"/>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89,8 %</w:t>
            </w:r>
          </w:p>
        </w:tc>
        <w:tc>
          <w:tcPr>
            <w:tcW w:w="357" w:type="dxa"/>
            <w:tcBorders>
              <w:top w:val="nil"/>
              <w:left w:val="single" w:sz="4" w:space="0" w:color="auto"/>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91,8 %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80,8 %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82,2 %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87,2 %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84,7 %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82,7 %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83,5 %</w:t>
            </w:r>
          </w:p>
        </w:tc>
      </w:tr>
      <w:tr w:rsidR="00483C26">
        <w:trPr>
          <w:trHeight w:val="224"/>
          <w:jc w:val="center"/>
        </w:trPr>
        <w:tc>
          <w:tcPr>
            <w:tcW w:w="3179" w:type="dxa"/>
            <w:tcBorders>
              <w:top w:val="nil"/>
              <w:left w:val="nil"/>
              <w:bottom w:val="single" w:sz="4" w:space="0" w:color="auto"/>
              <w:right w:val="nil"/>
            </w:tcBorders>
            <w:shd w:val="clear" w:color="FFFFFF" w:fill="FFFFFF"/>
            <w:vAlign w:val="center"/>
            <w:hideMark/>
          </w:tcPr>
          <w:p w:rsidR="00483C26" w:rsidRDefault="000B73CA">
            <w:pPr>
              <w:spacing w:after="0" w:line="240" w:lineRule="auto"/>
              <w:rPr>
                <w:rFonts w:eastAsia="Times New Roman" w:cs="Calibri"/>
                <w:b/>
                <w:bCs/>
                <w:i/>
                <w:iCs/>
                <w:noProof/>
                <w:sz w:val="16"/>
                <w:szCs w:val="16"/>
              </w:rPr>
            </w:pPr>
            <w:r>
              <w:rPr>
                <w:b/>
                <w:i/>
                <w:noProof/>
                <w:sz w:val="16"/>
              </w:rPr>
              <w:t>Брой несъответствия</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FFFFFF"/>
                <w:sz w:val="16"/>
                <w:szCs w:val="16"/>
              </w:rPr>
            </w:pPr>
            <w:r>
              <w:rPr>
                <w:noProof/>
                <w:color w:val="FFFFFF"/>
                <w:sz w:val="16"/>
              </w:rPr>
              <w:t> </w:t>
            </w:r>
          </w:p>
        </w:tc>
        <w:tc>
          <w:tcPr>
            <w:tcW w:w="1000"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1000" w:type="dxa"/>
            <w:tcBorders>
              <w:top w:val="nil"/>
              <w:left w:val="nil"/>
              <w:bottom w:val="nil"/>
              <w:right w:val="nil"/>
            </w:tcBorders>
            <w:shd w:val="clear" w:color="auto" w:fill="auto"/>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982"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982" w:type="dxa"/>
            <w:tcBorders>
              <w:top w:val="nil"/>
              <w:left w:val="nil"/>
              <w:bottom w:val="nil"/>
              <w:right w:val="nil"/>
            </w:tcBorders>
            <w:shd w:val="clear" w:color="auto" w:fill="auto"/>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982"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FFFFFF"/>
                <w:sz w:val="16"/>
                <w:szCs w:val="16"/>
              </w:rPr>
            </w:pPr>
            <w:r>
              <w:rPr>
                <w:noProof/>
                <w:color w:val="FFFFFF"/>
                <w:sz w:val="16"/>
              </w:rPr>
              <w:t> </w:t>
            </w: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875"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FFFFFF"/>
                <w:sz w:val="14"/>
                <w:szCs w:val="14"/>
              </w:rPr>
            </w:pPr>
            <w:r>
              <w:rPr>
                <w:rFonts w:ascii="Arial" w:hAnsi="Arial"/>
                <w:noProof/>
                <w:color w:val="FFFFFF"/>
                <w:sz w:val="14"/>
              </w:rPr>
              <w:t> </w:t>
            </w: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1105"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FFFFFF"/>
                <w:sz w:val="16"/>
                <w:szCs w:val="16"/>
              </w:rPr>
            </w:pPr>
            <w:r>
              <w:rPr>
                <w:noProof/>
                <w:color w:val="FFFFFF"/>
                <w:sz w:val="16"/>
              </w:rPr>
              <w:t> </w:t>
            </w: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861"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FFFFFF"/>
                <w:sz w:val="14"/>
                <w:szCs w:val="14"/>
              </w:rPr>
            </w:pPr>
            <w:r>
              <w:rPr>
                <w:rFonts w:ascii="Arial" w:hAnsi="Arial"/>
                <w:noProof/>
                <w:color w:val="FFFFFF"/>
                <w:sz w:val="14"/>
              </w:rPr>
              <w:t>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Персонал</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5,6 %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5,6 %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2,9 %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3,1 %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2,3 %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10,5 %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Инспекция</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8,9 %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7,8 %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9,2</w:t>
            </w:r>
            <w:r>
              <w:rPr>
                <w:noProof/>
                <w:color w:val="000000"/>
                <w:sz w:val="16"/>
              </w:rPr>
              <w:t>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7,8 %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7,4 %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Записване</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22,7 %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27,1 %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15,5 %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13,5 %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17,4 %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12,8 %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44,5 %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30,5 %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Свободно движение</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4,1 %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14,2 %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14,3 %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3,4 %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4,4 %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Позволено пространство</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5,6 %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5,1 %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6,9 %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7 %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5,1 %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Сгради и настаняване</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78,3 %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84,6 %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27,5 %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28,5 %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40,9 %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39,3 %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36,4 %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37,3 %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Минимално осветление</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3,3 %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5,5 %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1,9 %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2,8 %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2,7 %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Подово покритие (за свине)</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9,3 %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0 %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Манипулируеми материали (за свине)</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8,4 %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0 %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Автоматично и механично оборудване</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6,6 %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5,6 %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4,7 %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4,2 %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3,3 %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17,9 %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14,6 %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Храна, вода и други вещества</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28,3 %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35 %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11,8 %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11,5 %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13,3 %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16,4 %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7,2 %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8,3 %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Хемоглобин (за телета)</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0,5 %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0 %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Храна от фибри (телета и свине майки)</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0 %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Наранявания</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1,9 %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0,3 %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0,4 %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Процедури на отглеждане (не за кокошки носачки)</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0 %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7,1 %</w:t>
            </w:r>
          </w:p>
        </w:tc>
      </w:tr>
      <w:tr w:rsidR="00483C26">
        <w:trPr>
          <w:trHeight w:val="224"/>
          <w:jc w:val="center"/>
        </w:trPr>
        <w:tc>
          <w:tcPr>
            <w:tcW w:w="3179" w:type="dxa"/>
            <w:tcBorders>
              <w:top w:val="nil"/>
              <w:left w:val="nil"/>
              <w:bottom w:val="single" w:sz="4" w:space="0" w:color="auto"/>
              <w:right w:val="nil"/>
            </w:tcBorders>
            <w:shd w:val="clear" w:color="FFFFFF" w:fill="FFFFFF"/>
            <w:vAlign w:val="center"/>
            <w:hideMark/>
          </w:tcPr>
          <w:p w:rsidR="00483C26" w:rsidRDefault="000B73CA">
            <w:pPr>
              <w:spacing w:after="0" w:line="240" w:lineRule="auto"/>
              <w:rPr>
                <w:rFonts w:eastAsia="Times New Roman" w:cs="Calibri"/>
                <w:b/>
                <w:bCs/>
                <w:i/>
                <w:iCs/>
                <w:noProof/>
                <w:sz w:val="16"/>
                <w:szCs w:val="16"/>
              </w:rPr>
            </w:pPr>
            <w:r>
              <w:rPr>
                <w:b/>
                <w:i/>
                <w:noProof/>
                <w:sz w:val="16"/>
              </w:rPr>
              <w:t>Брой категории на несъответствията</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FFFFFF"/>
                <w:sz w:val="16"/>
                <w:szCs w:val="16"/>
              </w:rPr>
            </w:pPr>
            <w:r>
              <w:rPr>
                <w:noProof/>
                <w:color w:val="FFFFFF"/>
                <w:sz w:val="16"/>
              </w:rPr>
              <w:t> </w:t>
            </w:r>
          </w:p>
        </w:tc>
        <w:tc>
          <w:tcPr>
            <w:tcW w:w="1000"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1000" w:type="dxa"/>
            <w:tcBorders>
              <w:top w:val="nil"/>
              <w:left w:val="nil"/>
              <w:bottom w:val="nil"/>
              <w:right w:val="nil"/>
            </w:tcBorders>
            <w:shd w:val="clear" w:color="auto" w:fill="auto"/>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982"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982" w:type="dxa"/>
            <w:tcBorders>
              <w:top w:val="nil"/>
              <w:left w:val="nil"/>
              <w:bottom w:val="nil"/>
              <w:right w:val="nil"/>
            </w:tcBorders>
            <w:shd w:val="clear" w:color="auto" w:fill="auto"/>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982"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FFFFFF"/>
                <w:sz w:val="16"/>
                <w:szCs w:val="16"/>
              </w:rPr>
            </w:pPr>
            <w:r>
              <w:rPr>
                <w:noProof/>
                <w:color w:val="FFFFFF"/>
                <w:sz w:val="16"/>
              </w:rPr>
              <w:t> </w:t>
            </w: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875"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FFFFFF"/>
                <w:sz w:val="14"/>
                <w:szCs w:val="14"/>
              </w:rPr>
            </w:pPr>
            <w:r>
              <w:rPr>
                <w:rFonts w:ascii="Arial" w:hAnsi="Arial"/>
                <w:noProof/>
                <w:color w:val="FFFFFF"/>
                <w:sz w:val="14"/>
              </w:rPr>
              <w:t> </w:t>
            </w: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1105"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FFFFFF"/>
                <w:sz w:val="16"/>
                <w:szCs w:val="16"/>
              </w:rPr>
            </w:pPr>
            <w:r>
              <w:rPr>
                <w:noProof/>
                <w:color w:val="FFFFFF"/>
                <w:sz w:val="16"/>
              </w:rPr>
              <w:t> </w:t>
            </w:r>
          </w:p>
        </w:tc>
        <w:tc>
          <w:tcPr>
            <w:tcW w:w="357" w:type="dxa"/>
            <w:tcBorders>
              <w:top w:val="nil"/>
              <w:left w:val="nil"/>
              <w:bottom w:val="nil"/>
              <w:right w:val="nil"/>
            </w:tcBorders>
            <w:shd w:val="clear" w:color="auto" w:fill="auto"/>
            <w:noWrap/>
            <w:vAlign w:val="bottom"/>
            <w:hideMark/>
          </w:tcPr>
          <w:p w:rsidR="00483C26" w:rsidRDefault="00483C26">
            <w:pPr>
              <w:spacing w:after="0" w:line="240" w:lineRule="auto"/>
              <w:rPr>
                <w:rFonts w:eastAsia="Times New Roman" w:cs="Calibri"/>
                <w:noProof/>
                <w:sz w:val="16"/>
                <w:szCs w:val="16"/>
              </w:rPr>
            </w:pPr>
          </w:p>
        </w:tc>
        <w:tc>
          <w:tcPr>
            <w:tcW w:w="861"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ascii="Arial" w:eastAsia="Times New Roman" w:hAnsi="Arial" w:cs="Arial"/>
                <w:noProof/>
                <w:color w:val="FFFFFF"/>
                <w:sz w:val="14"/>
                <w:szCs w:val="14"/>
              </w:rPr>
            </w:pPr>
            <w:r>
              <w:rPr>
                <w:rFonts w:ascii="Arial" w:hAnsi="Arial"/>
                <w:noProof/>
                <w:color w:val="FFFFFF"/>
                <w:sz w:val="14"/>
              </w:rPr>
              <w:t>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Категория А</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56,1 %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64,2 %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66,1 %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73,3 %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76,6 %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69,8 %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single" w:sz="4" w:space="0" w:color="000000"/>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73,2 %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Категория Б</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37,9 %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25,7 %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20,3 %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22,1 %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15,1 %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12,9 %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23,4 %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18,5 %</w:t>
            </w:r>
          </w:p>
        </w:tc>
      </w:tr>
      <w:tr w:rsidR="00483C26">
        <w:trPr>
          <w:trHeight w:val="224"/>
          <w:jc w:val="center"/>
        </w:trPr>
        <w:tc>
          <w:tcPr>
            <w:tcW w:w="3179" w:type="dxa"/>
            <w:tcBorders>
              <w:top w:val="nil"/>
              <w:left w:val="single" w:sz="4" w:space="0" w:color="auto"/>
              <w:bottom w:val="single" w:sz="4" w:space="0" w:color="auto"/>
              <w:right w:val="single" w:sz="4" w:space="0" w:color="auto"/>
            </w:tcBorders>
            <w:shd w:val="clear" w:color="FFFFFF" w:fill="C0C0C0"/>
            <w:noWrap/>
            <w:vAlign w:val="center"/>
            <w:hideMark/>
          </w:tcPr>
          <w:p w:rsidR="00483C26" w:rsidRDefault="000B73CA">
            <w:pPr>
              <w:spacing w:after="0" w:line="240" w:lineRule="auto"/>
              <w:rPr>
                <w:rFonts w:eastAsia="Times New Roman" w:cs="Calibri"/>
                <w:b/>
                <w:bCs/>
                <w:noProof/>
                <w:color w:val="000000"/>
                <w:sz w:val="16"/>
                <w:szCs w:val="16"/>
              </w:rPr>
            </w:pPr>
            <w:r>
              <w:rPr>
                <w:b/>
                <w:noProof/>
                <w:color w:val="000000"/>
                <w:sz w:val="16"/>
              </w:rPr>
              <w:t>Категория В</w:t>
            </w:r>
          </w:p>
        </w:tc>
        <w:tc>
          <w:tcPr>
            <w:tcW w:w="253" w:type="dxa"/>
            <w:tcBorders>
              <w:top w:val="nil"/>
              <w:left w:val="nil"/>
              <w:bottom w:val="nil"/>
              <w:right w:val="nil"/>
            </w:tcBorders>
            <w:shd w:val="clear" w:color="FFFFFF" w:fill="FFFFFF"/>
            <w:noWrap/>
            <w:vAlign w:val="bottom"/>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single" w:sz="4" w:space="0" w:color="000000"/>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6,1 %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000"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10,3 %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15,6 %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11,8 %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982"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11,5 %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7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10,5 %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1105"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6,8 %</w:t>
            </w:r>
          </w:p>
        </w:tc>
        <w:tc>
          <w:tcPr>
            <w:tcW w:w="357" w:type="dxa"/>
            <w:tcBorders>
              <w:top w:val="nil"/>
              <w:left w:val="nil"/>
              <w:bottom w:val="nil"/>
              <w:right w:val="single" w:sz="4" w:space="0" w:color="auto"/>
            </w:tcBorders>
            <w:shd w:val="clear" w:color="FFFFFF" w:fill="FFFFFF"/>
            <w:noWrap/>
            <w:vAlign w:val="center"/>
            <w:hideMark/>
          </w:tcPr>
          <w:p w:rsidR="00483C26" w:rsidRDefault="000B73CA">
            <w:pPr>
              <w:spacing w:after="0" w:line="240" w:lineRule="auto"/>
              <w:jc w:val="center"/>
              <w:rPr>
                <w:rFonts w:eastAsia="Times New Roman" w:cs="Calibri"/>
                <w:noProof/>
                <w:color w:val="000000"/>
                <w:sz w:val="16"/>
                <w:szCs w:val="16"/>
              </w:rPr>
            </w:pPr>
            <w:r>
              <w:rPr>
                <w:noProof/>
                <w:color w:val="000000"/>
                <w:sz w:val="16"/>
              </w:rPr>
              <w:t> </w:t>
            </w:r>
          </w:p>
        </w:tc>
        <w:tc>
          <w:tcPr>
            <w:tcW w:w="861" w:type="dxa"/>
            <w:tcBorders>
              <w:top w:val="nil"/>
              <w:left w:val="nil"/>
              <w:bottom w:val="single" w:sz="4" w:space="0" w:color="000000"/>
              <w:right w:val="single" w:sz="4" w:space="0" w:color="000000"/>
            </w:tcBorders>
            <w:shd w:val="clear" w:color="FFFFFF" w:fill="FFFFFF"/>
            <w:noWrap/>
            <w:vAlign w:val="center"/>
            <w:hideMark/>
          </w:tcPr>
          <w:p w:rsidR="00483C26" w:rsidRDefault="000B73CA">
            <w:pPr>
              <w:spacing w:after="0" w:line="240" w:lineRule="auto"/>
              <w:jc w:val="center"/>
              <w:rPr>
                <w:rFonts w:ascii="Arial" w:eastAsia="Times New Roman" w:hAnsi="Arial" w:cs="Arial"/>
                <w:noProof/>
                <w:color w:val="000000"/>
                <w:sz w:val="14"/>
                <w:szCs w:val="14"/>
              </w:rPr>
            </w:pPr>
            <w:r>
              <w:rPr>
                <w:rFonts w:ascii="Arial" w:hAnsi="Arial"/>
                <w:noProof/>
                <w:color w:val="000000"/>
                <w:sz w:val="14"/>
              </w:rPr>
              <w:t>8,3 %</w:t>
            </w:r>
          </w:p>
        </w:tc>
      </w:tr>
    </w:tbl>
    <w:p w:rsidR="00483C26" w:rsidRDefault="00483C26">
      <w:pPr>
        <w:jc w:val="center"/>
        <w:rPr>
          <w:rFonts w:ascii="Times New Roman" w:hAnsi="Times New Roman"/>
          <w:b/>
          <w:noProof/>
          <w:sz w:val="24"/>
          <w:szCs w:val="24"/>
        </w:rPr>
      </w:pPr>
    </w:p>
    <w:p w:rsidR="00483C26" w:rsidRDefault="00483C26">
      <w:pPr>
        <w:jc w:val="center"/>
        <w:rPr>
          <w:rFonts w:ascii="Times New Roman" w:hAnsi="Times New Roman"/>
          <w:noProof/>
          <w:sz w:val="24"/>
          <w:szCs w:val="24"/>
        </w:rPr>
        <w:sectPr w:rsidR="00483C26">
          <w:headerReference w:type="even" r:id="rId29"/>
          <w:headerReference w:type="default" r:id="rId30"/>
          <w:footerReference w:type="even" r:id="rId31"/>
          <w:footerReference w:type="default" r:id="rId32"/>
          <w:headerReference w:type="first" r:id="rId33"/>
          <w:footerReference w:type="first" r:id="rId34"/>
          <w:pgSz w:w="16838" w:h="11906" w:orient="landscape"/>
          <w:pgMar w:top="1418" w:right="1418" w:bottom="1418" w:left="1418" w:header="709" w:footer="709" w:gutter="0"/>
          <w:cols w:space="720"/>
          <w:docGrid w:linePitch="360"/>
        </w:sectPr>
      </w:pPr>
    </w:p>
    <w:p w:rsidR="00483C26" w:rsidRDefault="000B73CA">
      <w:pPr>
        <w:spacing w:after="0" w:line="240" w:lineRule="auto"/>
        <w:rPr>
          <w:rFonts w:ascii="Times New Roman" w:hAnsi="Times New Roman"/>
          <w:b/>
          <w:noProof/>
          <w:sz w:val="24"/>
          <w:szCs w:val="24"/>
        </w:rPr>
      </w:pPr>
      <w:r>
        <w:rPr>
          <w:noProof/>
        </w:rPr>
        <w:br w:type="page"/>
      </w:r>
    </w:p>
    <w:p w:rsidR="00483C26" w:rsidRDefault="00483C26">
      <w:pPr>
        <w:jc w:val="center"/>
        <w:rPr>
          <w:rFonts w:ascii="Times New Roman" w:hAnsi="Times New Roman"/>
          <w:b/>
          <w:noProof/>
          <w:sz w:val="24"/>
          <w:szCs w:val="24"/>
        </w:rPr>
        <w:sectPr w:rsidR="00483C26">
          <w:headerReference w:type="even" r:id="rId35"/>
          <w:headerReference w:type="default" r:id="rId36"/>
          <w:footerReference w:type="even" r:id="rId37"/>
          <w:footerReference w:type="default" r:id="rId38"/>
          <w:headerReference w:type="first" r:id="rId39"/>
          <w:footerReference w:type="first" r:id="rId40"/>
          <w:type w:val="continuous"/>
          <w:pgSz w:w="16838" w:h="11906" w:orient="landscape"/>
          <w:pgMar w:top="1417" w:right="1417" w:bottom="1417" w:left="1417" w:header="708" w:footer="708" w:gutter="0"/>
          <w:cols w:space="720"/>
          <w:docGrid w:linePitch="360"/>
        </w:sectPr>
      </w:pPr>
    </w:p>
    <w:p w:rsidR="00483C26" w:rsidRDefault="000B73CA">
      <w:pPr>
        <w:jc w:val="center"/>
        <w:rPr>
          <w:rFonts w:ascii="Times New Roman" w:hAnsi="Times New Roman"/>
          <w:b/>
          <w:noProof/>
          <w:sz w:val="24"/>
          <w:szCs w:val="24"/>
        </w:rPr>
      </w:pPr>
      <w:r>
        <w:rPr>
          <w:rFonts w:ascii="Times New Roman" w:hAnsi="Times New Roman"/>
          <w:b/>
          <w:noProof/>
          <w:sz w:val="24"/>
        </w:rPr>
        <w:t>Приложение II</w:t>
      </w:r>
    </w:p>
    <w:p w:rsidR="00483C26" w:rsidRDefault="000B73CA">
      <w:pPr>
        <w:jc w:val="center"/>
        <w:rPr>
          <w:rFonts w:ascii="Times New Roman" w:hAnsi="Times New Roman"/>
          <w:b/>
          <w:noProof/>
          <w:sz w:val="24"/>
          <w:szCs w:val="24"/>
        </w:rPr>
      </w:pPr>
      <w:r>
        <w:rPr>
          <w:rFonts w:ascii="Times New Roman" w:hAnsi="Times New Roman"/>
          <w:b/>
          <w:noProof/>
          <w:sz w:val="24"/>
        </w:rPr>
        <w:t xml:space="preserve">Преглед на законодателството в областта на хуманното отношение към животните, което е приложимо по отношение на </w:t>
      </w:r>
      <w:r>
        <w:rPr>
          <w:rFonts w:ascii="Times New Roman" w:hAnsi="Times New Roman"/>
          <w:b/>
          <w:noProof/>
          <w:sz w:val="24"/>
        </w:rPr>
        <w:t>положението в стопанствата</w:t>
      </w:r>
    </w:p>
    <w:p w:rsidR="00483C26" w:rsidRDefault="00483C26">
      <w:pPr>
        <w:jc w:val="both"/>
        <w:rPr>
          <w:rFonts w:ascii="Times New Roman" w:hAnsi="Times New Roman"/>
          <w:noProof/>
          <w:sz w:val="24"/>
          <w:szCs w:val="24"/>
        </w:rPr>
      </w:pPr>
    </w:p>
    <w:p w:rsidR="00483C26" w:rsidRDefault="000B73CA">
      <w:pPr>
        <w:jc w:val="both"/>
        <w:rPr>
          <w:rFonts w:ascii="Times New Roman" w:hAnsi="Times New Roman"/>
          <w:noProof/>
          <w:sz w:val="24"/>
          <w:szCs w:val="24"/>
        </w:rPr>
      </w:pPr>
      <w:r>
        <w:rPr>
          <w:rFonts w:ascii="Times New Roman" w:hAnsi="Times New Roman"/>
          <w:noProof/>
          <w:sz w:val="24"/>
        </w:rPr>
        <w:t>Директива 98/58/ЕО на Съвета от 20 юли 1998 г. относно защитата на животни, отглеждани за селскостопански цели, ОВ L 221, 8.8.1998 г., стр. 23;</w:t>
      </w:r>
    </w:p>
    <w:p w:rsidR="00483C26" w:rsidRDefault="000B73CA">
      <w:pPr>
        <w:jc w:val="both"/>
        <w:rPr>
          <w:rFonts w:ascii="Times New Roman" w:hAnsi="Times New Roman"/>
          <w:noProof/>
          <w:sz w:val="24"/>
          <w:szCs w:val="24"/>
        </w:rPr>
      </w:pPr>
      <w:r>
        <w:rPr>
          <w:rFonts w:ascii="Times New Roman" w:hAnsi="Times New Roman"/>
          <w:noProof/>
          <w:sz w:val="24"/>
        </w:rPr>
        <w:t xml:space="preserve">Директива 1999/74/ЕО на Съвета от 19 юли 1999 г. за установяване на минимални изисквания за защитата на кокошки носачки, </w:t>
      </w:r>
      <w:r>
        <w:rPr>
          <w:rFonts w:ascii="Times New Roman" w:hAnsi="Times New Roman"/>
          <w:noProof/>
        </w:rPr>
        <w:t>ОВ L 203, 3.8.1999 г., стр. 53;</w:t>
      </w:r>
    </w:p>
    <w:p w:rsidR="00483C26" w:rsidRDefault="000B73CA">
      <w:pPr>
        <w:jc w:val="both"/>
        <w:rPr>
          <w:rFonts w:ascii="Times New Roman" w:hAnsi="Times New Roman"/>
          <w:noProof/>
          <w:sz w:val="24"/>
          <w:szCs w:val="24"/>
        </w:rPr>
      </w:pPr>
      <w:r>
        <w:rPr>
          <w:rFonts w:ascii="Times New Roman" w:hAnsi="Times New Roman"/>
          <w:noProof/>
          <w:sz w:val="24"/>
        </w:rPr>
        <w:t>Директива 2007/43/ЕО на Съвета от 28 юни 2007 г. за определяне на минимални правила за защита на пилета</w:t>
      </w:r>
      <w:r>
        <w:rPr>
          <w:rFonts w:ascii="Times New Roman" w:hAnsi="Times New Roman"/>
          <w:noProof/>
          <w:sz w:val="24"/>
        </w:rPr>
        <w:t xml:space="preserve">та, отглеждани за производство на месо, </w:t>
      </w:r>
      <w:r>
        <w:rPr>
          <w:rFonts w:ascii="Times New Roman" w:hAnsi="Times New Roman"/>
          <w:noProof/>
        </w:rPr>
        <w:t>ОВ L 182, 12.7.2007 г., стр. 19;</w:t>
      </w:r>
    </w:p>
    <w:p w:rsidR="00483C26" w:rsidRDefault="000B73CA">
      <w:pPr>
        <w:jc w:val="both"/>
        <w:rPr>
          <w:rFonts w:ascii="Times New Roman" w:hAnsi="Times New Roman"/>
          <w:noProof/>
          <w:sz w:val="24"/>
          <w:szCs w:val="24"/>
        </w:rPr>
      </w:pPr>
      <w:r>
        <w:rPr>
          <w:rFonts w:ascii="Times New Roman" w:hAnsi="Times New Roman"/>
          <w:noProof/>
          <w:sz w:val="24"/>
        </w:rPr>
        <w:t xml:space="preserve">Директива 2008/119/ЕО на Съвета от 18 декември 2008 г. за определяне на минимални стандарти за защита на телетата </w:t>
      </w:r>
      <w:r>
        <w:rPr>
          <w:rFonts w:ascii="Times New Roman" w:hAnsi="Times New Roman"/>
          <w:noProof/>
        </w:rPr>
        <w:t>(кодифицирана версия), ОВ L 10, 15.1.2009 г., стр. 7;</w:t>
      </w:r>
    </w:p>
    <w:p w:rsidR="00483C26" w:rsidRDefault="000B73CA">
      <w:pPr>
        <w:jc w:val="both"/>
        <w:rPr>
          <w:rFonts w:ascii="Times New Roman" w:hAnsi="Times New Roman"/>
          <w:noProof/>
          <w:sz w:val="24"/>
          <w:szCs w:val="24"/>
        </w:rPr>
      </w:pPr>
      <w:r>
        <w:rPr>
          <w:rFonts w:ascii="Times New Roman" w:hAnsi="Times New Roman"/>
          <w:noProof/>
          <w:sz w:val="24"/>
        </w:rPr>
        <w:t>Директива 2008/</w:t>
      </w:r>
      <w:r>
        <w:rPr>
          <w:rFonts w:ascii="Times New Roman" w:hAnsi="Times New Roman"/>
          <w:noProof/>
          <w:sz w:val="24"/>
        </w:rPr>
        <w:t xml:space="preserve">120/ЕО на Съвета от 18 декември 2008 г. относно определяне на минималните стандарти за защита на свинете </w:t>
      </w:r>
      <w:r>
        <w:rPr>
          <w:rFonts w:ascii="Times New Roman" w:hAnsi="Times New Roman"/>
          <w:noProof/>
        </w:rPr>
        <w:t>(кодифицирана версия), ОВ L 47, 18.2.2009 г., стр. 5;</w:t>
      </w:r>
    </w:p>
    <w:p w:rsidR="00483C26" w:rsidRDefault="000B73CA">
      <w:pPr>
        <w:jc w:val="both"/>
        <w:rPr>
          <w:rFonts w:ascii="Times New Roman" w:hAnsi="Times New Roman"/>
          <w:noProof/>
          <w:sz w:val="24"/>
          <w:szCs w:val="24"/>
        </w:rPr>
      </w:pPr>
      <w:r>
        <w:rPr>
          <w:rFonts w:ascii="Times New Roman" w:hAnsi="Times New Roman"/>
          <w:noProof/>
          <w:sz w:val="24"/>
        </w:rPr>
        <w:t>Директива 2002/4/ЕО на Комисията от 30 януари 2002 г. относно регистрацията на предприятия за отг</w:t>
      </w:r>
      <w:r>
        <w:rPr>
          <w:rFonts w:ascii="Times New Roman" w:hAnsi="Times New Roman"/>
          <w:noProof/>
          <w:sz w:val="24"/>
        </w:rPr>
        <w:t>леждане на кокошки носачки, предмет на Директива 1999/74/EО на Съвета, ОВ L 30, 31.1.2002 г., стр. 44;</w:t>
      </w:r>
    </w:p>
    <w:p w:rsidR="00483C26" w:rsidRDefault="000B73CA">
      <w:pPr>
        <w:jc w:val="both"/>
        <w:rPr>
          <w:rFonts w:ascii="Times New Roman" w:hAnsi="Times New Roman"/>
          <w:noProof/>
          <w:sz w:val="24"/>
          <w:szCs w:val="24"/>
        </w:rPr>
      </w:pPr>
      <w:r>
        <w:rPr>
          <w:rFonts w:ascii="Times New Roman" w:hAnsi="Times New Roman"/>
          <w:noProof/>
          <w:sz w:val="24"/>
        </w:rPr>
        <w:t>Решение 2006/778/ЕО на Комисията от 14 ноември 2006 г. относно минималните изисквания за събиране на информация по време на инспекциите на производствени</w:t>
      </w:r>
      <w:r>
        <w:rPr>
          <w:rFonts w:ascii="Times New Roman" w:hAnsi="Times New Roman"/>
          <w:noProof/>
          <w:sz w:val="24"/>
        </w:rPr>
        <w:t>те обекти относно определени животни, отглеждани за стопански цели, ОВ L 314, 15.11.2006 г., стр. 39.</w:t>
      </w:r>
    </w:p>
    <w:sectPr w:rsidR="00483C26">
      <w:headerReference w:type="even" r:id="rId41"/>
      <w:headerReference w:type="default" r:id="rId42"/>
      <w:footerReference w:type="even" r:id="rId43"/>
      <w:footerReference w:type="default" r:id="rId44"/>
      <w:headerReference w:type="first" r:id="rId45"/>
      <w:footerReference w:type="first" r:id="rId46"/>
      <w:type w:val="continuous"/>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3C26" w:rsidRDefault="000B73CA">
      <w:pPr>
        <w:spacing w:after="0" w:line="240" w:lineRule="auto"/>
      </w:pPr>
      <w:r>
        <w:separator/>
      </w:r>
    </w:p>
  </w:endnote>
  <w:endnote w:type="continuationSeparator" w:id="0">
    <w:p w:rsidR="00483C26" w:rsidRDefault="000B7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0B73CA">
    <w:pPr>
      <w:pStyle w:val="Footer"/>
      <w:jc w:val="center"/>
    </w:pPr>
    <w:r>
      <w:fldChar w:fldCharType="begin"/>
    </w:r>
    <w:r>
      <w:instrText xml:space="preserve"> PAGE   \* MERGEFORMAT </w:instrText>
    </w:r>
    <w:r>
      <w:fldChar w:fldCharType="separate"/>
    </w:r>
    <w:r>
      <w:rPr>
        <w:noProof/>
      </w:rPr>
      <w:t>14</w:t>
    </w:r>
    <w:r>
      <w:fldChar w:fldCharType="end"/>
    </w:r>
  </w:p>
  <w:p w:rsidR="00483C26" w:rsidRDefault="00483C2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0B73CA">
    <w:pPr>
      <w:pStyle w:val="Footer"/>
      <w:jc w:val="center"/>
    </w:pPr>
    <w:r>
      <w:fldChar w:fldCharType="begin"/>
    </w:r>
    <w:r>
      <w:instrText xml:space="preserve"> PAGE   \* MERGEFORMAT </w:instrText>
    </w:r>
    <w:r>
      <w:fldChar w:fldCharType="separate"/>
    </w:r>
    <w:r>
      <w:rPr>
        <w:noProof/>
      </w:rPr>
      <w:t>1</w:t>
    </w:r>
    <w:r>
      <w:fldChar w:fldCharType="end"/>
    </w:r>
  </w:p>
  <w:p w:rsidR="00483C26" w:rsidRDefault="00483C2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0B73CA">
    <w:pPr>
      <w:pStyle w:val="Footer"/>
      <w:jc w:val="center"/>
    </w:pPr>
    <w:r>
      <w:fldChar w:fldCharType="begin"/>
    </w:r>
    <w:r>
      <w:instrText xml:space="preserve"> PAGE   \* MERGEFORMAT </w:instrText>
    </w:r>
    <w:r>
      <w:fldChar w:fldCharType="separate"/>
    </w:r>
    <w:r>
      <w:rPr>
        <w:noProof/>
      </w:rPr>
      <w:t>15</w:t>
    </w:r>
    <w:r>
      <w:fldChar w:fldCharType="end"/>
    </w:r>
  </w:p>
  <w:p w:rsidR="00483C26" w:rsidRDefault="00483C2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0B73CA">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BG</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0B73CA">
    <w:pPr>
      <w:pStyle w:val="Footer"/>
      <w:jc w:val="center"/>
    </w:pPr>
    <w:r>
      <w:fldChar w:fldCharType="begin"/>
    </w:r>
    <w:r>
      <w:instrText xml:space="preserve"> PAGE   \* MERGEFORMAT </w:instrText>
    </w:r>
    <w:r>
      <w:fldChar w:fldCharType="separate"/>
    </w:r>
    <w:r>
      <w:rPr>
        <w:noProof/>
      </w:rPr>
      <w:t>9</w:t>
    </w:r>
    <w:r>
      <w:fldChar w:fldCharType="end"/>
    </w:r>
  </w:p>
  <w:p w:rsidR="00483C26" w:rsidRDefault="00483C2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0B73CA">
    <w:pPr>
      <w:pStyle w:val="Footer"/>
      <w:jc w:val="center"/>
    </w:pPr>
    <w:r>
      <w:fldChar w:fldCharType="begin"/>
    </w:r>
    <w:r>
      <w:instrText xml:space="preserve"> PAGE   \* MERGEFORMAT </w:instrText>
    </w:r>
    <w:r>
      <w:fldChar w:fldCharType="separate"/>
    </w:r>
    <w:r>
      <w:rPr>
        <w:noProof/>
      </w:rPr>
      <w:t>10</w:t>
    </w:r>
    <w:r>
      <w:fldChar w:fldCharType="end"/>
    </w:r>
  </w:p>
  <w:p w:rsidR="00483C26" w:rsidRDefault="00483C2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3C26" w:rsidRDefault="000B73CA">
      <w:pPr>
        <w:spacing w:after="0" w:line="240" w:lineRule="auto"/>
      </w:pPr>
      <w:r>
        <w:separator/>
      </w:r>
    </w:p>
  </w:footnote>
  <w:footnote w:type="continuationSeparator" w:id="0">
    <w:p w:rsidR="00483C26" w:rsidRDefault="000B73CA">
      <w:pPr>
        <w:spacing w:after="0" w:line="240" w:lineRule="auto"/>
      </w:pPr>
      <w:r>
        <w:continuationSeparator/>
      </w:r>
    </w:p>
  </w:footnote>
  <w:footnote w:id="1">
    <w:p w:rsidR="00483C26" w:rsidRDefault="000B73CA">
      <w:pPr>
        <w:pStyle w:val="FootnoteText"/>
        <w:spacing w:after="0" w:line="240" w:lineRule="auto"/>
        <w:ind w:left="709" w:hanging="709"/>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Решение 2006/778/ЕО на Комисията от 14 ноември 2006 г. относно минималните изисквания за събиране на информация </w:t>
      </w:r>
      <w:r>
        <w:rPr>
          <w:rFonts w:ascii="Times New Roman" w:hAnsi="Times New Roman"/>
        </w:rPr>
        <w:t>по време на инспекциите на производствените обекти относно определени животни, отглеждани за стопански цели, ОВ L 314, 15.11.2006 г., стр. 39.</w:t>
      </w:r>
    </w:p>
  </w:footnote>
  <w:footnote w:id="2">
    <w:p w:rsidR="00483C26" w:rsidRDefault="000B73CA">
      <w:pPr>
        <w:pStyle w:val="FootnoteText"/>
        <w:spacing w:after="0" w:line="240" w:lineRule="auto"/>
        <w:ind w:left="709" w:hanging="709"/>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COM(2012) 6 окончателен/2.</w:t>
      </w:r>
    </w:p>
  </w:footnote>
  <w:footnote w:id="3">
    <w:p w:rsidR="00483C26" w:rsidRDefault="000B73CA">
      <w:pPr>
        <w:pStyle w:val="FootnoteText"/>
        <w:spacing w:after="0" w:line="240" w:lineRule="auto"/>
        <w:ind w:left="709" w:hanging="709"/>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ОВ L 221, 8.</w:t>
      </w:r>
      <w:proofErr w:type="spellStart"/>
      <w:r>
        <w:rPr>
          <w:rFonts w:ascii="Times New Roman" w:hAnsi="Times New Roman"/>
        </w:rPr>
        <w:t>8</w:t>
      </w:r>
      <w:proofErr w:type="spellEnd"/>
      <w:r>
        <w:rPr>
          <w:rFonts w:ascii="Times New Roman" w:hAnsi="Times New Roman"/>
        </w:rPr>
        <w:t>.1998 г., стр. 23.</w:t>
      </w:r>
    </w:p>
  </w:footnote>
  <w:footnote w:id="4">
    <w:p w:rsidR="00483C26" w:rsidRDefault="000B73CA">
      <w:pPr>
        <w:pStyle w:val="FootnoteText"/>
        <w:spacing w:after="0" w:line="240" w:lineRule="auto"/>
        <w:ind w:left="709" w:hanging="709"/>
        <w:jc w:val="both"/>
      </w:pPr>
      <w:r>
        <w:rPr>
          <w:rStyle w:val="FootnoteReference"/>
        </w:rPr>
        <w:footnoteRef/>
      </w:r>
      <w:r>
        <w:t xml:space="preserve"> </w:t>
      </w:r>
      <w:r>
        <w:tab/>
      </w:r>
      <w:r>
        <w:rPr>
          <w:rFonts w:ascii="Times New Roman" w:hAnsi="Times New Roman"/>
        </w:rPr>
        <w:t>Регламент (ЕО) № 882/2004 от 29 април 2004 г.</w:t>
      </w:r>
      <w:r>
        <w:rPr>
          <w:rFonts w:ascii="Times New Roman" w:hAnsi="Times New Roman"/>
        </w:rPr>
        <w:t xml:space="preserve"> относно официалния контрол, провеждан с цел осигуряване на проверка на съответствието със законодателството в областта на фуражите и храните и правилата за опазване здравето на животните и хуманното отношение към животните. ОВ L 165, 30.4.2004 г., стр. 1.</w:t>
      </w:r>
    </w:p>
  </w:footnote>
  <w:footnote w:id="5">
    <w:p w:rsidR="00483C26" w:rsidRDefault="000B73CA">
      <w:pPr>
        <w:pStyle w:val="FootnoteText"/>
        <w:spacing w:after="0" w:line="240" w:lineRule="auto"/>
        <w:ind w:left="709" w:hanging="709"/>
        <w:jc w:val="both"/>
      </w:pPr>
      <w:r>
        <w:rPr>
          <w:rStyle w:val="FootnoteReference"/>
        </w:rPr>
        <w:footnoteRef/>
      </w:r>
      <w:r>
        <w:t xml:space="preserve"> </w:t>
      </w:r>
      <w:r>
        <w:tab/>
      </w:r>
      <w:r>
        <w:rPr>
          <w:rFonts w:ascii="Times New Roman" w:hAnsi="Times New Roman"/>
        </w:rPr>
        <w:t>Някои данни от тези доклади са екстраполирани и представени в приложение I.</w:t>
      </w:r>
    </w:p>
  </w:footnote>
  <w:footnote w:id="6">
    <w:p w:rsidR="00483C26" w:rsidRDefault="000B73CA">
      <w:pPr>
        <w:pStyle w:val="FootnoteText"/>
        <w:spacing w:after="0" w:line="240" w:lineRule="auto"/>
        <w:ind w:left="709" w:hanging="709"/>
        <w:jc w:val="both"/>
      </w:pPr>
      <w:r>
        <w:rPr>
          <w:rStyle w:val="FootnoteReference"/>
        </w:rPr>
        <w:footnoteRef/>
      </w:r>
      <w:r>
        <w:t xml:space="preserve"> </w:t>
      </w:r>
      <w:r>
        <w:tab/>
      </w:r>
      <w:r>
        <w:rPr>
          <w:rFonts w:ascii="Times New Roman" w:hAnsi="Times New Roman"/>
        </w:rPr>
        <w:t>Съобщение на Комисията до Съвета и до Европейския парламент — Осъвременяване на начина, по който се осъществяват контактите с жалбоподателя във връзка с прилагането на закон</w:t>
      </w:r>
      <w:r>
        <w:rPr>
          <w:rFonts w:ascii="Times New Roman" w:hAnsi="Times New Roman"/>
        </w:rPr>
        <w:t>одателството на Съюза, COM(2012) 154 </w:t>
      </w:r>
      <w:proofErr w:type="spellStart"/>
      <w:r>
        <w:rPr>
          <w:rFonts w:ascii="Times New Roman" w:hAnsi="Times New Roman"/>
        </w:rPr>
        <w:t>final</w:t>
      </w:r>
      <w:proofErr w:type="spellEnd"/>
      <w:r>
        <w:rPr>
          <w:rFonts w:ascii="Times New Roman" w:hAnsi="Times New Roman"/>
        </w:rPr>
        <w:t>.</w:t>
      </w:r>
    </w:p>
  </w:footnote>
  <w:footnote w:id="7">
    <w:p w:rsidR="00483C26" w:rsidRDefault="000B73CA">
      <w:pPr>
        <w:pStyle w:val="FootnoteText"/>
        <w:spacing w:after="0" w:line="240" w:lineRule="auto"/>
        <w:ind w:left="709" w:hanging="709"/>
        <w:jc w:val="both"/>
        <w:rPr>
          <w:rFonts w:ascii="Times New Roman" w:hAnsi="Times New Roman"/>
        </w:rPr>
      </w:pPr>
      <w:r>
        <w:rPr>
          <w:rStyle w:val="FootnoteReference"/>
        </w:rPr>
        <w:footnoteRef/>
      </w:r>
      <w:r>
        <w:t xml:space="preserve"> </w:t>
      </w:r>
      <w:r>
        <w:tab/>
      </w:r>
      <w:r>
        <w:rPr>
          <w:rFonts w:ascii="Times New Roman" w:hAnsi="Times New Roman"/>
        </w:rPr>
        <w:t xml:space="preserve">Земеделските стопани може да получават директни плащания, при условие че поддържат земята си в добро земеделско състояние и спазват стандартите за обществено здраве, </w:t>
      </w:r>
      <w:proofErr w:type="spellStart"/>
      <w:r>
        <w:rPr>
          <w:rFonts w:ascii="Times New Roman" w:hAnsi="Times New Roman"/>
        </w:rPr>
        <w:t>здраве</w:t>
      </w:r>
      <w:proofErr w:type="spellEnd"/>
      <w:r>
        <w:rPr>
          <w:rFonts w:ascii="Times New Roman" w:hAnsi="Times New Roman"/>
        </w:rPr>
        <w:t xml:space="preserve"> на животните и растенията, околната </w:t>
      </w:r>
      <w:r>
        <w:rPr>
          <w:rFonts w:ascii="Times New Roman" w:hAnsi="Times New Roman"/>
        </w:rPr>
        <w:t>среда и хуманното отношение към животните (кръстосано спазване),  които се съдържат в посочения регламент.</w:t>
      </w:r>
    </w:p>
  </w:footnote>
  <w:footnote w:id="8">
    <w:p w:rsidR="00483C26" w:rsidRDefault="000B73CA">
      <w:pPr>
        <w:pStyle w:val="FootnoteText"/>
        <w:spacing w:after="0" w:line="240" w:lineRule="auto"/>
        <w:ind w:left="709" w:hanging="709"/>
        <w:jc w:val="both"/>
      </w:pPr>
      <w:r>
        <w:rPr>
          <w:rStyle w:val="FootnoteReference"/>
        </w:rPr>
        <w:footnoteRef/>
      </w:r>
      <w:r>
        <w:t xml:space="preserve"> </w:t>
      </w:r>
      <w:r>
        <w:tab/>
      </w:r>
      <w:r>
        <w:rPr>
          <w:rFonts w:ascii="Times New Roman" w:hAnsi="Times New Roman"/>
        </w:rPr>
        <w:t xml:space="preserve">С директиви 2008/120/ЕО и 2008/119/ЕО се изисква инспекциите да </w:t>
      </w:r>
      <w:r>
        <w:rPr>
          <w:rFonts w:ascii="Times New Roman" w:hAnsi="Times New Roman"/>
          <w:i/>
        </w:rPr>
        <w:t xml:space="preserve">„обхващат всяка година статистически представителна извадка за различните системи </w:t>
      </w:r>
      <w:r>
        <w:rPr>
          <w:rFonts w:ascii="Times New Roman" w:hAnsi="Times New Roman"/>
          <w:i/>
        </w:rPr>
        <w:t>за отглеждане във всяка държава членка“.</w:t>
      </w:r>
    </w:p>
  </w:footnote>
  <w:footnote w:id="9">
    <w:p w:rsidR="00483C26" w:rsidRDefault="000B73CA">
      <w:pPr>
        <w:pStyle w:val="FootnoteText"/>
        <w:spacing w:after="0" w:line="240" w:lineRule="auto"/>
        <w:ind w:left="709" w:hanging="709"/>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 xml:space="preserve">Решение 2006/778/ЕО на Комисията, приложение IV, таблица 2: домашните птици включват птици от вида </w:t>
      </w:r>
      <w:proofErr w:type="spellStart"/>
      <w:r>
        <w:rPr>
          <w:rFonts w:ascii="Times New Roman" w:hAnsi="Times New Roman"/>
          <w:i/>
        </w:rPr>
        <w:t>Gallus</w:t>
      </w:r>
      <w:proofErr w:type="spellEnd"/>
      <w:r>
        <w:rPr>
          <w:rFonts w:ascii="Times New Roman" w:hAnsi="Times New Roman"/>
          <w:i/>
        </w:rPr>
        <w:t xml:space="preserve"> </w:t>
      </w:r>
      <w:proofErr w:type="spellStart"/>
      <w:r>
        <w:rPr>
          <w:rFonts w:ascii="Times New Roman" w:hAnsi="Times New Roman"/>
          <w:i/>
        </w:rPr>
        <w:t>gallus</w:t>
      </w:r>
      <w:r>
        <w:rPr>
          <w:rFonts w:ascii="Times New Roman" w:hAnsi="Times New Roman"/>
        </w:rPr>
        <w:t>i</w:t>
      </w:r>
      <w:proofErr w:type="spellEnd"/>
      <w:r>
        <w:rPr>
          <w:rFonts w:ascii="Times New Roman" w:hAnsi="Times New Roman"/>
        </w:rPr>
        <w:t>, освен кокошки носачки.</w:t>
      </w:r>
    </w:p>
  </w:footnote>
  <w:footnote w:id="10">
    <w:p w:rsidR="00483C26" w:rsidRDefault="000B73CA">
      <w:pPr>
        <w:pStyle w:val="FootnoteText"/>
        <w:spacing w:after="0" w:line="240" w:lineRule="auto"/>
        <w:ind w:left="709" w:hanging="709"/>
        <w:jc w:val="both"/>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По-малко от 350 кокошки.</w:t>
      </w:r>
    </w:p>
  </w:footnote>
  <w:footnote w:id="11">
    <w:p w:rsidR="00483C26" w:rsidRDefault="000B73CA">
      <w:pPr>
        <w:pStyle w:val="FootnoteText"/>
        <w:spacing w:after="0" w:line="240" w:lineRule="auto"/>
        <w:ind w:left="709" w:hanging="709"/>
        <w:jc w:val="both"/>
      </w:pPr>
      <w:r>
        <w:rPr>
          <w:rStyle w:val="FootnoteReference"/>
        </w:rPr>
        <w:footnoteRef/>
      </w:r>
      <w:r>
        <w:t xml:space="preserve"> </w:t>
      </w:r>
      <w:r>
        <w:tab/>
      </w:r>
      <w:r>
        <w:rPr>
          <w:rFonts w:ascii="Times New Roman" w:hAnsi="Times New Roman"/>
        </w:rPr>
        <w:t>Референтни номера на докладите за одит:</w:t>
      </w:r>
      <w:r>
        <w:t xml:space="preserve"> </w:t>
      </w:r>
      <w:r>
        <w:rPr>
          <w:rFonts w:ascii="Times New Roman" w:hAnsi="Times New Roman"/>
        </w:rPr>
        <w:t>Испания 7079, Обединено кралство 7080, Дания 7061, Германия 7073, Чешка република 7060, Унгария 7072, Белгия 7059, Нидерландия 7078 и Италия 7075.</w:t>
      </w:r>
    </w:p>
  </w:footnote>
  <w:footnote w:id="12">
    <w:p w:rsidR="00483C26" w:rsidRDefault="000B73CA">
      <w:pPr>
        <w:pStyle w:val="FootnoteText"/>
        <w:spacing w:after="0" w:line="240" w:lineRule="auto"/>
        <w:ind w:left="709" w:hanging="709"/>
        <w:jc w:val="both"/>
      </w:pPr>
      <w:r>
        <w:rPr>
          <w:rStyle w:val="FootnoteReference"/>
        </w:rPr>
        <w:footnoteRef/>
      </w:r>
      <w:r>
        <w:t xml:space="preserve"> </w:t>
      </w:r>
      <w:r>
        <w:tab/>
      </w:r>
      <w:r>
        <w:rPr>
          <w:rFonts w:ascii="Times New Roman" w:hAnsi="Times New Roman"/>
        </w:rPr>
        <w:t>Препоръка (ЕС) 2016/336 на Комисията от 8 март 2016 г. за прилагането на Директива 2008/120/ЕО на Съвета о</w:t>
      </w:r>
      <w:r>
        <w:rPr>
          <w:rFonts w:ascii="Times New Roman" w:hAnsi="Times New Roman"/>
        </w:rPr>
        <w:t xml:space="preserve">тносно определяне на минималните стандарти за защита на свинете във връзка с мерките за намаляване на необходимостта от </w:t>
      </w:r>
      <w:proofErr w:type="spellStart"/>
      <w:r>
        <w:rPr>
          <w:rFonts w:ascii="Times New Roman" w:hAnsi="Times New Roman"/>
        </w:rPr>
        <w:t>купиране</w:t>
      </w:r>
      <w:proofErr w:type="spellEnd"/>
      <w:r>
        <w:rPr>
          <w:rFonts w:ascii="Times New Roman" w:hAnsi="Times New Roman"/>
        </w:rPr>
        <w:t xml:space="preserve"> на опашката, ОВ L 62, 9.3.2016 г., стр. 20;</w:t>
      </w:r>
      <w:r>
        <w:tab/>
      </w:r>
      <w:r>
        <w:rPr>
          <w:rFonts w:ascii="Times New Roman" w:hAnsi="Times New Roman"/>
        </w:rPr>
        <w:br/>
        <w:t xml:space="preserve">SWD(2016) 49 </w:t>
      </w:r>
      <w:proofErr w:type="spellStart"/>
      <w:r>
        <w:rPr>
          <w:rFonts w:ascii="Times New Roman" w:hAnsi="Times New Roman"/>
        </w:rPr>
        <w:t>final</w:t>
      </w:r>
      <w:proofErr w:type="spellEnd"/>
      <w:r>
        <w:rPr>
          <w:rFonts w:ascii="Times New Roman" w:hAnsi="Times New Roman"/>
        </w:rPr>
        <w:t xml:space="preserve"> </w:t>
      </w:r>
      <w:hyperlink r:id="rId1">
        <w:r>
          <w:rPr>
            <w:rStyle w:val="Hyperlink"/>
            <w:rFonts w:ascii="Times New Roman" w:hAnsi="Times New Roman"/>
          </w:rPr>
          <w:t>http://ec.europa.eu/food/animals/welfare/practice/farm/pigs/index_en.htm</w:t>
        </w:r>
      </w:hyperlink>
      <w:r>
        <w:t>.</w:t>
      </w:r>
      <w:r>
        <w:rPr>
          <w:rStyle w:val="Hyperlink"/>
        </w:rPr>
        <w:t xml:space="preserve"> </w:t>
      </w:r>
    </w:p>
  </w:footnote>
  <w:footnote w:id="13">
    <w:p w:rsidR="00483C26" w:rsidRDefault="000B73CA">
      <w:pPr>
        <w:pStyle w:val="FootnoteText"/>
        <w:spacing w:after="0" w:line="240" w:lineRule="auto"/>
        <w:ind w:left="709" w:hanging="709"/>
        <w:jc w:val="both"/>
      </w:pPr>
      <w:r>
        <w:rPr>
          <w:rStyle w:val="FootnoteReference"/>
        </w:rPr>
        <w:footnoteRef/>
      </w:r>
      <w:r>
        <w:t xml:space="preserve"> </w:t>
      </w:r>
      <w:r>
        <w:tab/>
      </w:r>
      <w:r>
        <w:rPr>
          <w:rFonts w:ascii="Times New Roman" w:hAnsi="Times New Roman"/>
        </w:rPr>
        <w:t>COM(2006) 838 окончателен.</w:t>
      </w:r>
    </w:p>
  </w:footnote>
  <w:footnote w:id="14">
    <w:p w:rsidR="00483C26" w:rsidRDefault="000B73CA">
      <w:pPr>
        <w:pStyle w:val="FootnoteText"/>
        <w:spacing w:after="0" w:line="240" w:lineRule="auto"/>
        <w:ind w:left="709" w:hanging="709"/>
        <w:jc w:val="both"/>
      </w:pPr>
      <w:r>
        <w:rPr>
          <w:rStyle w:val="FootnoteReference"/>
        </w:rPr>
        <w:footnoteRef/>
      </w:r>
      <w:r>
        <w:t xml:space="preserve"> </w:t>
      </w:r>
      <w:r>
        <w:tab/>
      </w:r>
      <w:r>
        <w:rPr>
          <w:rFonts w:ascii="Times New Roman" w:hAnsi="Times New Roman"/>
        </w:rPr>
        <w:t>Директива 2007/43/ЕО.</w:t>
      </w:r>
    </w:p>
  </w:footnote>
  <w:footnote w:id="15">
    <w:p w:rsidR="00483C26" w:rsidRDefault="000B73CA">
      <w:pPr>
        <w:pStyle w:val="FootnoteText"/>
        <w:spacing w:after="0" w:line="240" w:lineRule="auto"/>
        <w:ind w:left="709" w:hanging="709"/>
        <w:jc w:val="both"/>
      </w:pPr>
      <w:r>
        <w:rPr>
          <w:rStyle w:val="FootnoteReference"/>
        </w:rPr>
        <w:footnoteRef/>
      </w:r>
      <w:r>
        <w:t xml:space="preserve">  </w:t>
      </w:r>
      <w:r>
        <w:tab/>
      </w:r>
      <w:r>
        <w:rPr>
          <w:rFonts w:ascii="Times New Roman" w:hAnsi="Times New Roman"/>
        </w:rPr>
        <w:t>Предложение за регламент на Европейския парламент и на Съвета относно официалния контрол и др</w:t>
      </w:r>
      <w:r>
        <w:rPr>
          <w:rFonts w:ascii="Times New Roman" w:hAnsi="Times New Roman"/>
        </w:rPr>
        <w:t>угите официални дейности, извършвани с оглед да се гарантира прилагането на законодателството в областта на храните и фуражите, правилата относно здравеопазването на животните и хуманното отношение към тях, здравето на растенията и растителния репродуктиве</w:t>
      </w:r>
      <w:r>
        <w:rPr>
          <w:rFonts w:ascii="Times New Roman" w:hAnsi="Times New Roman"/>
        </w:rPr>
        <w:t xml:space="preserve">н материал, продуктите за растителна защита и за изменение на регламенти (ЕО) № 999/2001, 1829/2003, 1831/2003, 1/2005, 396/2005, 834/2007, 1099/2009, 1069/2009, 1107/2009, регламенти (ЕС) № 1151/2012, </w:t>
      </w:r>
      <w:r>
        <w:rPr>
          <w:rFonts w:ascii="Times New Roman" w:hAnsi="Times New Roman"/>
          <w:lang w:val="en"/>
        </w:rPr>
        <w:t>652/2014</w:t>
      </w:r>
      <w:r>
        <w:rPr>
          <w:rFonts w:ascii="Times New Roman" w:hAnsi="Times New Roman"/>
        </w:rPr>
        <w:t xml:space="preserve"> и директиви 98/58/ЕО, 1999/74/ЕО, 2007/43/ЕО,</w:t>
      </w:r>
      <w:r>
        <w:rPr>
          <w:rFonts w:ascii="Times New Roman" w:hAnsi="Times New Roman"/>
        </w:rPr>
        <w:t xml:space="preserve"> 2008/119/ЕО, 2008/120/ЕО и 2009/128/ЕО (Регламент относно официалния контрол). </w:t>
      </w:r>
      <w:proofErr w:type="spellStart"/>
      <w:r>
        <w:rPr>
          <w:rFonts w:ascii="Times New Roman" w:hAnsi="Times New Roman"/>
        </w:rPr>
        <w:t>Междуинституционално</w:t>
      </w:r>
      <w:proofErr w:type="spellEnd"/>
      <w:r>
        <w:rPr>
          <w:rFonts w:ascii="Times New Roman" w:hAnsi="Times New Roman"/>
        </w:rPr>
        <w:t xml:space="preserve"> досие: 2013/0140(COD).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3C26" w:rsidRDefault="00483C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77878"/>
    <w:multiLevelType w:val="hybridMultilevel"/>
    <w:tmpl w:val="B0C4F38E"/>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lvlText w:val="%2."/>
      <w:lvlJc w:val="left"/>
      <w:pPr>
        <w:ind w:left="953" w:hanging="477"/>
      </w:pPr>
      <w:rPr>
        <w:rFonts w:hint="default"/>
      </w:rPr>
    </w:lvl>
    <w:lvl w:ilvl="2">
      <w:start w:val="1"/>
      <w:numFmt w:val="lowerRoman"/>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37BE2F85"/>
    <w:multiLevelType w:val="hybridMultilevel"/>
    <w:tmpl w:val="64408288"/>
    <w:lvl w:ilvl="0" w:tplc="7FB4BB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8CD3452"/>
    <w:multiLevelType w:val="hybridMultilevel"/>
    <w:tmpl w:val="C4C67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4381FF8"/>
    <w:multiLevelType w:val="hybridMultilevel"/>
    <w:tmpl w:val="7414B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C471EC5"/>
    <w:multiLevelType w:val="hybridMultilevel"/>
    <w:tmpl w:val="4A1C7AC0"/>
    <w:lvl w:ilvl="0" w:tplc="4ED813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A3B7E71"/>
    <w:multiLevelType w:val="hybridMultilevel"/>
    <w:tmpl w:val="8A8A4D12"/>
    <w:lvl w:ilvl="0" w:tplc="7FB4BB4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
    <w:docVar w:name="LW_CORRIGENDUM" w:val="&lt;UNUSED&gt;"/>
    <w:docVar w:name="LW_COVERPAGE_GUID" w:val="A12EA178BE894EF5BDB7BA9CEE064F4A"/>
    <w:docVar w:name="LW_CROSSREFERENCE" w:val="&lt;UNUSED&gt;"/>
    <w:docVar w:name="LW_DocType" w:val="NORMAL"/>
    <w:docVar w:name="LW_EMISSION" w:val="8.9.2016"/>
    <w:docVar w:name="LW_EMISSION_ISODATE" w:val="2016-09-08"/>
    <w:docVar w:name="LW_EMISSION_LOCATION" w:val="BRX"/>
    <w:docVar w:name="LW_EMISSION_PREFIX" w:val="Брюксел, "/>
    <w:docVar w:name="LW_EMISSION_SUFFIX" w:val=" \u1075?."/>
    <w:docVar w:name="LW_ID_DOCTYPE_NONLW" w:val="CP-006"/>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6) 558"/>
    <w:docVar w:name="LW_REF.INTERNE" w:val="&lt;UNUSED&gt;"/>
    <w:docVar w:name="LW_SOUS.TITRE.OBJ.CP" w:val="&lt;UNUSED&gt;"/>
    <w:docVar w:name="LW_SUPERTITRE" w:val="&lt;UNUSED&gt;"/>
    <w:docVar w:name="LW_TITRE.OBJ.CP" w:val="\u1086?\u1090?\u1085?\u1086?\u1089?\u1085?\u1086? \u1087?\u1088?\u1080?\u1083?\u1072?\u1075?\u1072?\u1085?\u1077?\u1090?\u1086? \u1085?\u1072? \u1044?\u1080?\u1088?\u1077?\u1082?\u1090?\u1080?\u1074?\u1072? 98/58/E\u1054? \u1085?\u1072? \u1057?\u1098?\u1074?\u1077?\u1090?\u1072? \u1086?\u1090?\u1085?\u1086?\u1089?\u1085?\u1086? \u1079?\u1072?\u1097?\u1080?\u1090?\u1072?\u1090?\u1072? \u1085?\u1072? \u1078?\u1080?\u1074?\u1086?\u1090?\u1085?\u1080?, \u1086?\u1090?\u1075?\u1083?\u1077?\u1078?\u1076?\u1072?\u1085?\u1080? \u1079?\u1072? \u1089?\u1077?\u1083?\u1089?\u1082?\u1086?\u1089?\u1090?\u1086?\u1087?\u1072?\u1085?\u1089?\u1082?\u1080? \u1094?\u1077?\u1083?\u1080?"/>
    <w:docVar w:name="LW_TYPE.DOC.CP" w:val="\u1044?\u1054?\u1050?\u1051?\u1040?\u1044? \u1053?\u1040? \u1050?\u1054?\u1052?\u1048?\u1057?\u1048?\u1071?\u1058?\u1040? \u1044?\u1054? \u1045?\u1042?\u1056?\u1054?\u1055?\u1045?\u1049?\u1057?\u1050?\u1048?\u1071? \u1055?\u1040?\u1056?\u1051?\u1040?\u1052?\u1045?\u1053?\u1058? \u1048? \u1057?\u1066?\u1042?\u1045?\u1058?\u1040?"/>
  </w:docVars>
  <w:rsids>
    <w:rsidRoot w:val="00483C26"/>
    <w:rsid w:val="000B73CA"/>
    <w:rsid w:val="00483C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Times New Roman" w:hAnsi="Calibri" w:cs="Times New Roman"/>
      <w:b/>
      <w:bCs/>
      <w:caps/>
      <w:color w:val="FFFFFF"/>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aps/>
      <w:color w:val="FFFFFF"/>
      <w:spacing w:val="15"/>
      <w:shd w:val="clear" w:color="auto" w:fill="4F81BD"/>
      <w:lang w:eastAsia="bg-BG"/>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rPr>
  </w:style>
  <w:style w:type="character" w:styleId="Strong">
    <w:name w:val="Strong"/>
    <w:uiPriority w:val="22"/>
    <w:qFormat/>
    <w:rPr>
      <w:b/>
      <w:bCs/>
    </w:rPr>
  </w:style>
  <w:style w:type="paragraph" w:styleId="FootnoteText">
    <w:name w:val="footnote text"/>
    <w:basedOn w:val="Normal"/>
    <w:link w:val="FootnoteTextChar"/>
    <w:uiPriority w:val="99"/>
    <w:semiHidden/>
    <w:unhideWhenUsed/>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Pr>
      <w:rFonts w:ascii="Calibri" w:eastAsia="Calibri" w:hAnsi="Calibri" w:cs="Times New Roman"/>
      <w:sz w:val="20"/>
      <w:szCs w:val="20"/>
    </w:rPr>
  </w:style>
  <w:style w:type="character" w:styleId="FootnoteReference">
    <w:name w:val="footnote reference"/>
    <w:uiPriority w:val="99"/>
    <w:semiHidden/>
    <w:unhideWhenUsed/>
    <w:rPr>
      <w:vertAlign w:val="superscript"/>
    </w:rPr>
  </w:style>
  <w:style w:type="paragraph" w:customStyle="1" w:styleId="normal2">
    <w:name w:val="normal2"/>
    <w:basedOn w:val="Normal"/>
    <w:pPr>
      <w:spacing w:before="120" w:after="0" w:line="312" w:lineRule="atLeast"/>
      <w:jc w:val="both"/>
    </w:pPr>
    <w:rPr>
      <w:rFonts w:ascii="Times New Roman" w:eastAsia="Times New Roman" w:hAnsi="Times New Roman" w:cs="Times New Roman"/>
      <w:sz w:val="24"/>
      <w:szCs w:val="24"/>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LineNumber">
    <w:name w:val="line number"/>
    <w:basedOn w:val="DefaultParagraphFont"/>
    <w:uiPriority w:val="99"/>
    <w:semiHidden/>
    <w:unhideWhenUsed/>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LegalNumPar">
    <w:name w:val="LegalNumPar"/>
    <w:basedOn w:val="Normal"/>
    <w:pPr>
      <w:numPr>
        <w:numId w:val="7"/>
      </w:numPr>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F81BD"/>
        <w:left w:val="single" w:sz="24" w:space="0" w:color="4F81BD"/>
        <w:bottom w:val="single" w:sz="24" w:space="0" w:color="4F81BD"/>
        <w:right w:val="single" w:sz="24" w:space="0" w:color="4F81BD"/>
      </w:pBdr>
      <w:shd w:val="clear" w:color="auto" w:fill="4F81BD"/>
      <w:spacing w:before="200" w:after="0"/>
      <w:outlineLvl w:val="0"/>
    </w:pPr>
    <w:rPr>
      <w:rFonts w:ascii="Calibri" w:eastAsia="Times New Roman" w:hAnsi="Calibri" w:cs="Times New Roman"/>
      <w:b/>
      <w:bCs/>
      <w:caps/>
      <w:color w:val="FFFFFF"/>
      <w:spacing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character" w:customStyle="1" w:styleId="Heading1Char">
    <w:name w:val="Heading 1 Char"/>
    <w:basedOn w:val="DefaultParagraphFont"/>
    <w:link w:val="Heading1"/>
    <w:uiPriority w:val="9"/>
    <w:rPr>
      <w:rFonts w:ascii="Calibri" w:eastAsia="Times New Roman" w:hAnsi="Calibri" w:cs="Times New Roman"/>
      <w:b/>
      <w:bCs/>
      <w:caps/>
      <w:color w:val="FFFFFF"/>
      <w:spacing w:val="15"/>
      <w:shd w:val="clear" w:color="auto" w:fill="4F81BD"/>
      <w:lang w:eastAsia="bg-BG"/>
    </w:rPr>
  </w:style>
  <w:style w:type="paragraph" w:styleId="BalloonText">
    <w:name w:val="Balloon Text"/>
    <w:basedOn w:val="Normal"/>
    <w:link w:val="BalloonTextChar"/>
    <w:uiPriority w:val="99"/>
    <w:semiHidden/>
    <w:unhideWhenUsed/>
    <w:pPr>
      <w:spacing w:after="0" w:line="240" w:lineRule="auto"/>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Pr>
      <w:rFonts w:ascii="Tahoma" w:eastAsia="Calibri" w:hAnsi="Tahoma" w:cs="Times New Roman"/>
      <w:sz w:val="16"/>
      <w:szCs w:val="16"/>
    </w:rPr>
  </w:style>
  <w:style w:type="character" w:styleId="Strong">
    <w:name w:val="Strong"/>
    <w:uiPriority w:val="22"/>
    <w:qFormat/>
    <w:rPr>
      <w:b/>
      <w:bCs/>
    </w:rPr>
  </w:style>
  <w:style w:type="paragraph" w:styleId="FootnoteText">
    <w:name w:val="footnote text"/>
    <w:basedOn w:val="Normal"/>
    <w:link w:val="FootnoteTextChar"/>
    <w:uiPriority w:val="99"/>
    <w:semiHidden/>
    <w:unhideWhenUsed/>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Pr>
      <w:rFonts w:ascii="Calibri" w:eastAsia="Calibri" w:hAnsi="Calibri" w:cs="Times New Roman"/>
      <w:sz w:val="20"/>
      <w:szCs w:val="20"/>
    </w:rPr>
  </w:style>
  <w:style w:type="character" w:styleId="FootnoteReference">
    <w:name w:val="footnote reference"/>
    <w:uiPriority w:val="99"/>
    <w:semiHidden/>
    <w:unhideWhenUsed/>
    <w:rPr>
      <w:vertAlign w:val="superscript"/>
    </w:rPr>
  </w:style>
  <w:style w:type="paragraph" w:customStyle="1" w:styleId="normal2">
    <w:name w:val="normal2"/>
    <w:basedOn w:val="Normal"/>
    <w:pPr>
      <w:spacing w:before="120" w:after="0" w:line="312" w:lineRule="atLeast"/>
      <w:jc w:val="both"/>
    </w:pPr>
    <w:rPr>
      <w:rFonts w:ascii="Times New Roman" w:eastAsia="Times New Roman" w:hAnsi="Times New Roman" w:cs="Times New Roman"/>
      <w:sz w:val="24"/>
      <w:szCs w:val="24"/>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character" w:styleId="LineNumber">
    <w:name w:val="line number"/>
    <w:basedOn w:val="DefaultParagraphFont"/>
    <w:uiPriority w:val="99"/>
    <w:semiHidden/>
    <w:unhideWhenUsed/>
  </w:style>
  <w:style w:type="paragraph" w:styleId="Revision">
    <w:name w:val="Revision"/>
    <w:hidden/>
    <w:uiPriority w:val="99"/>
    <w:semiHidden/>
    <w:pPr>
      <w:spacing w:after="0" w:line="240" w:lineRule="auto"/>
    </w:pPr>
    <w:rPr>
      <w:rFonts w:ascii="Calibri" w:eastAsia="Calibri" w:hAnsi="Calibri" w:cs="Times New Roman"/>
    </w:rPr>
  </w:style>
  <w:style w:type="paragraph" w:customStyle="1" w:styleId="LegalNumPar">
    <w:name w:val="LegalNumPar"/>
    <w:basedOn w:val="Normal"/>
    <w:pPr>
      <w:numPr>
        <w:numId w:val="7"/>
      </w:num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header" Target="header17.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5.xml"/><Relationship Id="rId45"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emf"/><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6.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food/animals/welfare/practice/farm/pigs/index_en.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9613D-C0B5-4682-ACCD-618B2081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15</Pages>
  <Words>4357</Words>
  <Characters>24837</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SANTE/10260/2016-EN</vt:lpstr>
    </vt:vector>
  </TitlesOfParts>
  <Manager/>
  <Company/>
  <LinksUpToDate>false</LinksUpToDate>
  <CharactersWithSpaces>29136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SANTE/10260/2016-EN</dc:title>
  <dc:subject>report from the commission to the council</dc:subject>
  <dc:creator/>
  <cp:keywords>10260</cp:keywords>
  <dc:description>Outlook 3.8.2016</dc:description>
  <cp:lastModifiedBy>LAGES CARVALHO Patrick (SG)</cp:lastModifiedBy>
  <cp:revision>19</cp:revision>
  <cp:lastPrinted>2016-08-01T06:57:00Z</cp:lastPrinted>
  <dcterms:created xsi:type="dcterms:W3CDTF">2016-08-04T09:48:00Z</dcterms:created>
  <dcterms:modified xsi:type="dcterms:W3CDTF">2016-09-05T09:10:00Z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Classification">
    <vt:lpwstr> </vt:lpwstr>
  </property>
  <property fmtid="{D5CDD505-2E9C-101B-9397-08002B2CF9AE}" pid="5" name="DocStatus">
    <vt:lpwstr>Green</vt:lpwstr>
  </property>
</Properties>
</file>