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6B" w:rsidRDefault="0059320A" w:rsidP="0059320A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6D8AF1EF2B349F2A2994EB99B5E31F0" style="width:450.75pt;height:334.5pt">
            <v:imagedata r:id="rId9" o:title=""/>
          </v:shape>
        </w:pict>
      </w:r>
    </w:p>
    <w:bookmarkEnd w:id="0"/>
    <w:p w:rsidR="0079576B" w:rsidRDefault="0079576B">
      <w:pPr>
        <w:rPr>
          <w:noProof/>
        </w:rPr>
        <w:sectPr w:rsidR="0079576B" w:rsidSect="005932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 w:rsidR="0079576B" w:rsidRDefault="0059320A">
      <w:pPr>
        <w:pStyle w:val="Corps"/>
        <w:keepNext/>
        <w:keepLines/>
        <w:jc w:val="both"/>
        <w:outlineLvl w:val="0"/>
        <w:rPr>
          <w:b/>
          <w:bCs/>
          <w:smallCaps/>
          <w:noProof/>
        </w:rPr>
      </w:pPr>
      <w:bookmarkStart w:id="1" w:name="_GoBack"/>
      <w:bookmarkEnd w:id="1"/>
      <w:r>
        <w:rPr>
          <w:b/>
          <w:smallCaps/>
          <w:noProof/>
        </w:rPr>
        <w:lastRenderedPageBreak/>
        <w:t>1. Въведение</w:t>
      </w:r>
    </w:p>
    <w:p w:rsidR="0079576B" w:rsidRDefault="0059320A">
      <w:pPr>
        <w:pStyle w:val="Corps"/>
        <w:spacing w:before="240" w:after="120"/>
        <w:jc w:val="both"/>
        <w:rPr>
          <w:noProof/>
        </w:rPr>
      </w:pPr>
      <w:r>
        <w:rPr>
          <w:noProof/>
        </w:rPr>
        <w:t xml:space="preserve">В приетата през май 2015 г. стратегия на Комисията за цифров единен пазар </w:t>
      </w:r>
      <w:r>
        <w:rPr>
          <w:noProof/>
        </w:rPr>
        <w:t>(„стратегията“)</w:t>
      </w:r>
      <w:r>
        <w:rPr>
          <w:noProof/>
          <w:vertAlign w:val="superscript"/>
        </w:rPr>
        <w:footnoteReference w:id="2"/>
      </w:r>
      <w:r>
        <w:rPr>
          <w:noProof/>
        </w:rPr>
        <w:t xml:space="preserve"> цифровото съдържание се определя като един от основните двигатели на растежа на цифровата икономика. В нея се изтъква необходимостта от действие, което да доведе до по-широк онлайн достъп на потребителите до съдържание, включително в аудио</w:t>
      </w:r>
      <w:r>
        <w:rPr>
          <w:noProof/>
        </w:rPr>
        <w:t xml:space="preserve">-визуалния сектор, сектора на музиката, книгите и други сектори, и до пазарна и регулаторна среда, която да продължи и занапред да бъде благотворна за креативността, за нейното устойчиво финансиране и за културното многообразие. </w:t>
      </w:r>
    </w:p>
    <w:p w:rsidR="0079576B" w:rsidRDefault="0059320A">
      <w:pPr>
        <w:pStyle w:val="Corps"/>
        <w:spacing w:after="120"/>
        <w:jc w:val="both"/>
        <w:rPr>
          <w:noProof/>
        </w:rPr>
      </w:pPr>
      <w:r>
        <w:rPr>
          <w:noProof/>
        </w:rPr>
        <w:t>В съобщението на Комисията</w:t>
      </w:r>
      <w:r>
        <w:rPr>
          <w:noProof/>
        </w:rPr>
        <w:t xml:space="preserve"> от декември 2015 г., озаглавено „Към една модерна и по-европейска рамка за авторското право“</w:t>
      </w:r>
      <w:r>
        <w:rPr>
          <w:noProof/>
          <w:vertAlign w:val="superscript"/>
        </w:rPr>
        <w:footnoteReference w:id="3"/>
      </w:r>
      <w:r>
        <w:rPr>
          <w:noProof/>
        </w:rPr>
        <w:t xml:space="preserve">, като ключов елемент по пътя към осъществяването на целите на стратегията бе възприета линия на целево модернизиране на правилата на ЕС в областта на авторското </w:t>
      </w:r>
      <w:r>
        <w:rPr>
          <w:noProof/>
        </w:rPr>
        <w:t>право. В съобщението са набелязани целенасочени действия и е очертана дългосрочна визия, отразяваща нуждата от ускоряване на изграждането на единния пазар в тази област, осъвременяване на правилата в съответствие с цифровите реалности, гарантиране на запаз</w:t>
      </w:r>
      <w:r>
        <w:rPr>
          <w:noProof/>
        </w:rPr>
        <w:t>ването на конкурентоспособността на европейските творчески отрасли и поддържане на добър баланс между авторското право и другите цели на обществената политика, като например образование, научни изследвания, иновации, и нуждите на хората с увреждания.</w:t>
      </w:r>
    </w:p>
    <w:p w:rsidR="0079576B" w:rsidRDefault="0059320A">
      <w:pPr>
        <w:pStyle w:val="Corps"/>
        <w:spacing w:after="120"/>
        <w:jc w:val="both"/>
        <w:rPr>
          <w:noProof/>
        </w:rPr>
      </w:pPr>
      <w:r>
        <w:rPr>
          <w:noProof/>
        </w:rPr>
        <w:t>В доп</w:t>
      </w:r>
      <w:r>
        <w:rPr>
          <w:noProof/>
        </w:rPr>
        <w:t>ълнение към предложения през декември 2015 г. Регламент относно трансграничната преносимост на услугите за онлайн съдържание</w:t>
      </w:r>
      <w:r>
        <w:rPr>
          <w:noProof/>
          <w:vertAlign w:val="superscript"/>
        </w:rPr>
        <w:footnoteReference w:id="4"/>
      </w:r>
      <w:r>
        <w:rPr>
          <w:noProof/>
        </w:rPr>
        <w:t xml:space="preserve">, чиято цел е да се даде възможност на пребиваващите в ЕС лица да пътуват, запазвайки достъпа си до цифровото съдържание, което са </w:t>
      </w:r>
      <w:r>
        <w:rPr>
          <w:noProof/>
        </w:rPr>
        <w:t>придобили или за което са се абонирали в своята държава, сега Комисията предлага набор от законодателни мерки, включващ три цели: i)</w:t>
      </w:r>
      <w:r>
        <w:rPr>
          <w:noProof/>
          <w:lang w:val="en-GB"/>
        </w:rPr>
        <w:t> </w:t>
      </w:r>
      <w:r>
        <w:rPr>
          <w:noProof/>
        </w:rPr>
        <w:t>осигуряване на по-широкообхватен онлайн достъп до съдържание в ЕС и достигане до нова и различна по състав аудитория, ii)</w:t>
      </w:r>
      <w:r>
        <w:rPr>
          <w:noProof/>
          <w:lang w:val="en-GB"/>
        </w:rPr>
        <w:t> </w:t>
      </w:r>
      <w:r>
        <w:rPr>
          <w:noProof/>
        </w:rPr>
        <w:t>а</w:t>
      </w:r>
      <w:r>
        <w:rPr>
          <w:noProof/>
        </w:rPr>
        <w:t>даптиране на някои изключения към цифровата и трансграничната среда, и  iii)</w:t>
      </w:r>
      <w:r>
        <w:rPr>
          <w:noProof/>
          <w:lang w:val="en-GB"/>
        </w:rPr>
        <w:t> </w:t>
      </w:r>
      <w:r>
        <w:rPr>
          <w:noProof/>
        </w:rPr>
        <w:t xml:space="preserve">насърчаване изграждането на добре функциониращ и справедлив пазар за авторското право. Освен това Комисията работи и по мерки за осигуряване на ефективна и балансирана система за </w:t>
      </w:r>
      <w:r>
        <w:rPr>
          <w:noProof/>
        </w:rPr>
        <w:t xml:space="preserve">прилагане. Това е особено важно в борбата срещу нарушенията на авторското право, имащи търговско измерение. </w:t>
      </w:r>
    </w:p>
    <w:p w:rsidR="0079576B" w:rsidRDefault="0059320A">
      <w:pPr>
        <w:pStyle w:val="Corps"/>
        <w:spacing w:after="120"/>
        <w:jc w:val="both"/>
        <w:rPr>
          <w:noProof/>
        </w:rPr>
      </w:pPr>
      <w:r>
        <w:rPr>
          <w:noProof/>
        </w:rPr>
        <w:t>Както бе подчертано в декемврийското съобщение, правилата за авторското право на ЕС не могат да бъдат разглеждани отделно от по-широкия набор от по</w:t>
      </w:r>
      <w:r>
        <w:rPr>
          <w:noProof/>
        </w:rPr>
        <w:t>литики, в т.ч. особено програмата „Творческа Европа“</w:t>
      </w:r>
      <w:r>
        <w:rPr>
          <w:rStyle w:val="FootnoteReference"/>
          <w:noProof/>
        </w:rPr>
        <w:footnoteReference w:id="5"/>
      </w:r>
      <w:r>
        <w:rPr>
          <w:noProof/>
        </w:rPr>
        <w:t>, които допринасят за богатата културна продукция на Европа и влияят на средата, на фона на която се развиват културните и творческите отрасли, иновациите и културното многообразие.</w:t>
      </w:r>
    </w:p>
    <w:p w:rsidR="0079576B" w:rsidRDefault="0059320A">
      <w:pPr>
        <w:pStyle w:val="Corps"/>
        <w:spacing w:after="120"/>
        <w:jc w:val="both"/>
        <w:rPr>
          <w:noProof/>
        </w:rPr>
      </w:pPr>
      <w:r>
        <w:rPr>
          <w:noProof/>
        </w:rPr>
        <w:t xml:space="preserve">ЕС, наред с другото, </w:t>
      </w:r>
      <w:r>
        <w:rPr>
          <w:noProof/>
        </w:rPr>
        <w:t>е родината на някои от най-големите издателски къщи, на динамична музикална индустрия и на филмов сектор, който се радва на световно признание. Всичко това го прави световен индустриален и културен лидер. Някои от неговите културни и творчески отрасли обач</w:t>
      </w:r>
      <w:r>
        <w:rPr>
          <w:noProof/>
        </w:rPr>
        <w:t xml:space="preserve">е са изправени пред специфични предизвикателства, свързани с конкурентоспособността, предприемаческите умения и финансирането. </w:t>
      </w:r>
      <w:r>
        <w:rPr>
          <w:rStyle w:val="Aucun"/>
          <w:noProof/>
        </w:rPr>
        <w:t xml:space="preserve">Европейските филмови продукции, например, се стремят </w:t>
      </w:r>
      <w:r>
        <w:rPr>
          <w:rStyle w:val="Aucun"/>
          <w:noProof/>
        </w:rPr>
        <w:lastRenderedPageBreak/>
        <w:t>да достигнат до нови аудитории в рамките на ЕС и извън него. Това би трябвал</w:t>
      </w:r>
      <w:r>
        <w:rPr>
          <w:rStyle w:val="Aucun"/>
          <w:noProof/>
        </w:rPr>
        <w:t xml:space="preserve">о да окаже положително въздействие върху развитието на нови бизнес модели и намирането на нови източници на приходи, стига основните въпроси, свързани с мащаба, достъпността и популяризирането на продукциите да намерят адекватен отговор. </w:t>
      </w:r>
    </w:p>
    <w:p w:rsidR="0079576B" w:rsidRDefault="0059320A">
      <w:pPr>
        <w:pStyle w:val="Corps"/>
        <w:spacing w:after="120"/>
        <w:jc w:val="both"/>
        <w:rPr>
          <w:rFonts w:ascii="ECSquareSansProRegular" w:hAnsi="ECSquareSansProRegular" w:cs="Arial"/>
          <w:noProof/>
          <w:spacing w:val="4"/>
        </w:rPr>
      </w:pPr>
      <w:r>
        <w:rPr>
          <w:noProof/>
        </w:rPr>
        <w:t>Наред с насърчава</w:t>
      </w:r>
      <w:r>
        <w:rPr>
          <w:noProof/>
        </w:rPr>
        <w:t>нето на културното и езиковото многообразие, съдействието за утвърждаването на професионалното начало в секторите на културата и творчеството и предоставянето на по-широк достъп до култура и творческо съдържание, програмата „Творческа Европа“ има за цел да</w:t>
      </w:r>
      <w:r>
        <w:rPr>
          <w:noProof/>
        </w:rPr>
        <w:t xml:space="preserve"> отговори на някои от тези въпроси, свързани с конкурентоспособността, включително що се отнася до достъпа до финансиране, посредством нов механизъм за гарантиране, който вече работи на практика и разполага с бюджет в размер на 121 млн. евро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 w:rsidR="0079576B" w:rsidRDefault="0059320A">
      <w:pPr>
        <w:pStyle w:val="Corps"/>
        <w:spacing w:after="240"/>
        <w:jc w:val="both"/>
        <w:rPr>
          <w:rStyle w:val="Aucun"/>
          <w:rFonts w:eastAsia="Arial Unicode MS"/>
          <w:noProof/>
          <w:color w:val="auto"/>
        </w:rPr>
      </w:pPr>
      <w:r>
        <w:rPr>
          <w:rStyle w:val="Aucun"/>
          <w:noProof/>
        </w:rPr>
        <w:t>Чрез комбин</w:t>
      </w:r>
      <w:r>
        <w:rPr>
          <w:rStyle w:val="Aucun"/>
          <w:noProof/>
        </w:rPr>
        <w:t>ация от законодателни и незаконодателни мерки Комисията предлага амбициозна програма, с която да се подпомогне процъфтяването на европейските индустрии в областта на авторското право в рамките на единния пазар и достигането от европейските автори до нова а</w:t>
      </w:r>
      <w:r>
        <w:rPr>
          <w:rStyle w:val="Aucun"/>
          <w:noProof/>
        </w:rPr>
        <w:t>удитория, при което европейските произведения ще станат широко достъпни за европейските граждани, включително отвъд националните граници. В настоящото съобщение са описани накратко най-новите достижения и актуалното състояние след декемврийското съобщение.</w:t>
      </w:r>
    </w:p>
    <w:p w:rsidR="0079576B" w:rsidRDefault="0059320A">
      <w:pPr>
        <w:pStyle w:val="Corps"/>
        <w:spacing w:before="240" w:after="240"/>
        <w:jc w:val="both"/>
        <w:rPr>
          <w:b/>
          <w:bCs/>
          <w:smallCaps/>
          <w:noProof/>
        </w:rPr>
      </w:pPr>
      <w:r>
        <w:rPr>
          <w:b/>
          <w:noProof/>
        </w:rPr>
        <w:t xml:space="preserve">2. </w:t>
      </w:r>
      <w:r>
        <w:rPr>
          <w:b/>
          <w:smallCaps/>
          <w:noProof/>
        </w:rPr>
        <w:t>Мерки за гарантиране на по-широкообхватен достъп до съдържание в ЕС</w:t>
      </w:r>
    </w:p>
    <w:p w:rsidR="0079576B" w:rsidRDefault="0059320A">
      <w:pPr>
        <w:pStyle w:val="Corps"/>
        <w:spacing w:after="120"/>
        <w:jc w:val="both"/>
        <w:rPr>
          <w:noProof/>
        </w:rPr>
      </w:pPr>
      <w:r>
        <w:rPr>
          <w:noProof/>
        </w:rPr>
        <w:t xml:space="preserve">В декемврийското си съобщение Комисията обяви, че ще следва постепенен подход за премахване на пречките пред трансграничния достъп до съдържание и по-широкото разпространение на </w:t>
      </w:r>
      <w:r>
        <w:rPr>
          <w:noProof/>
        </w:rPr>
        <w:t>произведения в целия ЕС, особено с оглед на все по-разпространените интернет връзки и цифрови технологии. Целта е произведенията да станат все по-достъпни за гражданите в цяла Европа, да се предложат на творците нови канали за разпространение, да се насърч</w:t>
      </w:r>
      <w:r>
        <w:rPr>
          <w:noProof/>
        </w:rPr>
        <w:t>и националната култура в държавите членки, както и да се изведе на преден план общото културно наследство на ЕС.</w:t>
      </w:r>
      <w:r>
        <w:rPr>
          <w:rStyle w:val="Aucun"/>
          <w:noProof/>
        </w:rPr>
        <w:t xml:space="preserve"> </w:t>
      </w:r>
    </w:p>
    <w:p w:rsidR="0079576B" w:rsidRDefault="0059320A">
      <w:pPr>
        <w:pStyle w:val="Corps"/>
        <w:spacing w:after="120"/>
        <w:jc w:val="both"/>
        <w:rPr>
          <w:rFonts w:ascii="ECSquareSansProRegular" w:hAnsi="ECSquareSansProRegular" w:cs="Arial"/>
          <w:noProof/>
          <w:spacing w:val="4"/>
        </w:rPr>
      </w:pPr>
      <w:r>
        <w:rPr>
          <w:noProof/>
        </w:rPr>
        <w:t>В декемврийското съобщение бяха набелязани целенасочени действия за улесняване на трансграничното разпространение на телевизионни и радиопрогр</w:t>
      </w:r>
      <w:r>
        <w:rPr>
          <w:noProof/>
        </w:rPr>
        <w:t>ами онлайн, лицензирането на европейските аудио-визуални произведения на платформи за „видео по заявка“ (VOD) и цифровизацията и по-широкото разпространение на произведения извън търговско обращение. Както също беше обявено в декемврийското съобщение, изве</w:t>
      </w:r>
      <w:r>
        <w:rPr>
          <w:noProof/>
        </w:rPr>
        <w:t>стен брой мерки, предприети в рамките на програмата „Творческа Европа – МЕДИА“</w:t>
      </w:r>
      <w:r>
        <w:rPr>
          <w:rStyle w:val="FootnoteReference"/>
          <w:rFonts w:ascii="ECSquareSansProRegular" w:hAnsi="ECSquareSansProRegular"/>
          <w:noProof/>
          <w:spacing w:val="4"/>
        </w:rPr>
        <w:footnoteReference w:id="7"/>
      </w:r>
      <w:r>
        <w:rPr>
          <w:noProof/>
        </w:rPr>
        <w:t>, която оказва подкрепа за разработването, популяризирането и разпространението на европейски произведения в продължение на вече 25 години, също са насочени към постигане на цел</w:t>
      </w:r>
      <w:r>
        <w:rPr>
          <w:noProof/>
        </w:rPr>
        <w:t>та за по-широк достъп до европейски филми в целия ЕС, в търговските канали и в нетърговски контекст.</w:t>
      </w:r>
      <w:r>
        <w:rPr>
          <w:rFonts w:ascii="ECSquareSansProRegular" w:hAnsi="ECSquareSansProRegular"/>
          <w:noProof/>
          <w:spacing w:val="4"/>
        </w:rPr>
        <w:t xml:space="preserve"> Тези мерки са описани по-долу, заедно с предложеното ново законодателство в областта на авторското право.</w:t>
      </w:r>
    </w:p>
    <w:p w:rsidR="0079576B" w:rsidRDefault="0059320A">
      <w:pPr>
        <w:spacing w:after="120"/>
        <w:contextualSpacing/>
        <w:jc w:val="both"/>
        <w:rPr>
          <w:noProof/>
        </w:rPr>
      </w:pPr>
      <w:r>
        <w:rPr>
          <w:noProof/>
        </w:rPr>
        <w:t>На първо място, с предложения регламент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се цели </w:t>
      </w:r>
      <w:r>
        <w:rPr>
          <w:noProof/>
        </w:rPr>
        <w:t>да се създадат благоприятни условия за нови онлайн начини за трансгранично разпространение на телевизионни и радиопрограми, сравними с приложимите при по-традиционното спътниково излъчване и кабелно препредаване. С новите правила, вдъхновени от предвиденит</w:t>
      </w:r>
      <w:r>
        <w:rPr>
          <w:noProof/>
        </w:rPr>
        <w:t>е в Директивата относно спътниковото излъчване и кабелното препредаване</w:t>
      </w:r>
      <w:r>
        <w:rPr>
          <w:noProof/>
          <w:vertAlign w:val="superscript"/>
        </w:rPr>
        <w:footnoteReference w:id="9"/>
      </w:r>
      <w:r>
        <w:rPr>
          <w:noProof/>
        </w:rPr>
        <w:t>, ще стане възможно по-лесно и по-бързо да се ползват правата, които са необходими за някои онлайн услуги, предоставяни от радио- и телевизионните разпространители (програми, излъчвани</w:t>
      </w:r>
      <w:r>
        <w:rPr>
          <w:noProof/>
        </w:rPr>
        <w:t xml:space="preserve"> онлайн от радио- и телевизионните разпространители едновременно с тяхното предаване, и техните услуги за запис на излъчени предавания), както и за услугите за препредаване чрез такива средства, като IPTV (телевизия или радио по мрежи, базирани на интернет</w:t>
      </w:r>
      <w:r>
        <w:rPr>
          <w:noProof/>
        </w:rPr>
        <w:t xml:space="preserve"> протокол, в затворен кръг). Целта на тези правила е да се улесни развитието на пазара и по-широкото разпространение на европейски радио- и телевизионни продукции, които са важен източник на информация и развлечение за европейците. Очаква се това, на свой </w:t>
      </w:r>
      <w:r>
        <w:rPr>
          <w:noProof/>
        </w:rPr>
        <w:t>ред, да доведе до по-голям избор за потребителите и по-голямо културно многообразие.</w:t>
      </w:r>
    </w:p>
    <w:p w:rsidR="0079576B" w:rsidRDefault="0059320A">
      <w:pPr>
        <w:pStyle w:val="Corps"/>
        <w:spacing w:after="240"/>
        <w:jc w:val="both"/>
        <w:rPr>
          <w:noProof/>
        </w:rPr>
      </w:pPr>
      <w:r>
        <w:rPr>
          <w:noProof/>
        </w:rPr>
        <w:t>Успоредно с това, с предложението за Директива относно авторското право в цифровия единен пазар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се въвежда нов механизъм за договаряне, който ще улесни сключването на лиц</w:t>
      </w:r>
      <w:r>
        <w:rPr>
          <w:noProof/>
        </w:rPr>
        <w:t>ензионни споразумения с цел осигуряване на достъп до аудио-визуални произведения чрез платформи за видео по заявка. Той е част от по</w:t>
      </w:r>
      <w:r>
        <w:rPr>
          <w:noProof/>
        </w:rPr>
        <w:noBreakHyphen/>
        <w:t>широкообхватни политически усилия за отстраняване на многобройните фактори, които са в основата на недостатъчната достъпнос</w:t>
      </w:r>
      <w:r>
        <w:rPr>
          <w:noProof/>
        </w:rPr>
        <w:t>т на европейските аудио-визуални произведения, особено филми, в целия ЕС</w:t>
      </w:r>
      <w:r>
        <w:rPr>
          <w:rStyle w:val="FootnoteReference"/>
          <w:noProof/>
        </w:rPr>
        <w:footnoteReference w:id="11"/>
      </w:r>
      <w:r>
        <w:rPr>
          <w:noProof/>
        </w:rPr>
        <w:t>. Обикновено дело на малки продуцентски компании, европейските филми са значително по-слабо разпространявани онлайн на територията на целия ЕС в сравнение с американските филми</w:t>
      </w:r>
      <w:r>
        <w:rPr>
          <w:rStyle w:val="FootnoteReference"/>
          <w:noProof/>
        </w:rPr>
        <w:footnoteReference w:id="12"/>
      </w:r>
      <w:r>
        <w:rPr>
          <w:noProof/>
        </w:rPr>
        <w:t>.</w:t>
      </w:r>
      <w:r>
        <w:rPr>
          <w:rStyle w:val="Aucun"/>
          <w:noProof/>
        </w:rPr>
        <w:t xml:space="preserve"> В ра</w:t>
      </w:r>
      <w:r>
        <w:rPr>
          <w:rStyle w:val="Aucun"/>
          <w:noProof/>
        </w:rPr>
        <w:t xml:space="preserve">мките на териториите, по отношение на които не са подписани споразумения с регионални дистрибутори, европейските граждани нямат никаква възможност за правомерен достъп до тези филми. </w:t>
      </w:r>
      <w:r>
        <w:rPr>
          <w:noProof/>
        </w:rPr>
        <w:t>На проблемите, свързани с лицензирането, и съпътстващите го правни и дого</w:t>
      </w:r>
      <w:r>
        <w:rPr>
          <w:noProof/>
        </w:rPr>
        <w:t>ворни трудности във връзка с използването на европейските аудио-визуални произведения при услуги за видео по заявка, също ще бъде потърсено решение в рамките на структуриран диалог със заинтересованите страни. Този подход ще бъде насърчаван от Комисията, к</w:t>
      </w:r>
      <w:r>
        <w:rPr>
          <w:noProof/>
        </w:rPr>
        <w:t>ато за целта се предвижда редовно да се събират участниците в сектора по веригата за създаване на стойност (продуценти, автори, търговски представители, дистрибутори, радио- и телевизионни разпространители, субекти, ангажирани със събиране на съдържание, о</w:t>
      </w:r>
      <w:r>
        <w:rPr>
          <w:noProof/>
        </w:rPr>
        <w:t>ператори на платформи за видео по заявка). Диалогът ще има за цел да се оптимизират лицензионните практики и да се улесни сключването от тази индустрия на споразумения, водещи до по-продължително използване и по-широка достъпност на европейските творби. Ко</w:t>
      </w:r>
      <w:r>
        <w:rPr>
          <w:noProof/>
        </w:rPr>
        <w:t>мисията ще докладва за резултатите от този диалог до края на 2018 г.</w:t>
      </w:r>
    </w:p>
    <w:p w:rsidR="0079576B" w:rsidRDefault="0059320A">
      <w:pPr>
        <w:pStyle w:val="Corps"/>
        <w:spacing w:after="240"/>
        <w:jc w:val="both"/>
        <w:rPr>
          <w:rStyle w:val="Aucun"/>
          <w:noProof/>
        </w:rPr>
      </w:pPr>
      <w:r>
        <w:rPr>
          <w:noProof/>
        </w:rPr>
        <w:t xml:space="preserve">Комисията насърчава също така разработването на практически инструменти, които ще улеснят и ще направят по-ефикасно предоставянето на лицензи за използване на аудио-визуални произведения </w:t>
      </w:r>
      <w:r>
        <w:rPr>
          <w:noProof/>
        </w:rPr>
        <w:t>на множество територии в рамките на ЕС. Това включва разработването на центрове за лицензиране, т.е. онлайн инструменти, които позволяват цифровото разпространение на европейските произведения също в страни, в които те не се излъчват в киносалоните или в к</w:t>
      </w:r>
      <w:r>
        <w:rPr>
          <w:noProof/>
        </w:rPr>
        <w:t>оито не съществува национален дистрибутор, и създаването на каталози с аудио-визуални произведения на различни продуценти, готови да бъдат предоставени на доставчиците на услуги за видео по заявка.</w:t>
      </w:r>
      <w:r>
        <w:rPr>
          <w:rStyle w:val="Aucun"/>
          <w:noProof/>
        </w:rPr>
        <w:t xml:space="preserve"> Допълнителни предизвикателства произтичат от обстоятелство</w:t>
      </w:r>
      <w:r>
        <w:rPr>
          <w:rStyle w:val="Aucun"/>
          <w:noProof/>
        </w:rPr>
        <w:t>то, че в аудио-визуалния сектор не се използва универсална система за идентификация. Вместо това на пазара съжителстват два стандартни идентификатора</w:t>
      </w:r>
      <w:r>
        <w:rPr>
          <w:rStyle w:val="FootnoteReference"/>
          <w:noProof/>
        </w:rPr>
        <w:footnoteReference w:id="13"/>
      </w:r>
      <w:r>
        <w:rPr>
          <w:rStyle w:val="Aucun"/>
          <w:noProof/>
        </w:rPr>
        <w:t>, поради което секторът все още не се решава да ги използва, тъй като те не са оперативно съвместими. Това</w:t>
      </w:r>
      <w:r>
        <w:rPr>
          <w:rStyle w:val="Aucun"/>
          <w:noProof/>
        </w:rPr>
        <w:t xml:space="preserve"> означава, че дейностите по лицензиране са обременителни и не е лесно да бъдат автоматизирани. </w:t>
      </w:r>
      <w:r>
        <w:rPr>
          <w:noProof/>
        </w:rPr>
        <w:t xml:space="preserve">Организациите, които отговарят за двата отделни идентификатора, в момента работят съвместно с Комисията за постигане на пълна оперативна съвместимост на техните </w:t>
      </w:r>
      <w:r>
        <w:rPr>
          <w:noProof/>
        </w:rPr>
        <w:t>бази данни и идентификатори</w:t>
      </w:r>
      <w:r>
        <w:rPr>
          <w:rStyle w:val="FootnoteReference"/>
          <w:noProof/>
        </w:rPr>
        <w:footnoteReference w:id="14"/>
      </w:r>
      <w:r>
        <w:rPr>
          <w:noProof/>
        </w:rPr>
        <w:t>.</w:t>
      </w:r>
      <w:r>
        <w:rPr>
          <w:rStyle w:val="Aucun"/>
          <w:noProof/>
        </w:rPr>
        <w:t xml:space="preserve"> И на последно място, Комисията ще проучи също така възможните пътища за стимулиране на притежателите на права да предоставят произведения, като ползват подкрепа за разпространение чрез програмата „Творческа Европа – МЕДИА“ на </w:t>
      </w:r>
      <w:r>
        <w:rPr>
          <w:rStyle w:val="Aucun"/>
          <w:noProof/>
        </w:rPr>
        <w:t xml:space="preserve">териториите, по отношение на които няма подписано споразумение за дистрибуция. </w:t>
      </w:r>
    </w:p>
    <w:p w:rsidR="0079576B" w:rsidRDefault="0059320A">
      <w:pPr>
        <w:pStyle w:val="Corps"/>
        <w:spacing w:after="240"/>
        <w:jc w:val="both"/>
        <w:rPr>
          <w:noProof/>
        </w:rPr>
      </w:pPr>
      <w:r>
        <w:rPr>
          <w:noProof/>
        </w:rPr>
        <w:t>В процес на въвеждане са и мерки за преодоляване на липсата на видимост и езиковите бариери, които препятстват достъпа на потребителите до европейските произведения. Субтитрите</w:t>
      </w:r>
      <w:r>
        <w:rPr>
          <w:noProof/>
        </w:rPr>
        <w:t xml:space="preserve"> и дублажът са от решаващо значение за трансграничното разпространение на аудио-визуални произведения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и се финансират по програма „Творческа Европа – МЕДИА“ и с други публични средства.</w:t>
      </w:r>
      <w:r>
        <w:rPr>
          <w:rStyle w:val="Aucun"/>
          <w:noProof/>
        </w:rPr>
        <w:t xml:space="preserve"> Посредством текущите проекти по програма „Творческа Европа — МЕДИА“ и</w:t>
      </w:r>
      <w:r>
        <w:rPr>
          <w:rStyle w:val="Aucun"/>
          <w:noProof/>
        </w:rPr>
        <w:t xml:space="preserve"> планираното онлайн хранилище като инструмент за улесняване на достъпа на операторите в ЕС до съществуващите субтитри и дублаж и на тяхното повторно използване, работата по който се предвижда да започне до края на 2016 г., Комисията се стреми да увеличи еф</w:t>
      </w:r>
      <w:r>
        <w:rPr>
          <w:rStyle w:val="Aucun"/>
          <w:noProof/>
        </w:rPr>
        <w:t xml:space="preserve">икасността на публичното финансиране и използването на субтитри и дублаж. </w:t>
      </w:r>
      <w:r>
        <w:rPr>
          <w:noProof/>
        </w:rPr>
        <w:t>Онлайн търсачките същевременно са ефикасни портали, които позволяват на потребителите да намерят онлайн законно предлагани филми.</w:t>
      </w:r>
      <w:r>
        <w:rPr>
          <w:rStyle w:val="Aucun"/>
          <w:noProof/>
        </w:rPr>
        <w:t xml:space="preserve">  Службата на Европейския съюз за интелектуална собст</w:t>
      </w:r>
      <w:r>
        <w:rPr>
          <w:rStyle w:val="Aucun"/>
          <w:noProof/>
        </w:rPr>
        <w:t>веност в момента разработва търсачка, която ще може да работи на общоевропейско равнище, и набор от инструменти за създаването на национални търсачки, които ще започнат да функционират пълноценно от 2017 г. и до които държавите членки ще имат безплатен дос</w:t>
      </w:r>
      <w:r>
        <w:rPr>
          <w:rStyle w:val="Aucun"/>
          <w:noProof/>
        </w:rPr>
        <w:t>тъп. Комисията също така ще насърчава използването на данни и автоматизирани инструменти за препоръчване на съдържание, което да задоволява по-широки интереси и вкусове, с оглед формиране и разширяване на аудиторията на европейските произведения. В по-широ</w:t>
      </w:r>
      <w:r>
        <w:rPr>
          <w:rStyle w:val="Aucun"/>
          <w:noProof/>
        </w:rPr>
        <w:t>к план, създаването на условия за по-лесна откриваемост на европейските филми е важно предизвикателство, във връзка с което в момента текат обсъждания между Комисията, Асоциацията на директорите на европейските филмови агенции (EFADs) и филмовата индустрия</w:t>
      </w:r>
      <w:r>
        <w:rPr>
          <w:rStyle w:val="Aucun"/>
          <w:noProof/>
        </w:rPr>
        <w:t>. Предвид потенциала на филмовите копродукции за разпространение в цяла Европа и отвъд нея</w:t>
      </w:r>
      <w:r>
        <w:rPr>
          <w:rStyle w:val="FootnoteReference"/>
          <w:noProof/>
        </w:rPr>
        <w:footnoteReference w:id="16"/>
      </w:r>
      <w:r>
        <w:rPr>
          <w:rStyle w:val="Aucun"/>
          <w:noProof/>
        </w:rPr>
        <w:t xml:space="preserve">, през 2017 г. Комисията ще проучи заедно с EFADs възможностите за разработване на съвместни стратегии за насърчаване на европейските копродукции. </w:t>
      </w:r>
      <w:r>
        <w:rPr>
          <w:noProof/>
        </w:rPr>
        <w:t xml:space="preserve">Всички тези мерки </w:t>
      </w:r>
      <w:r>
        <w:rPr>
          <w:noProof/>
        </w:rPr>
        <w:t>допълват наскоро приетото предложение за изменение на Директивата за аудио-визуалните медийни услуги</w:t>
      </w:r>
      <w:r>
        <w:rPr>
          <w:noProof/>
          <w:vertAlign w:val="superscript"/>
        </w:rPr>
        <w:footnoteReference w:id="17"/>
      </w:r>
      <w:r>
        <w:rPr>
          <w:noProof/>
        </w:rPr>
        <w:t>, с което се въвежда по-строго изискване за насърчаване на европейските аудиовизуални произведения в рамките на услугите за видео по заявка, като се гарант</w:t>
      </w:r>
      <w:r>
        <w:rPr>
          <w:noProof/>
        </w:rPr>
        <w:t>ира тяхното присъствие и видимост.</w:t>
      </w:r>
    </w:p>
    <w:p w:rsidR="0079576B" w:rsidRDefault="0059320A">
      <w:pPr>
        <w:pStyle w:val="Corps"/>
        <w:spacing w:after="240"/>
        <w:jc w:val="both"/>
        <w:rPr>
          <w:rStyle w:val="Aucun"/>
          <w:noProof/>
        </w:rPr>
      </w:pPr>
      <w:r>
        <w:rPr>
          <w:rStyle w:val="Aucun"/>
          <w:noProof/>
        </w:rPr>
        <w:t>Освен това в момента Комисията е ангажирана с проучването на алтернативни модели на финансиране, продуциране и разпространение, които визират от самото начало единния пазар и световните пазари. Във връзка с това Комисията</w:t>
      </w:r>
      <w:r>
        <w:rPr>
          <w:rStyle w:val="Aucun"/>
          <w:noProof/>
        </w:rPr>
        <w:t xml:space="preserve"> ще постави особен акцент върху сектора на европейската анимация. Повествованието е от особено важно значение в този сектор и произведенията преминават по-лесно границите. Продуцентите на анимационни продукти често работят едновременно по различни телевизи</w:t>
      </w:r>
      <w:r>
        <w:rPr>
          <w:rStyle w:val="Aucun"/>
          <w:noProof/>
        </w:rPr>
        <w:t>онни и филмови проекти и е възможно също така да си сътрудничат с други студия по отделни проекти. Успоредно с текущата подкрепа по програмата „Творческа Европа — МЕДИА“, до края на годината Комисията ще встъпи в диалог с водещите европейски анимационни ст</w:t>
      </w:r>
      <w:r>
        <w:rPr>
          <w:rStyle w:val="Aucun"/>
          <w:noProof/>
        </w:rPr>
        <w:t>удия, за да обсъдят по какъв начин секторът може да се разрасне. Тя следва също така да установи кои са специфичните нужди на сектора в различни аспекти, като се започне от намаляването на изтичането на мозъци и се стигне до подпомагането на международното</w:t>
      </w:r>
      <w:r>
        <w:rPr>
          <w:rStyle w:val="Aucun"/>
          <w:noProof/>
        </w:rPr>
        <w:t xml:space="preserve"> разпространение на анимационни филми и телевизионна анимация. Целта на този диалог ще бъде постигането на съгласие по съвместен план за действие в сектора до средата на 2017 г.</w:t>
      </w:r>
    </w:p>
    <w:p w:rsidR="0079576B" w:rsidRDefault="0059320A">
      <w:pPr>
        <w:spacing w:after="120"/>
        <w:contextualSpacing/>
        <w:jc w:val="both"/>
        <w:rPr>
          <w:noProof/>
        </w:rPr>
      </w:pPr>
      <w:r>
        <w:rPr>
          <w:noProof/>
        </w:rPr>
        <w:t>На последно място, с предложението за Директива относно авторското право в циф</w:t>
      </w:r>
      <w:r>
        <w:rPr>
          <w:noProof/>
        </w:rPr>
        <w:t>ровия единен пазар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се въвеждат решения за по-лесно издаване на лицензи от страна на институциите в областта на културното наследство, което ще позволи цифровизацията и разпространението на произведения, които са изчерпани в търговската мрежа, но са с голя</w:t>
      </w:r>
      <w:r>
        <w:rPr>
          <w:noProof/>
        </w:rPr>
        <w:t xml:space="preserve">ма културна стойност. Достъпът до произведения в нетърговски заведения, като например образователни организации, обществени библиотеки, несвързани с киноразпространението места, също е много важен за насърчаването на културното многообразие, образованието </w:t>
      </w:r>
      <w:r>
        <w:rPr>
          <w:noProof/>
        </w:rPr>
        <w:t>и участието в обществото. Тези канали, заедно с повишената медийна грамотност, могат да играят ключова роля за насърчаването и създаването на устойчива аудитория за европейските произведения. Освен това Комисията понастоящем проучва заедно с EFADs и аудио-</w:t>
      </w:r>
      <w:r>
        <w:rPr>
          <w:noProof/>
        </w:rPr>
        <w:t>визуалната индустрия възможностите за създаване и финансиране през 2017 г. на каталог на европейски филми с образователна цел. Този пилотен проект ще бъде полезен с това, че ще представи многообразието и качеството на европейските филми на младата аудитори</w:t>
      </w:r>
      <w:r>
        <w:rPr>
          <w:noProof/>
        </w:rPr>
        <w:t>я.</w:t>
      </w:r>
    </w:p>
    <w:p w:rsidR="0079576B" w:rsidRDefault="0079576B">
      <w:pPr>
        <w:spacing w:after="120"/>
        <w:contextualSpacing/>
        <w:jc w:val="both"/>
        <w:rPr>
          <w:noProof/>
        </w:rPr>
      </w:pPr>
    </w:p>
    <w:p w:rsidR="0079576B" w:rsidRDefault="0059320A">
      <w:pPr>
        <w:rPr>
          <w:b/>
          <w:bCs/>
          <w:noProof/>
        </w:rPr>
      </w:pPr>
      <w:r>
        <w:rPr>
          <w:b/>
          <w:noProof/>
        </w:rPr>
        <w:t xml:space="preserve">3. </w:t>
      </w:r>
      <w:r>
        <w:rPr>
          <w:b/>
          <w:smallCaps/>
          <w:noProof/>
          <w:color w:val="000000"/>
          <w:u w:color="000000"/>
        </w:rPr>
        <w:t>Мерки за адаптиране на изключенията към цифровата и трансграничната среда</w:t>
      </w:r>
    </w:p>
    <w:p w:rsidR="0079576B" w:rsidRDefault="0079576B">
      <w:pPr>
        <w:rPr>
          <w:rStyle w:val="None"/>
          <w:smallCaps/>
          <w:noProof/>
        </w:rPr>
      </w:pPr>
    </w:p>
    <w:p w:rsidR="0079576B" w:rsidRDefault="0059320A">
      <w:pPr>
        <w:pStyle w:val="Corps"/>
        <w:spacing w:after="240"/>
        <w:jc w:val="both"/>
        <w:rPr>
          <w:noProof/>
        </w:rPr>
      </w:pPr>
      <w:r>
        <w:rPr>
          <w:noProof/>
        </w:rPr>
        <w:t>Благодарение на изключенията от авторското право е възможно — за конкретни цели и при определени условия — използването на защитени произведения без разрешението на носителите на права. Те отговарят на целите на обществената политика на равнището на ЕС и и</w:t>
      </w:r>
      <w:r>
        <w:rPr>
          <w:noProof/>
        </w:rPr>
        <w:t xml:space="preserve">граят важна роля в по-широката рамка за авторското право. При все това, понастоящем повечето изключения в правото на ЕС не са задължителни и нямат трансгранични последици. Освен това е необходимо някои от тях да бъдат преразгледани в контекста на днешната </w:t>
      </w:r>
      <w:r>
        <w:rPr>
          <w:noProof/>
        </w:rPr>
        <w:t xml:space="preserve">технологична действителност, като се повиши при нужда степента на хармонизация, без при това да бъдат засегнати добре функциониращите системи на национално равнище. </w:t>
      </w:r>
    </w:p>
    <w:p w:rsidR="0079576B" w:rsidRDefault="0059320A">
      <w:pPr>
        <w:pStyle w:val="Corps"/>
        <w:spacing w:before="240" w:after="240"/>
        <w:jc w:val="both"/>
        <w:rPr>
          <w:noProof/>
        </w:rPr>
      </w:pPr>
      <w:r>
        <w:rPr>
          <w:noProof/>
        </w:rPr>
        <w:t>С предложените днес законодателни мерки правната рамка на ЕС, уреждаща изключенията, се пр</w:t>
      </w:r>
      <w:r>
        <w:rPr>
          <w:noProof/>
        </w:rPr>
        <w:t>ивежда в крак с цифровата употреба в ключови области, като образованието, научните изследвания и достъпа до знания; тези мерки основно касаят трансграничните аспекти, като по този начин допринасят за още по-голямото задълбочаване на единния пазар.  С предл</w:t>
      </w:r>
      <w:r>
        <w:rPr>
          <w:noProof/>
        </w:rPr>
        <w:t>ожението за Директива относно авторското право в цифровия единен пазар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 се въвеждат нови задължителни изключения в сферата на образованието, научните изследвания и опазването на културното наследство. </w:t>
      </w:r>
    </w:p>
    <w:p w:rsidR="0079576B" w:rsidRDefault="0059320A">
      <w:pPr>
        <w:pStyle w:val="Corps"/>
        <w:spacing w:before="240" w:after="240"/>
        <w:jc w:val="both"/>
        <w:rPr>
          <w:noProof/>
        </w:rPr>
      </w:pPr>
      <w:r>
        <w:rPr>
          <w:noProof/>
        </w:rPr>
        <w:t>Ново изключение за целите на онагледяването при препод</w:t>
      </w:r>
      <w:r>
        <w:rPr>
          <w:noProof/>
        </w:rPr>
        <w:t>аване ще осигури пълна правна сигурност при използването на защитено съдържание в рамките на осъществявани онлайн и с дигитални помощни средства преподавателски дейности, включително в трансграничен контекст. Това ще бъде от полза за новите форми на предос</w:t>
      </w:r>
      <w:r>
        <w:rPr>
          <w:noProof/>
        </w:rPr>
        <w:t xml:space="preserve">тавяне на образователни услуги, по-специално за дистанционното обучение, и за мобилността на учащите се и преподавателите в целия ЕС. </w:t>
      </w:r>
    </w:p>
    <w:p w:rsidR="0079576B" w:rsidRDefault="0059320A">
      <w:pPr>
        <w:spacing w:before="240" w:after="240"/>
        <w:jc w:val="both"/>
        <w:rPr>
          <w:noProof/>
        </w:rPr>
      </w:pPr>
      <w:r>
        <w:rPr>
          <w:noProof/>
        </w:rPr>
        <w:t>С предложението се въвежда и ново задължително изключение по отношение на извличането на информация от текст и данни, изв</w:t>
      </w:r>
      <w:r>
        <w:rPr>
          <w:noProof/>
        </w:rPr>
        <w:t>ършвано за целите на провеждане на научноизследователска дейност. Изключението ще позволи на научноизследователските организации да използват технологиите за извличане на информация от текст и данни при пълна правна сигурност. Задължителният характер на то</w:t>
      </w:r>
      <w:r>
        <w:rPr>
          <w:noProof/>
        </w:rPr>
        <w:t xml:space="preserve">ва изключение ще позволи да се предотврати прилагането на различни подходи от различните държави членки например в сферата на научните изследвания, в която все по-често срещано явление са широкомащабното трансгранично сътрудничество и интердисциплинарното </w:t>
      </w:r>
      <w:r>
        <w:rPr>
          <w:noProof/>
        </w:rPr>
        <w:t>сътрудничество. Това ще подпомогне научния напредък и иновациите в ЕС.</w:t>
      </w:r>
    </w:p>
    <w:p w:rsidR="0079576B" w:rsidRDefault="0059320A">
      <w:pPr>
        <w:spacing w:before="240" w:after="240"/>
        <w:jc w:val="both"/>
        <w:rPr>
          <w:noProof/>
        </w:rPr>
      </w:pPr>
      <w:r>
        <w:rPr>
          <w:noProof/>
        </w:rPr>
        <w:t>Предложената директива също така включва ново задължително изключение по отношение на съхраняването на цифрови данни от институции в областта на културното наследство, което отчита нужд</w:t>
      </w:r>
      <w:r>
        <w:rPr>
          <w:noProof/>
        </w:rPr>
        <w:t>ите от съдържание в цифрова форма и използването на цифровите технологии за целите на тяхното съхранение. То</w:t>
      </w:r>
      <w:r>
        <w:rPr>
          <w:noProof/>
          <w:lang w:val="en-GB"/>
        </w:rPr>
        <w:t> </w:t>
      </w:r>
      <w:r>
        <w:rPr>
          <w:noProof/>
        </w:rPr>
        <w:t>отразява използването на цифровизацията като техника за съхранение, а също и увеличаващия се брой на поначало създадените в цифрова форма произведе</w:t>
      </w:r>
      <w:r>
        <w:rPr>
          <w:noProof/>
        </w:rPr>
        <w:t>ния, присъстващи в колекциите на институциите в областта на културното наследство. Увеличеният дял на съхраняваните произведения ще бъде от полза за оцеляването на културното наследство и ще даде възможност на гражданите да се възползват от него за по-дълг</w:t>
      </w:r>
      <w:r>
        <w:rPr>
          <w:noProof/>
        </w:rPr>
        <w:t>о време.</w:t>
      </w:r>
    </w:p>
    <w:p w:rsidR="0079576B" w:rsidRDefault="0059320A">
      <w:pPr>
        <w:spacing w:before="240" w:after="240"/>
        <w:contextualSpacing/>
        <w:jc w:val="both"/>
        <w:rPr>
          <w:noProof/>
        </w:rPr>
      </w:pPr>
      <w:r>
        <w:rPr>
          <w:noProof/>
        </w:rPr>
        <w:t>Успоредно с това днес бяха приети две законодателни предложения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във връзка с прилагането в законодателството на ЕС на Маракешкия договор</w:t>
      </w:r>
      <w:r>
        <w:rPr>
          <w:noProof/>
          <w:vertAlign w:val="superscript"/>
        </w:rPr>
        <w:footnoteReference w:id="21"/>
      </w:r>
      <w:r>
        <w:rPr>
          <w:noProof/>
        </w:rPr>
        <w:t>, който изисква от страните по него да въведат изключения с цел подпомагане на достъпа на лицата с увреждания</w:t>
      </w:r>
      <w:r>
        <w:rPr>
          <w:noProof/>
        </w:rPr>
        <w:t>, които не позволяват четенето на печатни материали, до книги и други печатни материали във формати, които са достъпни за тях. С</w:t>
      </w:r>
      <w:r>
        <w:rPr>
          <w:noProof/>
          <w:lang w:val="en-GB"/>
        </w:rPr>
        <w:t> </w:t>
      </w:r>
      <w:r>
        <w:rPr>
          <w:noProof/>
        </w:rPr>
        <w:t>предложението за директива ще се въведе задължително изключение и ще се осигури функционирането му, що се отнася до направата и</w:t>
      </w:r>
      <w:r>
        <w:rPr>
          <w:noProof/>
        </w:rPr>
        <w:t xml:space="preserve"> обмена на такива копия в достъпен формат в рамките на единния пазар. С предложението за регламент ще се разреши трансграничният обмен на такива копия между ЕС и трети държави, които са страни по договора.</w:t>
      </w:r>
    </w:p>
    <w:p w:rsidR="0079576B" w:rsidRDefault="0059320A">
      <w:pPr>
        <w:pStyle w:val="Corps"/>
        <w:spacing w:before="240" w:after="240"/>
        <w:jc w:val="both"/>
        <w:rPr>
          <w:noProof/>
        </w:rPr>
      </w:pPr>
      <w:r>
        <w:rPr>
          <w:noProof/>
        </w:rPr>
        <w:t xml:space="preserve">Комисията ще продължи своя анализ на редица други </w:t>
      </w:r>
      <w:r>
        <w:rPr>
          <w:noProof/>
        </w:rPr>
        <w:t>въпроси, свързани с изключенията, посочени в декемврийското съобщение. Някои от тези въпроси може да се наложи да бъдат преразгледани на по-късен етап, в контекста на резултата от висящи понастоящем дела пред Съда на ЕС. Има се предвид например изключениет</w:t>
      </w:r>
      <w:r>
        <w:rPr>
          <w:noProof/>
        </w:rPr>
        <w:t>о, по силата на което библиотеките и други институции получават правото да позволяват екранните справки с произведения в техните помещения за целите на изследване и частно проучване</w:t>
      </w:r>
      <w:r>
        <w:rPr>
          <w:noProof/>
          <w:vertAlign w:val="superscript"/>
        </w:rPr>
        <w:footnoteReference w:id="22"/>
      </w:r>
      <w:r>
        <w:rPr>
          <w:noProof/>
        </w:rPr>
        <w:t xml:space="preserve">. </w:t>
      </w:r>
    </w:p>
    <w:p w:rsidR="0079576B" w:rsidRDefault="0059320A">
      <w:pPr>
        <w:pStyle w:val="Corps"/>
        <w:jc w:val="both"/>
        <w:rPr>
          <w:noProof/>
          <w:color w:val="1F497D"/>
          <w:u w:color="1F497D"/>
        </w:rPr>
      </w:pPr>
      <w:r>
        <w:rPr>
          <w:noProof/>
        </w:rPr>
        <w:t>След извършения анализ на резултатите от обществената консултация относ</w:t>
      </w:r>
      <w:r>
        <w:rPr>
          <w:noProof/>
        </w:rPr>
        <w:t>но „панорамното“ изключение</w:t>
      </w:r>
      <w:r>
        <w:rPr>
          <w:noProof/>
          <w:vertAlign w:val="superscript"/>
        </w:rPr>
        <w:footnoteReference w:id="23"/>
      </w:r>
      <w:r>
        <w:rPr>
          <w:noProof/>
        </w:rPr>
        <w:t>, което позволява на хората да правят и да качват снимки на произведения, като сгради или скулптури, разположени на обществени места, Комисията потвърждава целесъобразността на това изключение. Съгласно законодателството на ЕС д</w:t>
      </w:r>
      <w:r>
        <w:rPr>
          <w:noProof/>
        </w:rPr>
        <w:t>ържавите членки се ползват с голяма свобода на действие при въвеждането на такива изключения. Почти всички държави членки са въвели такова панорамно изключение в националното си законодателство. В</w:t>
      </w:r>
      <w:r>
        <w:rPr>
          <w:noProof/>
          <w:lang w:val="en-GB"/>
        </w:rPr>
        <w:t> </w:t>
      </w:r>
      <w:r>
        <w:rPr>
          <w:noProof/>
        </w:rPr>
        <w:t>последно време държавите членки, които доскоро не бяха напр</w:t>
      </w:r>
      <w:r>
        <w:rPr>
          <w:noProof/>
        </w:rPr>
        <w:t>авили това, въведоха такова изключение в своето законодателство или обсъждат проекти на мерки за тази цел. Комисията ще продължи да следи развитието по въпроса и настоятелно препоръчва всички държави членки да въведат такова изключение.</w:t>
      </w:r>
      <w:r>
        <w:rPr>
          <w:noProof/>
          <w:color w:val="1F497D"/>
          <w:u w:color="1F497D"/>
        </w:rPr>
        <w:t xml:space="preserve"> </w:t>
      </w:r>
    </w:p>
    <w:p w:rsidR="0079576B" w:rsidRDefault="0079576B">
      <w:pPr>
        <w:pStyle w:val="Corps"/>
        <w:jc w:val="both"/>
        <w:rPr>
          <w:noProof/>
          <w:color w:val="1F497D"/>
          <w:u w:color="1F497D"/>
        </w:rPr>
      </w:pPr>
    </w:p>
    <w:p w:rsidR="0079576B" w:rsidRDefault="0059320A">
      <w:pPr>
        <w:pStyle w:val="Corps"/>
        <w:keepLines/>
        <w:tabs>
          <w:tab w:val="left" w:pos="568"/>
        </w:tabs>
        <w:spacing w:after="120"/>
        <w:jc w:val="both"/>
        <w:rPr>
          <w:b/>
          <w:bCs/>
          <w:smallCaps/>
          <w:noProof/>
        </w:rPr>
      </w:pPr>
      <w:r>
        <w:rPr>
          <w:b/>
          <w:noProof/>
        </w:rPr>
        <w:t xml:space="preserve">4. </w:t>
      </w:r>
      <w:r>
        <w:rPr>
          <w:b/>
          <w:smallCaps/>
          <w:noProof/>
        </w:rPr>
        <w:t xml:space="preserve">Мерки за </w:t>
      </w:r>
      <w:r>
        <w:rPr>
          <w:b/>
          <w:smallCaps/>
          <w:noProof/>
        </w:rPr>
        <w:t>изграждане на добре функциониращ пазар за авторско право</w:t>
      </w:r>
    </w:p>
    <w:p w:rsidR="0079576B" w:rsidRDefault="0059320A">
      <w:pPr>
        <w:pStyle w:val="Corps"/>
        <w:spacing w:before="240" w:after="240"/>
        <w:jc w:val="both"/>
        <w:rPr>
          <w:noProof/>
        </w:rPr>
      </w:pPr>
      <w:r>
        <w:rPr>
          <w:noProof/>
        </w:rPr>
        <w:t>В последните години интернет се превърна в основен пазар за достъп и разпространение на съдържание, защитено с авторско право. Онлайн услугите представляват основен източник на приходи за произведени</w:t>
      </w:r>
      <w:r>
        <w:rPr>
          <w:noProof/>
        </w:rPr>
        <w:t xml:space="preserve">ята и другото защитено съдържание, като очакванията са значението на тези услуги да продължи да нараства. Все по-голяма загриженост обаче поражда справедливото поделяне на стойността, генерирана от някои нови форми на онлайн разпространение на съдържание, </w:t>
      </w:r>
      <w:r>
        <w:rPr>
          <w:noProof/>
        </w:rPr>
        <w:t>по цялата верига за създаване на стойност. Носителите на права съобщават за срещаните от тях трудности, когато се опитват да разрешат и да получат справедливо възнаграждение за онлайн използването на тяхното съдържание. Това състояние на нещата може също т</w:t>
      </w:r>
      <w:r>
        <w:rPr>
          <w:noProof/>
        </w:rPr>
        <w:t>ака да постави в неизгодно положение някои доставчици на услуги, осъществяващи еквивалентни форми на дистрибуция.  От друга страна възниква един въпрос, който е свързан с изложеното по-горе, но също така засяга офлайн формите на използване, а именно този з</w:t>
      </w:r>
      <w:r>
        <w:rPr>
          <w:noProof/>
        </w:rPr>
        <w:t>а справедливото възнаграждение на авторите и изпълнителите и за различията във възможностите, с които те разполагат за отстояване на своите интереси, когато предоставят лицензи или прехвърлят своите права.</w:t>
      </w:r>
    </w:p>
    <w:p w:rsidR="0079576B" w:rsidRDefault="0059320A">
      <w:pPr>
        <w:pStyle w:val="Corps"/>
        <w:spacing w:before="240" w:after="240"/>
        <w:jc w:val="both"/>
        <w:rPr>
          <w:noProof/>
        </w:rPr>
      </w:pPr>
      <w:r>
        <w:rPr>
          <w:noProof/>
        </w:rPr>
        <w:t>Тези трудности от своя страна затрудняват постиган</w:t>
      </w:r>
      <w:r>
        <w:rPr>
          <w:noProof/>
        </w:rPr>
        <w:t>ето на целта на цифровия единен пазар за осигуряване на справедлива възвращаемост на инвестициите за всички. Тези въпроси са от първостепенно значение за секторите на културата и творчеството, в т.ч. за дейностите, свързани с публикуване, изображения, музи</w:t>
      </w:r>
      <w:r>
        <w:rPr>
          <w:noProof/>
        </w:rPr>
        <w:t>ка и аудио-визуални продукти. След декемврийското съобщение необходимостта от намиране на адекватен отговор на тези въпроси беше потвърдена в съобщението от май 2016 г. относно онлайн платформите</w:t>
      </w:r>
      <w:r>
        <w:rPr>
          <w:noProof/>
          <w:vertAlign w:val="superscript"/>
        </w:rPr>
        <w:footnoteReference w:id="24"/>
      </w:r>
      <w:r>
        <w:rPr>
          <w:noProof/>
        </w:rPr>
        <w:t xml:space="preserve">. </w:t>
      </w:r>
    </w:p>
    <w:p w:rsidR="0079576B" w:rsidRDefault="0059320A">
      <w:pPr>
        <w:spacing w:before="240" w:after="240"/>
        <w:jc w:val="both"/>
        <w:rPr>
          <w:noProof/>
        </w:rPr>
      </w:pPr>
      <w:r>
        <w:rPr>
          <w:noProof/>
        </w:rPr>
        <w:t>С предложението за Директива относно авторското право в ц</w:t>
      </w:r>
      <w:r>
        <w:rPr>
          <w:noProof/>
        </w:rPr>
        <w:t>ифровия единен пазар</w:t>
      </w:r>
      <w:r>
        <w:rPr>
          <w:rStyle w:val="FootnoteReference"/>
          <w:noProof/>
        </w:rPr>
        <w:footnoteReference w:id="25"/>
      </w:r>
      <w:r>
        <w:rPr>
          <w:noProof/>
        </w:rPr>
        <w:t xml:space="preserve"> ще се даде правна сигурност на издателите в сферата на периодичния печат и те ще бъдат поставени в по-добра позиция при договаряне в рамките на договорните си отношения с онлайн службите, използващи и даващи достъп до тяхното съдържан</w:t>
      </w:r>
      <w:r>
        <w:rPr>
          <w:noProof/>
        </w:rPr>
        <w:t>ие. За тази цел тя предвижда ново сродно право, което признава ключовата роля на издателите в сферата на периодичния печат по отношение на инвестициите и цялостния им принос за създаването на качествено журналистическо съдържание, и ще им предостави закрил</w:t>
      </w:r>
      <w:r>
        <w:rPr>
          <w:noProof/>
        </w:rPr>
        <w:t>ата, която им е необходима за ефективното използване на техните публикации в цифровата среда. Предложението също така ще даде възможност на държавите членки да разполагат със системи, при които издателите (в т.ч. книгоиздателите и издателите на научна лите</w:t>
      </w:r>
      <w:r>
        <w:rPr>
          <w:noProof/>
        </w:rPr>
        <w:t>ратура) ще могат да участват в компенсаторни механизми като предвидените за възпроизвеждане за лично ползване и репрография.</w:t>
      </w:r>
    </w:p>
    <w:p w:rsidR="0079576B" w:rsidRDefault="0059320A">
      <w:pPr>
        <w:spacing w:before="240" w:after="240"/>
        <w:jc w:val="both"/>
        <w:rPr>
          <w:noProof/>
        </w:rPr>
      </w:pPr>
      <w:r>
        <w:rPr>
          <w:noProof/>
        </w:rPr>
        <w:t>Предложението също така ще укрепи позицията на носителите на права, що се отнася до договарянето и получаването на възнаграждение з</w:t>
      </w:r>
      <w:r>
        <w:rPr>
          <w:noProof/>
        </w:rPr>
        <w:t>а онлайн използване на тяхно съдържание от онлайн служби, съхраняващи и даващи достъп до съдържание, качено от техни потребители. Като се има предвид ролята, която играят тези служби при предаването на защитено съдържание, предложението ще изиска от достав</w:t>
      </w:r>
      <w:r>
        <w:rPr>
          <w:noProof/>
        </w:rPr>
        <w:t>чиците на услуги, които съхраняват и предоставят достъп до голям брой произведения, да предприемат в сътрудничество с носителите на права подходящи и пропорционални мерки, включително основаващи се на технология за разпознаване на съдържанието, за да гаран</w:t>
      </w:r>
      <w:r>
        <w:rPr>
          <w:noProof/>
        </w:rPr>
        <w:t>тират спазването на споразуменията с носителите на права. В тази област ще бъде важно също да се осигури активното сътрудничество между заинтересованите страни. Потребителите както и преди ще имат възможност да качват онлайн свое съдържание и да разполагат</w:t>
      </w:r>
      <w:r>
        <w:rPr>
          <w:noProof/>
        </w:rPr>
        <w:t xml:space="preserve"> с голям избор на поставено на тяхно разположение съдържание в по-справедлива и сигурна от правна гледна точка среда.</w:t>
      </w:r>
    </w:p>
    <w:p w:rsidR="0079576B" w:rsidRDefault="0059320A">
      <w:pPr>
        <w:spacing w:before="240" w:after="240"/>
        <w:jc w:val="both"/>
        <w:rPr>
          <w:noProof/>
        </w:rPr>
      </w:pPr>
      <w:r>
        <w:rPr>
          <w:noProof/>
        </w:rPr>
        <w:t>На последно място, авторите и изпълнителите ще имат полза от по-голямата прозрачност, що се отнася до използването на техните произведения</w:t>
      </w:r>
      <w:r>
        <w:rPr>
          <w:noProof/>
        </w:rPr>
        <w:t xml:space="preserve"> и изпълнения, и от подобрените възможности за получаване на подходящо възнаграждение. Това следва да доведе до по-добре функционираща правна рамка за всички участници благодарение на осигурената правна яснота за тези, които придобиват правата, и повишенот</w:t>
      </w:r>
      <w:r>
        <w:rPr>
          <w:noProof/>
        </w:rPr>
        <w:t>о доверие на авторите и изпълнителите, включително в онлайн средата. За да могат ефективно да се разгърнат тези мерки, ще бъде необходимо държавите членки да организират специфични за отделните сектори обсъждания, за да определят на практика съответните за</w:t>
      </w:r>
      <w:r>
        <w:rPr>
          <w:noProof/>
        </w:rPr>
        <w:t>дължения за прозрачност според вида на съдържанието и съответния сектор. Комисията ще следи отблизо действията, предприемани за тази цел на равнището на държавите членки, за да гарантира ефикасността и съгласуваността на получените резултати. Тя ще продълж</w:t>
      </w:r>
      <w:r>
        <w:rPr>
          <w:noProof/>
        </w:rPr>
        <w:t>и да работи съвместно с всички заинтересовани страни от секторите на културата и творчеството, в рамките на общи или специфични за отделните сектори диалози, с цел обсъждане на развитието на ситуацията около този въпрос и необходимостта от по-нататъшни дей</w:t>
      </w:r>
      <w:r>
        <w:rPr>
          <w:noProof/>
        </w:rPr>
        <w:t xml:space="preserve">ствия. </w:t>
      </w:r>
    </w:p>
    <w:p w:rsidR="0079576B" w:rsidRDefault="0059320A">
      <w:pPr>
        <w:spacing w:after="120"/>
        <w:contextualSpacing/>
        <w:jc w:val="both"/>
        <w:rPr>
          <w:noProof/>
          <w:shd w:val="clear" w:color="auto" w:fill="FFFF00"/>
        </w:rPr>
      </w:pPr>
      <w:r>
        <w:rPr>
          <w:noProof/>
        </w:rPr>
        <w:t>Като цяло, тези мерки ще допринесат за създаването на пазар на авторското право, който да работи ефикасно за всички страни, да създава правилните стимули за инвестиции и разпространение на творческото съдържание в онлайн средата, и да отстоява знач</w:t>
      </w:r>
      <w:r>
        <w:rPr>
          <w:noProof/>
        </w:rPr>
        <w:t>ението на свободата и многообразието на пресата в ЕС.</w:t>
      </w:r>
    </w:p>
    <w:p w:rsidR="0079576B" w:rsidRDefault="0059320A">
      <w:pPr>
        <w:pStyle w:val="Corps"/>
        <w:spacing w:before="240" w:after="240"/>
        <w:jc w:val="both"/>
        <w:rPr>
          <w:b/>
          <w:bCs/>
          <w:noProof/>
        </w:rPr>
      </w:pPr>
      <w:r>
        <w:rPr>
          <w:b/>
          <w:noProof/>
        </w:rPr>
        <w:t xml:space="preserve">5. </w:t>
      </w:r>
      <w:r>
        <w:rPr>
          <w:b/>
          <w:smallCaps/>
          <w:noProof/>
        </w:rPr>
        <w:t>Мерки за осигуряване на ефективна и балансирана система за прилагане</w:t>
      </w:r>
    </w:p>
    <w:p w:rsidR="0079576B" w:rsidRDefault="0059320A">
      <w:pPr>
        <w:pStyle w:val="Corps"/>
        <w:spacing w:before="240" w:after="240"/>
        <w:jc w:val="both"/>
        <w:rPr>
          <w:rStyle w:val="Aucun"/>
          <w:noProof/>
        </w:rPr>
      </w:pPr>
      <w:r>
        <w:rPr>
          <w:noProof/>
        </w:rPr>
        <w:t xml:space="preserve">Днес нарушенията на авторското право в търговски мащаб, породени от стремежа за възползване наготово от труда и инвестициите на </w:t>
      </w:r>
      <w:r>
        <w:rPr>
          <w:noProof/>
        </w:rPr>
        <w:t>другите, представляват сериозна заплаха за европейските творци поради това, че по този начин им се пречи да извлекат законна печалба от своите творби и в крайна сметка се лишават от стимул творчеството и иновациите. Без ефективна и балансирана система за у</w:t>
      </w:r>
      <w:r>
        <w:rPr>
          <w:noProof/>
        </w:rPr>
        <w:t>пражняване на авторското право и другите права върху интелектуална собственост (ПИС) тези права не са добре защитени и това задушава инвестициите в творчеството и иновациите. Както обяви в декемврийското си съобщение, Комисията в момента извършва оценка на</w:t>
      </w:r>
      <w:r>
        <w:rPr>
          <w:noProof/>
        </w:rPr>
        <w:t xml:space="preserve"> цялостното функциониране на съществуващата правна рамка за прилагане на ПИС, като част от една по-мащабна инициатива, целяща да се подобри закрилата на ПИС и наблягаща на нарушенията в търговски мащаб.</w:t>
      </w:r>
      <w:r>
        <w:rPr>
          <w:rStyle w:val="Aucun"/>
          <w:noProof/>
        </w:rPr>
        <w:t xml:space="preserve"> </w:t>
      </w:r>
    </w:p>
    <w:p w:rsidR="0079576B" w:rsidRDefault="0059320A">
      <w:pPr>
        <w:pStyle w:val="Corps"/>
        <w:spacing w:before="240" w:after="240"/>
        <w:jc w:val="both"/>
        <w:rPr>
          <w:rStyle w:val="Aucun"/>
          <w:noProof/>
        </w:rPr>
      </w:pPr>
      <w:r>
        <w:rPr>
          <w:rStyle w:val="Aucun"/>
          <w:noProof/>
        </w:rPr>
        <w:t>Изказаните мнения по време на обществената консултац</w:t>
      </w:r>
      <w:r>
        <w:rPr>
          <w:rStyle w:val="Aucun"/>
          <w:noProof/>
        </w:rPr>
        <w:t>ия във връзка с оценката и модернизирането на правната рамка за прилагане на ПИС</w:t>
      </w:r>
      <w:r>
        <w:rPr>
          <w:rStyle w:val="FootnoteReference"/>
          <w:noProof/>
        </w:rPr>
        <w:footnoteReference w:id="26"/>
      </w:r>
      <w:r>
        <w:rPr>
          <w:rStyle w:val="Aucun"/>
          <w:noProof/>
        </w:rPr>
        <w:t>, предприета в подкрепа на тази оценка, потвърждават, че нарушаването на ПИС, в т.ч. на авторското право, е сериозен проблем. Повече от три четвърти от изказалите своето мнени</w:t>
      </w:r>
      <w:r>
        <w:rPr>
          <w:rStyle w:val="Aucun"/>
          <w:noProof/>
        </w:rPr>
        <w:t>е носители на права и органи на публичната власт отбелязаха, че нарушенията на ПИС са нараснали през последните 10 години. Въпреки че по-голямата част от респондентите бяха на мнение, че съществуващите правила ефективно са допринесли за закрилата на интеле</w:t>
      </w:r>
      <w:r>
        <w:rPr>
          <w:rStyle w:val="Aucun"/>
          <w:noProof/>
        </w:rPr>
        <w:t>ктуалната собственост и за предотвратяване на нарушенията на интелектуалната собственост, много носители на права и посредници по-специално считат, че мерките и правните средства за защита, предвидени в Директивата относно упражняването на ПИС</w:t>
      </w:r>
      <w:r>
        <w:rPr>
          <w:rStyle w:val="FootnoteReference"/>
          <w:noProof/>
        </w:rPr>
        <w:footnoteReference w:id="27"/>
      </w:r>
      <w:r>
        <w:rPr>
          <w:rStyle w:val="Aucun"/>
          <w:noProof/>
        </w:rPr>
        <w:t>, не се прил</w:t>
      </w:r>
      <w:r>
        <w:rPr>
          <w:rStyle w:val="Aucun"/>
          <w:noProof/>
        </w:rPr>
        <w:t>агат по еднакъв начин във всички държави членки. Това може да доведе до различно равнище на закрила в държавите членки и навежда на извода, че с Директивата относно упражняването на ПИС не са премахнати напълно различията на национално равнище по отношение</w:t>
      </w:r>
      <w:r>
        <w:rPr>
          <w:rStyle w:val="Aucun"/>
          <w:noProof/>
        </w:rPr>
        <w:t xml:space="preserve"> на мерките за осигуряване на спазването на ПИС. Значителен брой респонденти също така подчертаха необходимостта от адаптиране на някои от тези мерки с цел да се гарантира правната сигурност и да се повиши тяхната ефективност, например що се отнася до прил</w:t>
      </w:r>
      <w:r>
        <w:rPr>
          <w:rStyle w:val="Aucun"/>
          <w:noProof/>
        </w:rPr>
        <w:t>агането на временни и охранителни мерки и възбрани спрямо доставчиците на услуги, действащи като посредници, или изчисляването на подходящи обезщетения. Тромавата процедура с оглед налагането на временни и охранителни мерки или възбрани за едни и същи нару</w:t>
      </w:r>
      <w:r>
        <w:rPr>
          <w:rStyle w:val="Aucun"/>
          <w:noProof/>
        </w:rPr>
        <w:t xml:space="preserve">шения спрямо подобни адресати в повече от една юрисдикция в ЕС е друг аспект, изтъкнат особено настоятелно от носителите на авторски права. </w:t>
      </w:r>
    </w:p>
    <w:p w:rsidR="0079576B" w:rsidRDefault="0059320A">
      <w:pPr>
        <w:pStyle w:val="Corps"/>
        <w:jc w:val="both"/>
        <w:rPr>
          <w:rStyle w:val="Aucun"/>
          <w:noProof/>
        </w:rPr>
      </w:pPr>
      <w:r>
        <w:rPr>
          <w:rStyle w:val="Aucun"/>
          <w:noProof/>
        </w:rPr>
        <w:t xml:space="preserve">Въз основа на резултатите от оценката Комисията ще предложи необходимите изменения в законодателната рамка с оглед </w:t>
      </w:r>
      <w:r>
        <w:rPr>
          <w:rStyle w:val="Aucun"/>
          <w:noProof/>
        </w:rPr>
        <w:t>подобряване на правната рамка за прилагане по отношение на всички нарушения на ПИС, включително нарушенията на авторското право, изясняване на обхвата и прилагането на временни и охранителни мерки и възбрани, както и на правилата за изчисляването и присъжд</w:t>
      </w:r>
      <w:r>
        <w:rPr>
          <w:rStyle w:val="Aucun"/>
          <w:noProof/>
        </w:rPr>
        <w:t xml:space="preserve">ането на обезщетения. Комисията също така ще проучи възможностите за улесняване на налагането на временни и охранителни мерки и възбрани за едни и същи нарушения срещу подобни адресати в повече от една юрисдикция в ЕС. </w:t>
      </w:r>
    </w:p>
    <w:p w:rsidR="0079576B" w:rsidRDefault="0059320A">
      <w:pPr>
        <w:pStyle w:val="Corps"/>
        <w:spacing w:before="240" w:after="240"/>
        <w:jc w:val="both"/>
        <w:rPr>
          <w:noProof/>
        </w:rPr>
      </w:pPr>
      <w:r>
        <w:rPr>
          <w:noProof/>
        </w:rPr>
        <w:t>Бързо развиващите се цифрова среда и</w:t>
      </w:r>
      <w:r>
        <w:rPr>
          <w:noProof/>
        </w:rPr>
        <w:t xml:space="preserve"> технологии обаче налагат също така мерките, процедурите и правните средства за защита, предвидени в Директивата относно упражняването на ПИС, да могат да се прилагат и за тях да се взема решение от компетентните национални съдилища без излишно забавяне. Т</w:t>
      </w:r>
      <w:r>
        <w:rPr>
          <w:noProof/>
        </w:rPr>
        <w:t xml:space="preserve">ова е от особено значение във връзка със закрилата на произведения и други защитени обекти. Държавите членки трябва да гарантират, че техните съдебни системи разполагат с необходимия капацитет, за да отговорят на необходимостта от бърза и ефикасна закрила </w:t>
      </w:r>
      <w:r>
        <w:rPr>
          <w:noProof/>
        </w:rPr>
        <w:t>на ПИС, особено в интернет. Освен това Комисията ще направи оценка на стимулите за поощряване на специализацията на националните съдии, що се отнася до нарушаването и валидността на ПИС, отчитайки положителния опит, споделен от държавите членки, които вече</w:t>
      </w:r>
      <w:r>
        <w:rPr>
          <w:noProof/>
        </w:rPr>
        <w:t xml:space="preserve"> разполагат с такива специализирани съдии. </w:t>
      </w:r>
    </w:p>
    <w:p w:rsidR="0079576B" w:rsidRDefault="0059320A">
      <w:pPr>
        <w:jc w:val="both"/>
        <w:rPr>
          <w:noProof/>
        </w:rPr>
      </w:pPr>
      <w:r>
        <w:rPr>
          <w:noProof/>
        </w:rPr>
        <w:t>В декемврийското съобщение се посочва също така, че „Комисията ще предприеме незабавни действия заедно с всички засегнати страни във връзка с въвеждането и прилагането на механизми от типа „следвай парите“ в рамк</w:t>
      </w:r>
      <w:r>
        <w:rPr>
          <w:noProof/>
        </w:rPr>
        <w:t>ите на подход на саморегулиране“</w:t>
      </w:r>
      <w:r>
        <w:rPr>
          <w:rStyle w:val="FootnoteReference"/>
          <w:noProof/>
        </w:rPr>
        <w:footnoteReference w:id="28"/>
      </w:r>
      <w:r>
        <w:rPr>
          <w:noProof/>
        </w:rPr>
        <w:t>.</w:t>
      </w:r>
      <w:r>
        <w:rPr>
          <w:rStyle w:val="Aucun"/>
          <w:noProof/>
        </w:rPr>
        <w:t xml:space="preserve"> </w:t>
      </w:r>
      <w:r>
        <w:rPr>
          <w:noProof/>
        </w:rPr>
        <w:t>Въз основа на положителния опит от съществуващия и наскоро осъвременен Меморандум за разбирателство относно онлайн продажбата на фалшифицирани стоки</w:t>
      </w:r>
      <w:r>
        <w:rPr>
          <w:rStyle w:val="FootnoteReference"/>
          <w:noProof/>
        </w:rPr>
        <w:footnoteReference w:id="29"/>
      </w:r>
      <w:r>
        <w:rPr>
          <w:noProof/>
        </w:rPr>
        <w:t xml:space="preserve"> Комисията одобри сключването на доброволни споразумения за сътрудничест</w:t>
      </w:r>
      <w:r>
        <w:rPr>
          <w:noProof/>
        </w:rPr>
        <w:t>во с участието на други видове доставчици на услуги в ролята на посредници в областта на закрилата на ПИС</w:t>
      </w:r>
      <w:r>
        <w:rPr>
          <w:rStyle w:val="FootnoteReference"/>
          <w:noProof/>
        </w:rPr>
        <w:footnoteReference w:id="30"/>
      </w:r>
      <w:r>
        <w:rPr>
          <w:noProof/>
        </w:rPr>
        <w:t>, в т.ч. доставчиците на рекламни, разплащателни и спедиторски услуги.</w:t>
      </w:r>
      <w:r>
        <w:rPr>
          <w:rStyle w:val="Aucun"/>
          <w:noProof/>
        </w:rPr>
        <w:t xml:space="preserve"> Онлайн рекламата е важен източник на приходи за интернет сайтовете, нарушаващи </w:t>
      </w:r>
      <w:r>
        <w:rPr>
          <w:rStyle w:val="Aucun"/>
          <w:noProof/>
        </w:rPr>
        <w:t>авторското право. Целта на инициативата, свързана с рекламата, е да бъде възпряно поместването на рекламни съобщения на търговски уебсайтове, нарушаващи ПИС, като по този начин се предотврати финансирането на нарушаването на ПИС чрез приходи от реклама. До</w:t>
      </w:r>
      <w:r>
        <w:rPr>
          <w:rStyle w:val="Aucun"/>
          <w:noProof/>
        </w:rPr>
        <w:t>колкото нарушаващите авторското право уебсайтове прилагат специална схема за премиум членовете или т.нар. абонаментна схема, заключаваща се в предоставянето на по-бърз достъп до съдържанието срещу заплащане, доставчиците на разплащателни услуги могат да иг</w:t>
      </w:r>
      <w:r>
        <w:rPr>
          <w:rStyle w:val="Aucun"/>
          <w:noProof/>
        </w:rPr>
        <w:t xml:space="preserve">раят ключова роля при прилагането на принципа „следвай парите“, осуетявайки финансовите трансакции и в крайна сметка премахвайки техните услуги, като по този начин правят нерентабилни тези дейности. </w:t>
      </w:r>
      <w:r>
        <w:rPr>
          <w:rStyle w:val="Aucun"/>
          <w:noProof/>
          <w:color w:val="000000"/>
          <w:u w:color="000000"/>
        </w:rPr>
        <w:t>Комисията е твърдо решена да постигне конкретни резултати</w:t>
      </w:r>
      <w:r>
        <w:rPr>
          <w:rStyle w:val="Aucun"/>
          <w:noProof/>
          <w:color w:val="000000"/>
          <w:u w:color="000000"/>
        </w:rPr>
        <w:t xml:space="preserve"> в тези процеси, които са от решаващо значение в борбата с пиратството, и очаква възможно най-широк кръг от заинтересовани страни да се включат в тях въз основа на съществуващи подобни споразумения на национално равнище. </w:t>
      </w:r>
      <w:r>
        <w:rPr>
          <w:rStyle w:val="Aucun"/>
          <w:noProof/>
        </w:rPr>
        <w:t>В</w:t>
      </w:r>
      <w:r>
        <w:rPr>
          <w:rStyle w:val="Aucun"/>
          <w:noProof/>
          <w:lang w:val="en-GB"/>
        </w:rPr>
        <w:t> </w:t>
      </w:r>
      <w:r>
        <w:rPr>
          <w:rStyle w:val="Aucun"/>
          <w:noProof/>
        </w:rPr>
        <w:t>зависимост от осъществения напред</w:t>
      </w:r>
      <w:r>
        <w:rPr>
          <w:rStyle w:val="Aucun"/>
          <w:noProof/>
        </w:rPr>
        <w:t>ък в рамките на тези инициативи Комисията ще проучи и други възможности за укрепване на участието на доставчиците на услуги, действащи като посредници при закрилата на ПИС, като например отговорността на посредниците в случаите, когато посредникът е наясно</w:t>
      </w:r>
      <w:r>
        <w:rPr>
          <w:rStyle w:val="Aucun"/>
          <w:noProof/>
        </w:rPr>
        <w:t xml:space="preserve"> с това, че услугите му се използват от трета страна за нарушаване на ПИС, но се въздържа от намеса.</w:t>
      </w:r>
    </w:p>
    <w:p w:rsidR="0079576B" w:rsidRDefault="0079576B">
      <w:pPr>
        <w:pStyle w:val="Corps"/>
        <w:jc w:val="both"/>
        <w:rPr>
          <w:noProof/>
        </w:rPr>
      </w:pPr>
    </w:p>
    <w:p w:rsidR="0079576B" w:rsidRDefault="0059320A">
      <w:pPr>
        <w:pStyle w:val="Corps"/>
        <w:spacing w:after="240"/>
        <w:jc w:val="both"/>
        <w:rPr>
          <w:rStyle w:val="None"/>
          <w:b/>
          <w:bCs/>
          <w:smallCaps/>
          <w:noProof/>
        </w:rPr>
      </w:pPr>
      <w:r>
        <w:rPr>
          <w:rStyle w:val="None"/>
          <w:b/>
          <w:smallCaps/>
          <w:noProof/>
        </w:rPr>
        <w:t>6. Заключение</w:t>
      </w:r>
    </w:p>
    <w:p w:rsidR="0079576B" w:rsidRDefault="0059320A">
      <w:pPr>
        <w:pStyle w:val="Corps"/>
        <w:spacing w:after="240"/>
        <w:jc w:val="both"/>
        <w:rPr>
          <w:rStyle w:val="Aucun"/>
          <w:noProof/>
        </w:rPr>
      </w:pPr>
      <w:r>
        <w:rPr>
          <w:rStyle w:val="Aucun"/>
          <w:noProof/>
        </w:rPr>
        <w:t>Културните и творческите отрасли са важни за Европа в много аспекти. Те са важен икономически сектор, но също така са основен източник на об</w:t>
      </w:r>
      <w:r>
        <w:rPr>
          <w:rStyle w:val="Aucun"/>
          <w:noProof/>
        </w:rPr>
        <w:t>учение и развлечения и са от съществено значение за запазването и подхранването на културното многообразие в Европа. Способността на европейските отрасли, подвластни на авторските права, да създават иновации в цифровата среда е предпоставка за техния успех</w:t>
      </w:r>
      <w:r>
        <w:rPr>
          <w:rStyle w:val="Aucun"/>
          <w:noProof/>
        </w:rPr>
        <w:t xml:space="preserve"> и за способността им да са конкурентоспособни в световен мащаб. </w:t>
      </w:r>
    </w:p>
    <w:p w:rsidR="0079576B" w:rsidRDefault="0059320A">
      <w:pPr>
        <w:pStyle w:val="Corps"/>
        <w:spacing w:after="240"/>
        <w:jc w:val="both"/>
        <w:rPr>
          <w:noProof/>
        </w:rPr>
      </w:pPr>
      <w:r>
        <w:rPr>
          <w:rStyle w:val="Aucun"/>
          <w:noProof/>
        </w:rPr>
        <w:t>Ето защо наличието на добре разработена рамка за авторските права и мерки за подкрепа е от съществено значение за авторите, изпълнителите и секторите на културата и творчеството, за да могат</w:t>
      </w:r>
      <w:r>
        <w:rPr>
          <w:rStyle w:val="Aucun"/>
          <w:noProof/>
        </w:rPr>
        <w:t xml:space="preserve"> те да достигнат до по-широка аудитория и в крайна сметка да осигурят повече възможности за избор за гражданите. Комисията в момента изпълнява амбициозна програма, която, успоредно с модернизирането на рамката на ЕС за авторското право в полза на всички за</w:t>
      </w:r>
      <w:r>
        <w:rPr>
          <w:rStyle w:val="Aucun"/>
          <w:noProof/>
        </w:rPr>
        <w:t>интересовани страни, подкрепя достъпността и видимостта на европейското културно и творческо съдържание, включително в трансграничен контекст. Законодателните инициативи и мерките за финансова подкрепа взаимно се допълват и подсилват. Комисията текущо ще с</w:t>
      </w:r>
      <w:r>
        <w:rPr>
          <w:rStyle w:val="Aucun"/>
          <w:noProof/>
        </w:rPr>
        <w:t xml:space="preserve">леди въздействието на тези мерки и предприетите последващи действия от страна на индустрията за залагането на изложените по-горе цели в нейните бизнес модели. </w:t>
      </w:r>
    </w:p>
    <w:sectPr w:rsidR="007957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020" w:right="1701" w:bottom="1020" w:left="1587" w:header="601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6B" w:rsidRDefault="0059320A">
      <w:r>
        <w:separator/>
      </w:r>
    </w:p>
  </w:endnote>
  <w:endnote w:type="continuationSeparator" w:id="0">
    <w:p w:rsidR="0079576B" w:rsidRDefault="0059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SquareSansPro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A" w:rsidRPr="0059320A" w:rsidRDefault="0059320A" w:rsidP="00593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A" w:rsidRPr="0059320A" w:rsidRDefault="0059320A" w:rsidP="0059320A">
    <w:pPr>
      <w:pStyle w:val="FooterCoverPage"/>
      <w:rPr>
        <w:rFonts w:ascii="Arial" w:hAnsi="Arial" w:cs="Arial"/>
        <w:b/>
        <w:sz w:val="48"/>
      </w:rPr>
    </w:pPr>
    <w:r w:rsidRPr="0059320A">
      <w:rPr>
        <w:rFonts w:ascii="Arial" w:hAnsi="Arial" w:cs="Arial"/>
        <w:b/>
        <w:sz w:val="48"/>
      </w:rPr>
      <w:t>BG</w:t>
    </w:r>
    <w:r w:rsidRPr="0059320A">
      <w:rPr>
        <w:rFonts w:ascii="Arial" w:hAnsi="Arial" w:cs="Arial"/>
        <w:b/>
        <w:sz w:val="48"/>
      </w:rPr>
      <w:tab/>
    </w:r>
    <w:r w:rsidRPr="0059320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9320A">
      <w:tab/>
    </w:r>
    <w:proofErr w:type="spellStart"/>
    <w:r w:rsidRPr="0059320A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A" w:rsidRPr="0059320A" w:rsidRDefault="0059320A" w:rsidP="0059320A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6B" w:rsidRDefault="0079576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6B" w:rsidRDefault="0059320A">
    <w:pPr>
      <w:pStyle w:val="Footer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6B" w:rsidRDefault="0079576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6B" w:rsidRDefault="0059320A">
      <w:r>
        <w:separator/>
      </w:r>
    </w:p>
  </w:footnote>
  <w:footnote w:type="continuationSeparator" w:id="0">
    <w:p w:rsidR="0079576B" w:rsidRDefault="0059320A">
      <w:r>
        <w:continuationSeparator/>
      </w:r>
    </w:p>
  </w:footnote>
  <w:footnote w:type="continuationNotice" w:id="1">
    <w:p w:rsidR="0079576B" w:rsidRDefault="0079576B"/>
  </w:footnote>
  <w:footnote w:id="2">
    <w:p w:rsidR="0079576B" w:rsidRDefault="0059320A">
      <w:pPr>
        <w:pStyle w:val="FootnoteText"/>
        <w:ind w:left="709" w:hanging="709"/>
        <w:jc w:val="both"/>
        <w:rPr>
          <w:lang w:val="en-GB"/>
        </w:rPr>
      </w:pPr>
      <w:r>
        <w:rPr>
          <w:vertAlign w:val="superscript"/>
        </w:rPr>
        <w:footnoteRef/>
      </w:r>
      <w:r>
        <w:t xml:space="preserve"> </w:t>
      </w:r>
      <w:r>
        <w:tab/>
        <w:t>Съобщение на Комисията „Стратегия за цифров единен пазар за Европа“, 6</w:t>
      </w:r>
      <w:r>
        <w:t xml:space="preserve"> май 2015 г. COM(2015) 192 </w:t>
      </w:r>
      <w:proofErr w:type="spellStart"/>
      <w:r>
        <w:t>final</w:t>
      </w:r>
      <w:proofErr w:type="spellEnd"/>
      <w:r>
        <w:t>.</w:t>
      </w:r>
    </w:p>
  </w:footnote>
  <w:footnote w:id="3">
    <w:p w:rsidR="0079576B" w:rsidRDefault="0059320A">
      <w:pPr>
        <w:pStyle w:val="FootnoteText"/>
        <w:rPr>
          <w:lang w:val="en-GB"/>
        </w:rPr>
      </w:pPr>
      <w:r>
        <w:rPr>
          <w:vertAlign w:val="superscript"/>
        </w:rPr>
        <w:footnoteRef/>
      </w:r>
      <w:r>
        <w:t xml:space="preserve"> </w:t>
      </w:r>
      <w:r>
        <w:tab/>
      </w:r>
      <w:r>
        <w:t xml:space="preserve">COM(2015) 626 </w:t>
      </w:r>
      <w:proofErr w:type="spellStart"/>
      <w:r>
        <w:t>final</w:t>
      </w:r>
      <w:proofErr w:type="spellEnd"/>
      <w:r>
        <w:t>.</w:t>
      </w:r>
    </w:p>
  </w:footnote>
  <w:footnote w:id="4">
    <w:p w:rsidR="0079576B" w:rsidRDefault="0059320A">
      <w:pPr>
        <w:pStyle w:val="FootnoteText"/>
        <w:jc w:val="both"/>
        <w:rPr>
          <w:lang w:val="en-GB"/>
        </w:rPr>
      </w:pPr>
      <w:r>
        <w:rPr>
          <w:vertAlign w:val="superscript"/>
        </w:rPr>
        <w:footnoteRef/>
      </w:r>
      <w:r>
        <w:t xml:space="preserve"> </w:t>
      </w:r>
      <w:r>
        <w:tab/>
      </w:r>
      <w:r>
        <w:t xml:space="preserve">COM(2015) 627 </w:t>
      </w:r>
      <w:proofErr w:type="spellStart"/>
      <w:r>
        <w:t>final</w:t>
      </w:r>
      <w:proofErr w:type="spellEnd"/>
      <w:r>
        <w:t>.</w:t>
      </w:r>
    </w:p>
  </w:footnote>
  <w:footnote w:id="5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Бюджетът на програмата за периода 2014—2020 г. възлиза на 1,46 млрд. EUR. Програмата „Творческа Европа“ включва, наред с </w:t>
      </w:r>
      <w:proofErr w:type="spellStart"/>
      <w:r>
        <w:t>междусекторното</w:t>
      </w:r>
      <w:proofErr w:type="spellEnd"/>
      <w:r>
        <w:t xml:space="preserve"> направление, подпрограма „Култура“</w:t>
      </w:r>
      <w:r>
        <w:t xml:space="preserve"> и подпрограма „МЕДИА“.</w:t>
      </w:r>
    </w:p>
  </w:footnote>
  <w:footnote w:id="6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Комисията също така е в процес на търсене на други източници на финансиране за сектора, в т.ч. дялово финансиране и колективно финансиране.</w:t>
      </w:r>
    </w:p>
  </w:footnote>
  <w:footnote w:id="7">
    <w:p w:rsidR="0079576B" w:rsidRDefault="0059320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Подпрограма на програма „Творческа Европа“.</w:t>
      </w:r>
    </w:p>
  </w:footnote>
  <w:footnote w:id="8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Предложение за Регламент на Европейския</w:t>
      </w:r>
      <w:r>
        <w:t xml:space="preserve"> парламент и на Съвета за установяване на правилата за упражняване на авторското право и сродните му права, приложими за някои онлайн предавания на организациите за радио- или телевизионно разпространение и препредавания на телевизионни и радиопрограми, CO</w:t>
      </w:r>
      <w:r>
        <w:t>M(2016) 594.</w:t>
      </w:r>
    </w:p>
  </w:footnote>
  <w:footnote w:id="9">
    <w:p w:rsidR="0079576B" w:rsidRDefault="0059320A">
      <w:pPr>
        <w:pStyle w:val="FootnoteText"/>
        <w:ind w:left="709" w:hanging="709"/>
        <w:jc w:val="both"/>
      </w:pPr>
      <w:r>
        <w:rPr>
          <w:vertAlign w:val="superscript"/>
        </w:rPr>
        <w:footnoteRef/>
      </w:r>
      <w:r>
        <w:t xml:space="preserve"> </w:t>
      </w:r>
      <w:r>
        <w:tab/>
      </w:r>
      <w:r>
        <w:t>Директива 93/83/ЕИО.</w:t>
      </w:r>
    </w:p>
  </w:footnote>
  <w:footnote w:id="10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Предложение за Директива на Европейския парламент и на Съвета относно авторското право в цифровия единен пазар, COM(2016) 593.</w:t>
      </w:r>
    </w:p>
  </w:footnote>
  <w:footnote w:id="11">
    <w:p w:rsidR="0079576B" w:rsidRDefault="0059320A">
      <w:pPr>
        <w:pStyle w:val="FootnoteText"/>
        <w:ind w:left="709" w:hanging="709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Style w:val="Aucun"/>
        </w:rPr>
        <w:t>В средностатистически план европейските филми достигат едва до 2,8 държави — членки на</w:t>
      </w:r>
      <w:r>
        <w:rPr>
          <w:rStyle w:val="Aucun"/>
        </w:rPr>
        <w:t xml:space="preserve"> ЕС, в сравнение с аудитория от 6,8 държави — членки на ЕС, до която достигат американските филми. В киносалоните посочената по-горе разлика между европейските филми (2,6) и американските филми (9,7) е дори още по-голяма (Европейска аудио-визуална обсерват</w:t>
      </w:r>
      <w:r>
        <w:rPr>
          <w:rStyle w:val="Aucun"/>
        </w:rPr>
        <w:t>ория, „Как се разпространяват филмите в рамките на услугите за видео по заявка и в киносалоните в Европейския съюз?“, май 2016 г.).</w:t>
      </w:r>
    </w:p>
  </w:footnote>
  <w:footnote w:id="12">
    <w:p w:rsidR="0079576B" w:rsidRDefault="0059320A">
      <w:pPr>
        <w:pStyle w:val="FootnoteText"/>
        <w:ind w:left="709" w:hanging="709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47 % от филмите, продуцирани в ЕС и разпространявани в киносалоните в ЕС в периода 2005—2014 г., са достъпни чрез най-мал</w:t>
      </w:r>
      <w:r>
        <w:t>ко една услуга за видео по заявка (5046 от общо 10 828 филма), докато 87 % от американските филми, разпространявани в същия период в киносалоните в ЕС, са достъпни чрез най-малко една услуга за видео по заявка (2404 от общо 2748 филма) (Европейска аудио-ви</w:t>
      </w:r>
      <w:r>
        <w:t>зуална обсерватория, „Как се разпространяват филмите в рамките на услугите за видео по заявка и в киносалоните в Европейския съюз?“, май 2016 г.).</w:t>
      </w:r>
    </w:p>
  </w:footnote>
  <w:footnote w:id="13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ISAN (международен стандартен номер на аудио-визуално произведение) и EIDR (регистър за идентифициране на </w:t>
      </w:r>
      <w:r>
        <w:t>развлекателни произведения).</w:t>
      </w:r>
    </w:p>
  </w:footnote>
  <w:footnote w:id="14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Style w:val="Aucun"/>
        </w:rPr>
        <w:t>До края на 2016 г. Комисията ще предложи също така използването на общ стандартен идентификатор като изискване за подкрепа по програма „МЕДИА“.</w:t>
      </w:r>
    </w:p>
  </w:footnote>
  <w:footnote w:id="15">
    <w:p w:rsidR="0079576B" w:rsidRDefault="0059320A">
      <w:pPr>
        <w:pStyle w:val="FootnoteText"/>
        <w:ind w:left="709" w:hanging="709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По отношение на някои аудио-визуални произведения глобалните платформи изискв</w:t>
      </w:r>
      <w:r>
        <w:t>ат минимален брой езикови версии.</w:t>
      </w:r>
    </w:p>
  </w:footnote>
  <w:footnote w:id="16">
    <w:p w:rsidR="0079576B" w:rsidRDefault="0059320A">
      <w:pPr>
        <w:pStyle w:val="FootnoteText"/>
        <w:ind w:left="709" w:hanging="709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Според неотдавнашен доклад на Европейската аудио-визуална обсерватория („Как се разпространяват филмите в рамките на услугите за видео по заявка и в киносалоните в Европейския съюз?“, май 2016 г.), разпространението на </w:t>
      </w:r>
      <w:r>
        <w:t xml:space="preserve">копродукциите е по-добро от средното за европейските филми. Европейските филми се разпространяват средно в 2,8 държави, докато европейските копродукции — в 3,6 държави. </w:t>
      </w:r>
    </w:p>
  </w:footnote>
  <w:footnote w:id="17">
    <w:p w:rsidR="0079576B" w:rsidRDefault="0059320A">
      <w:pPr>
        <w:pStyle w:val="FootnoteText"/>
        <w:ind w:left="720" w:hanging="720"/>
        <w:jc w:val="both"/>
      </w:pPr>
      <w:r>
        <w:rPr>
          <w:vertAlign w:val="superscript"/>
        </w:rPr>
        <w:footnoteRef/>
      </w:r>
      <w:r>
        <w:t xml:space="preserve"> </w:t>
      </w:r>
      <w:r>
        <w:tab/>
      </w:r>
      <w:r>
        <w:t>Предложение за Директива на Европейския парламент и на Съвета за изменение на Дирек</w:t>
      </w:r>
      <w:r>
        <w:t xml:space="preserve">тива 2010/13/ЕС за координирането на някои разпоредби, установени в закони, подзаконови и административни актове на държавите членки, отнасящи се до предоставянето на аудиовизуални медийни услуги, с оглед на променящите се пазарни условия, COM(2016) 287 </w:t>
      </w:r>
      <w:proofErr w:type="spellStart"/>
      <w:r>
        <w:t>fi</w:t>
      </w:r>
      <w:r>
        <w:t>nal</w:t>
      </w:r>
      <w:proofErr w:type="spellEnd"/>
      <w:r>
        <w:t>.</w:t>
      </w:r>
    </w:p>
  </w:footnote>
  <w:footnote w:id="18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Предложение за Директива на Европейския парламент и на Съвета относно авторското право в цифровия единен пазар, COM(2016) 593.</w:t>
      </w:r>
    </w:p>
  </w:footnote>
  <w:footnote w:id="19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Предложение за Директива на Европейския парламент и на Съвета относно авторското право в цифровия единен пазар, COM(20</w:t>
      </w:r>
      <w:r>
        <w:t>16) 593.</w:t>
      </w:r>
    </w:p>
  </w:footnote>
  <w:footnote w:id="20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Предложение за Директива на Европейския парламент и на Съвета относно някои позволени начини на ползване на произведения и други обекти, защитени от авторското право и сродните му права, в полза на лицата, които са незрящи, с нарушено зрение ил</w:t>
      </w:r>
      <w:r>
        <w:t>и с други увреждания, които не позволяват четенето на печатни материали, и за изменение на Директива 2001/29/ЕО относно хармонизирането на някои аспекти на авторското право и сродните му права в информационното общество, СОМ(2016) 596, и предложение за Рег</w:t>
      </w:r>
      <w:r>
        <w:t>ламент на Европейския парламент и на Съвета относно трансграничния обмен между Съюза и трети държави на копия в достъпен формат от някои произведения и други обекти, защитени от авторското право и сродните му права, в полза на лицата, които са незрящи, с н</w:t>
      </w:r>
      <w:r>
        <w:t>арушено зрение или с други увреждания, които не позволяват четенето на печатни материали, COM(2016) 595.</w:t>
      </w:r>
    </w:p>
  </w:footnote>
  <w:footnote w:id="21">
    <w:p w:rsidR="0079576B" w:rsidRDefault="0059320A">
      <w:pPr>
        <w:pStyle w:val="FootnoteText"/>
        <w:ind w:left="709" w:hanging="709"/>
        <w:jc w:val="both"/>
      </w:pPr>
      <w:r>
        <w:rPr>
          <w:vertAlign w:val="superscript"/>
        </w:rPr>
        <w:footnoteRef/>
      </w:r>
      <w:r>
        <w:t xml:space="preserve"> </w:t>
      </w:r>
      <w:r>
        <w:tab/>
      </w:r>
      <w:r>
        <w:t xml:space="preserve">Маракешки договор за улесняване на достъпа до публикувани произведения за слепи хора, лица с нарушено зрение или с други увреждания, които не позволяват четенето на печатни материали, подписан от името на ЕС на 30 април 2014 г. </w:t>
      </w:r>
    </w:p>
  </w:footnote>
  <w:footnote w:id="22">
    <w:p w:rsidR="0079576B" w:rsidRDefault="0059320A">
      <w:pPr>
        <w:pStyle w:val="FootnoteText"/>
        <w:jc w:val="both"/>
        <w:rPr>
          <w:lang w:val="nl-NL"/>
        </w:rPr>
      </w:pPr>
      <w:r>
        <w:rPr>
          <w:vertAlign w:val="superscript"/>
        </w:rPr>
        <w:footnoteRef/>
      </w:r>
      <w:r>
        <w:t xml:space="preserve"> </w:t>
      </w:r>
      <w:r>
        <w:tab/>
      </w:r>
      <w:r>
        <w:t xml:space="preserve">Дело C-174/15, </w:t>
      </w:r>
      <w:proofErr w:type="spellStart"/>
      <w:r>
        <w:t>Verenigin</w:t>
      </w:r>
      <w:r>
        <w:t>g</w:t>
      </w:r>
      <w:proofErr w:type="spellEnd"/>
      <w:r>
        <w:t xml:space="preserve"> </w:t>
      </w:r>
      <w:proofErr w:type="spellStart"/>
      <w:r>
        <w:t>Openbare</w:t>
      </w:r>
      <w:proofErr w:type="spellEnd"/>
      <w:r>
        <w:t xml:space="preserve"> </w:t>
      </w:r>
      <w:proofErr w:type="spellStart"/>
      <w:r>
        <w:t>Bibliotheken</w:t>
      </w:r>
      <w:proofErr w:type="spellEnd"/>
      <w:r>
        <w:t>/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Leenrecht</w:t>
      </w:r>
      <w:proofErr w:type="spellEnd"/>
      <w:r>
        <w:t>.</w:t>
      </w:r>
    </w:p>
  </w:footnote>
  <w:footnote w:id="23">
    <w:p w:rsidR="0079576B" w:rsidRDefault="0059320A">
      <w:pPr>
        <w:pStyle w:val="FootnoteText"/>
        <w:ind w:left="709" w:hanging="709"/>
        <w:jc w:val="both"/>
        <w:rPr>
          <w:rStyle w:val="Hyperlink"/>
          <w:color w:val="auto"/>
          <w:u w:color="0000FF"/>
        </w:rPr>
      </w:pPr>
      <w:r>
        <w:rPr>
          <w:vertAlign w:val="superscript"/>
        </w:rPr>
        <w:footnoteRef/>
      </w:r>
      <w:r>
        <w:t xml:space="preserve"> </w:t>
      </w:r>
      <w:r>
        <w:tab/>
      </w:r>
      <w:r>
        <w:t xml:space="preserve">Вж. </w:t>
      </w:r>
      <w:hyperlink r:id="rId1">
        <w:r>
          <w:rPr>
            <w:rStyle w:val="Hyperlink"/>
            <w:color w:val="0000FF"/>
            <w:u w:color="0000FF"/>
          </w:rPr>
          <w:t>https://ec.europa.eu/digital-single-market/en/news/pu</w:t>
        </w:r>
        <w:r>
          <w:rPr>
            <w:rStyle w:val="Hyperlink"/>
            <w:color w:val="0000FF"/>
            <w:u w:color="0000FF"/>
          </w:rPr>
          <w:t>blic-consultation-role-publishers-copyright-value-chain-and-panorama-exception</w:t>
        </w:r>
      </w:hyperlink>
      <w:r>
        <w:rPr>
          <w:rStyle w:val="Hyperlink"/>
          <w:color w:val="auto"/>
          <w:u w:color="0000FF"/>
        </w:rPr>
        <w:t>.</w:t>
      </w:r>
    </w:p>
  </w:footnote>
  <w:footnote w:id="24">
    <w:p w:rsidR="0079576B" w:rsidRDefault="0059320A">
      <w:pPr>
        <w:pStyle w:val="FootnoteText"/>
        <w:ind w:left="709" w:hanging="709"/>
        <w:jc w:val="both"/>
      </w:pPr>
      <w:r>
        <w:rPr>
          <w:vertAlign w:val="superscript"/>
        </w:rPr>
        <w:footnoteRef/>
      </w:r>
      <w:r>
        <w:t xml:space="preserve"> </w:t>
      </w:r>
      <w:r>
        <w:tab/>
      </w:r>
      <w:r>
        <w:t xml:space="preserve">Съобщение „Онлайн платформите и цифровият единен пазар. Възможности и предизвикателства пред Европа“, COM(2016) 288 </w:t>
      </w:r>
      <w:proofErr w:type="spellStart"/>
      <w:r>
        <w:t>final</w:t>
      </w:r>
      <w:proofErr w:type="spellEnd"/>
      <w:r>
        <w:t>.</w:t>
      </w:r>
    </w:p>
  </w:footnote>
  <w:footnote w:id="25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Предложение за Директива на Европейския парламе</w:t>
      </w:r>
      <w:r>
        <w:t>нт и на Съвета относно авторското право в цифровия единен пазар, COM(2016) 593.</w:t>
      </w:r>
    </w:p>
  </w:footnote>
  <w:footnote w:id="26">
    <w:p w:rsidR="0079576B" w:rsidRDefault="0059320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Вж. </w:t>
      </w:r>
      <w:hyperlink r:id="rId2">
        <w:r>
          <w:rPr>
            <w:rStyle w:val="Hyperlink"/>
            <w:color w:val="0000FF"/>
            <w:u w:color="0000FF"/>
          </w:rPr>
          <w:t>http://ec.europa.eu/growth/industry/intellectual-property/enforcement/</w:t>
        </w:r>
      </w:hyperlink>
      <w:r>
        <w:t>.</w:t>
      </w:r>
    </w:p>
  </w:footnote>
  <w:footnote w:id="27">
    <w:p w:rsidR="0079576B" w:rsidRDefault="0059320A">
      <w:pPr>
        <w:pStyle w:val="FootnoteText"/>
        <w:ind w:left="720" w:hanging="72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Директива 2004/48/ЕО на Европейския парламент и на Съвета от 29 април 2004 г. относно упражняването на права върху интелектуалната собственост.</w:t>
      </w:r>
    </w:p>
  </w:footnote>
  <w:footnote w:id="28">
    <w:p w:rsidR="0079576B" w:rsidRDefault="0059320A">
      <w:pPr>
        <w:pStyle w:val="FootnoteText"/>
        <w:ind w:left="709" w:hanging="709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Схемите за нарушаване на ПИС, имащи търговско измерение, се заключават в плащането за услуги, свързани с прои</w:t>
      </w:r>
      <w:r>
        <w:t xml:space="preserve">зводството, разпространението или рекламата на нарушаващи ПИС стоки и услуги, както и генерирането на приходи от реклама и продажба на такива стоки и услуги. Подходът „следвай парите“ предполага участието на различни видове доставчици на услуги, действащи </w:t>
      </w:r>
      <w:r>
        <w:t xml:space="preserve">като </w:t>
      </w:r>
      <w:proofErr w:type="spellStart"/>
      <w:r>
        <w:t>посредници</w:t>
      </w:r>
      <w:proofErr w:type="spellEnd"/>
      <w:r>
        <w:t xml:space="preserve"> при закрилата на ПИС, посредством разработването на мерки на политиката, които позволяват да се идентифицират дейностите, нарушаващи тези права, и се стремят да преустановят потока от приходи от такива дейности. </w:t>
      </w:r>
    </w:p>
  </w:footnote>
  <w:footnote w:id="29">
    <w:p w:rsidR="0079576B" w:rsidRDefault="0059320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3">
        <w:r>
          <w:rPr>
            <w:rStyle w:val="Hyperlink"/>
            <w:color w:val="0000FF"/>
            <w:u w:color="0000FF"/>
          </w:rPr>
          <w:t>http://ec.europa.eu/DocsRoom/documents/18023/</w:t>
        </w:r>
      </w:hyperlink>
    </w:p>
  </w:footnote>
  <w:footnote w:id="30">
    <w:p w:rsidR="0079576B" w:rsidRDefault="0059320A">
      <w:pPr>
        <w:pStyle w:val="FootnoteText"/>
        <w:ind w:left="709" w:hanging="709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Декларация на Комисията относно улесняването и мониторинга на меморандумите за разбирателство, целящи да възпрат имащите търговско измерение дейности, нарушаващи прав</w:t>
      </w:r>
      <w:r>
        <w:t xml:space="preserve">ата върху интелектуална собственост в рамките на вътрешния пазар: </w:t>
      </w:r>
      <w:hyperlink r:id="rId4">
        <w:r>
          <w:rPr>
            <w:rStyle w:val="Hyperlink0"/>
          </w:rPr>
          <w:t>http://ec.europa.eu/DocsRoom/documents/18023/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A" w:rsidRPr="0059320A" w:rsidRDefault="0059320A" w:rsidP="00593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A" w:rsidRPr="0059320A" w:rsidRDefault="0059320A" w:rsidP="0059320A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A" w:rsidRPr="0059320A" w:rsidRDefault="0059320A" w:rsidP="0059320A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6B" w:rsidRDefault="0079576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6B" w:rsidRDefault="0079576B">
    <w:pPr>
      <w:pStyle w:val="HeaderFoo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6B" w:rsidRDefault="0079576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184"/>
    <w:multiLevelType w:val="hybridMultilevel"/>
    <w:tmpl w:val="81B69FCA"/>
    <w:numStyleLink w:val="Style1import"/>
  </w:abstractNum>
  <w:abstractNum w:abstractNumId="1">
    <w:nsid w:val="22861DC1"/>
    <w:multiLevelType w:val="hybridMultilevel"/>
    <w:tmpl w:val="4790BDEE"/>
    <w:styleLink w:val="Style2import"/>
    <w:lvl w:ilvl="0" w:tplc="0672B642">
      <w:start w:val="1"/>
      <w:numFmt w:val="bullet"/>
      <w:lvlText w:val="•"/>
      <w:lvlJc w:val="left"/>
      <w:pPr>
        <w:ind w:left="8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AE35E">
      <w:start w:val="1"/>
      <w:numFmt w:val="bullet"/>
      <w:lvlText w:val="o"/>
      <w:lvlJc w:val="left"/>
      <w:pPr>
        <w:ind w:left="15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D6E820">
      <w:start w:val="1"/>
      <w:numFmt w:val="bullet"/>
      <w:lvlText w:val="▪"/>
      <w:lvlJc w:val="left"/>
      <w:pPr>
        <w:ind w:left="23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A28E">
      <w:start w:val="1"/>
      <w:numFmt w:val="bullet"/>
      <w:lvlText w:val="•"/>
      <w:lvlJc w:val="left"/>
      <w:pPr>
        <w:ind w:left="30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A0B44">
      <w:start w:val="1"/>
      <w:numFmt w:val="bullet"/>
      <w:lvlText w:val="o"/>
      <w:lvlJc w:val="left"/>
      <w:pPr>
        <w:ind w:left="37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06FF4">
      <w:start w:val="1"/>
      <w:numFmt w:val="bullet"/>
      <w:lvlText w:val="▪"/>
      <w:lvlJc w:val="left"/>
      <w:pPr>
        <w:ind w:left="44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079F6">
      <w:start w:val="1"/>
      <w:numFmt w:val="bullet"/>
      <w:lvlText w:val="•"/>
      <w:lvlJc w:val="left"/>
      <w:pPr>
        <w:ind w:left="51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6A4E12">
      <w:start w:val="1"/>
      <w:numFmt w:val="bullet"/>
      <w:lvlText w:val="o"/>
      <w:lvlJc w:val="left"/>
      <w:pPr>
        <w:ind w:left="59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042C0">
      <w:start w:val="1"/>
      <w:numFmt w:val="bullet"/>
      <w:lvlText w:val="▪"/>
      <w:lvlJc w:val="left"/>
      <w:pPr>
        <w:ind w:left="66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A9359C"/>
    <w:multiLevelType w:val="hybridMultilevel"/>
    <w:tmpl w:val="4790BDEE"/>
    <w:numStyleLink w:val="Style2import"/>
  </w:abstractNum>
  <w:abstractNum w:abstractNumId="3">
    <w:nsid w:val="61D14F13"/>
    <w:multiLevelType w:val="hybridMultilevel"/>
    <w:tmpl w:val="81B69FCA"/>
    <w:styleLink w:val="Style1import"/>
    <w:lvl w:ilvl="0" w:tplc="7DCC92D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2447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652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6FC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CA9D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8208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02F4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EA4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A60E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D56478C"/>
    <w:multiLevelType w:val="hybridMultilevel"/>
    <w:tmpl w:val="47CA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wrapTrailSpaces/>
    <w:useFELayout/>
    <w:compatSetting w:name="compatibilityMode" w:uri="http://schemas.microsoft.com/office/word" w:val="14"/>
  </w:compat>
  <w:docVars>
    <w:docVar w:name="COVERPAGE_EXISTS" w:val="True"/>
    <w:docVar w:name="DocStatus" w:val="Green"/>
    <w:docVar w:name="LW_CONFIDENCE" w:val=" "/>
    <w:docVar w:name="LW_CONST_RESTREINT_UE" w:val="RESTREINT UE/EU RESTRICTED"/>
    <w:docVar w:name="LW_CORRIGENDUM" w:val="&lt;UNUSED&gt;"/>
    <w:docVar w:name="LW_COVERPAGE_GUID" w:val="66D8AF1EF2B349F2A2994EB99B5E31F0"/>
    <w:docVar w:name="LW_CROSSREFERENCE" w:val="&lt;UNUSED&gt;"/>
    <w:docVar w:name="LW_DocType" w:val="NORMAL"/>
    <w:docVar w:name="LW_EMISSION" w:val="14.9.2016"/>
    <w:docVar w:name="LW_EMISSION_ISODATE" w:val="2016-09-14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1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592"/>
    <w:docVar w:name="LW_REF.INTERNE" w:val="&lt;UNUSED&gt;"/>
    <w:docVar w:name="LW_SOUS.TITRE.OBJ.CP" w:val="&lt;UNUSED&gt;"/>
    <w:docVar w:name="LW_SUPERTITRE" w:val="&lt;UNUSED&gt;"/>
    <w:docVar w:name="LW_TITRE.OBJ.CP" w:val="\u1053?\u1072?\u1089?\u1098?\u1088?\u1095?\u1072?\u1074?\u1072?\u1085?\u1077? \u1085?\u1072? \u1089?\u1087?\u1088?\u1072?\u1074?\u1077?\u1076?\u1083?\u1080?\u1074?\u1072?, \u1077?\u1092?\u1077?\u1082?\u1090?\u1080?\u1074?\u1085?\u1072? \u1080? \u1082?\u1086?\u1085?\u1082?\u1091?\u1088?\u1077?\u1085?\u1090?\u1086?\u1089?\u1087?\u1086?\u1089?\u1086?\u1073?\u1085?\u1072? \u1077?\u1074?\u1088?\u1086?\u1087?\u1077?\u1081?\u1089?\u1082?\u1072? \u1080?\u1082?\u1086?\u1085?\u1086?\u1084?\u1080?\u1082?\u1072?, \u1086?\u1089?\u1085?\u1086?\u1074?\u1072?\u1085?\u1072? \u1085?\u1072? \u1072?\u1074?\u1090?\u1086?\u1088?\u1089?\u1082?\u1086?\u1090?\u1086? \u1087?\u1088?\u1072?\u1074?\u1086?, \u1074? \u1094?\u1080?\u1092?\u1088?\u1086?\u1074?\u1080?\u1103? \u1077?\u1076?\u1080?\u1085?\u1077?\u1085? \u1087?\u1072?\u1079?\u1072?\u1088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  <w:docVar w:name="LW_TYPE.DOC.CP.USERTEXT" w:val="&lt;EMPTY&gt;"/>
  </w:docVars>
  <w:rsids>
    <w:rsidRoot w:val="0079576B"/>
    <w:rsid w:val="0059320A"/>
    <w:rsid w:val="007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bg-BG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cs="Arial Unicode MS"/>
      <w:color w:val="000000"/>
      <w:u w:color="000000"/>
    </w:rPr>
  </w:style>
  <w:style w:type="paragraph" w:customStyle="1" w:styleId="Pagedecouverture">
    <w:name w:val="Page de couverture"/>
    <w:next w:val="Corps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Corps">
    <w:name w:val="Corps"/>
    <w:link w:val="CorpsChar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eastAsia="Times New Roman"/>
      <w:color w:val="000000"/>
      <w:u w:color="000000"/>
    </w:rPr>
  </w:style>
  <w:style w:type="character" w:customStyle="1" w:styleId="Aucun">
    <w:name w:val="Aucun"/>
    <w:rPr>
      <w:lang w:val="bg-BG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character" w:styleId="FootnoteReference">
    <w:name w:val="footnote reference"/>
    <w:rPr>
      <w:vertAlign w:val="superscript"/>
      <w:lang w:val="bg-BG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Heading">
    <w:name w:val="Heading"/>
    <w:next w:val="Corps"/>
    <w:pPr>
      <w:keepNext/>
      <w:keepLines/>
      <w:spacing w:after="200" w:line="276" w:lineRule="auto"/>
      <w:outlineLvl w:val="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HeaderCoverPage">
    <w:name w:val="Header Cover Page"/>
    <w:basedOn w:val="Normal"/>
    <w:link w:val="HeaderCoverPageChar"/>
    <w:pPr>
      <w:keepNext/>
      <w:keepLines/>
      <w:tabs>
        <w:tab w:val="center" w:pos="4535"/>
        <w:tab w:val="right" w:pos="9071"/>
      </w:tabs>
      <w:spacing w:after="120"/>
      <w:jc w:val="both"/>
      <w:outlineLvl w:val="0"/>
    </w:pPr>
    <w:rPr>
      <w:rFonts w:eastAsia="Times New Roman"/>
      <w:bCs/>
      <w:smallCaps/>
      <w:color w:val="000000"/>
      <w:u w:color="000000"/>
    </w:rPr>
  </w:style>
  <w:style w:type="character" w:customStyle="1" w:styleId="CorpsChar">
    <w:name w:val="Corps Char"/>
    <w:basedOn w:val="DefaultParagraphFont"/>
    <w:link w:val="Corps"/>
    <w:rPr>
      <w:rFonts w:eastAsia="Times New Roman"/>
      <w:color w:val="000000"/>
      <w:sz w:val="24"/>
      <w:szCs w:val="24"/>
      <w:u w:color="000000"/>
    </w:rPr>
  </w:style>
  <w:style w:type="character" w:customStyle="1" w:styleId="HeaderCoverPageChar">
    <w:name w:val="Header Cover Page Char"/>
    <w:basedOn w:val="CorpsChar"/>
    <w:link w:val="HeaderCoverPage"/>
    <w:rPr>
      <w:rFonts w:eastAsia="Times New Roman"/>
      <w:bCs/>
      <w:smallCaps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rPr>
      <w:rFonts w:eastAsia="Times New Roman"/>
      <w:color w:val="000000"/>
      <w:u w:color="00000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bg-BG" w:eastAsia="bg-BG"/>
    </w:rPr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bg-BG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cs="Arial Unicode MS"/>
      <w:color w:val="000000"/>
      <w:u w:color="000000"/>
    </w:rPr>
  </w:style>
  <w:style w:type="paragraph" w:customStyle="1" w:styleId="Pagedecouverture">
    <w:name w:val="Page de couverture"/>
    <w:next w:val="Corps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Corps">
    <w:name w:val="Corps"/>
    <w:link w:val="CorpsChar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eastAsia="Times New Roman"/>
      <w:color w:val="000000"/>
      <w:u w:color="000000"/>
    </w:rPr>
  </w:style>
  <w:style w:type="character" w:customStyle="1" w:styleId="Aucun">
    <w:name w:val="Aucun"/>
    <w:rPr>
      <w:lang w:val="bg-BG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character" w:styleId="FootnoteReference">
    <w:name w:val="footnote reference"/>
    <w:rPr>
      <w:vertAlign w:val="superscript"/>
      <w:lang w:val="bg-BG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Heading">
    <w:name w:val="Heading"/>
    <w:next w:val="Corps"/>
    <w:pPr>
      <w:keepNext/>
      <w:keepLines/>
      <w:spacing w:after="200" w:line="276" w:lineRule="auto"/>
      <w:outlineLvl w:val="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HeaderCoverPage">
    <w:name w:val="Header Cover Page"/>
    <w:basedOn w:val="Normal"/>
    <w:link w:val="HeaderCoverPageChar"/>
    <w:pPr>
      <w:keepNext/>
      <w:keepLines/>
      <w:tabs>
        <w:tab w:val="center" w:pos="4535"/>
        <w:tab w:val="right" w:pos="9071"/>
      </w:tabs>
      <w:spacing w:after="120"/>
      <w:jc w:val="both"/>
      <w:outlineLvl w:val="0"/>
    </w:pPr>
    <w:rPr>
      <w:rFonts w:eastAsia="Times New Roman"/>
      <w:bCs/>
      <w:smallCaps/>
      <w:color w:val="000000"/>
      <w:u w:color="000000"/>
    </w:rPr>
  </w:style>
  <w:style w:type="character" w:customStyle="1" w:styleId="CorpsChar">
    <w:name w:val="Corps Char"/>
    <w:basedOn w:val="DefaultParagraphFont"/>
    <w:link w:val="Corps"/>
    <w:rPr>
      <w:rFonts w:eastAsia="Times New Roman"/>
      <w:color w:val="000000"/>
      <w:sz w:val="24"/>
      <w:szCs w:val="24"/>
      <w:u w:color="000000"/>
    </w:rPr>
  </w:style>
  <w:style w:type="character" w:customStyle="1" w:styleId="HeaderCoverPageChar">
    <w:name w:val="Header Cover Page Char"/>
    <w:basedOn w:val="CorpsChar"/>
    <w:link w:val="HeaderCoverPage"/>
    <w:rPr>
      <w:rFonts w:eastAsia="Times New Roman"/>
      <w:bCs/>
      <w:smallCaps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rPr>
      <w:rFonts w:eastAsia="Times New Roman"/>
      <w:color w:val="000000"/>
      <w:u w:color="00000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bg-BG" w:eastAsia="bg-BG"/>
    </w:rPr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DocsRoom/documents/18023/" TargetMode="External"/><Relationship Id="rId2" Type="http://schemas.openxmlformats.org/officeDocument/2006/relationships/hyperlink" Target="http://ec.europa.eu/growth/industry/intellectual-property/enforcement/" TargetMode="External"/><Relationship Id="rId1" Type="http://schemas.openxmlformats.org/officeDocument/2006/relationships/hyperlink" Target="https://ec.europa.eu/digital-single-market/en/news/public-consultation-role-publishers-copyright-value-chain-and-panorama-exception" TargetMode="External"/><Relationship Id="rId4" Type="http://schemas.openxmlformats.org/officeDocument/2006/relationships/hyperlink" Target="http://ec.europa.eu/DocsRoom/documents/18023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9717-360F-45C3-B357-FF59E78B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4689</Words>
  <Characters>28125</Characters>
  <Application>Microsoft Office Word</Application>
  <DocSecurity>0</DocSecurity>
  <Lines>465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2016-09-13T15:15:00Z</dcterms:created>
  <dcterms:modified xsi:type="dcterms:W3CDTF">2016-09-15T10:44:00Z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Classification">
    <vt:lpwstr> 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</Properties>
</file>