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D60" w:rsidRDefault="00F7031C" w:rsidP="00F7031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BEA5BA4E792405C850FA6A813280D7B" style="width:450.75pt;height:321pt">
            <v:imagedata r:id="rId10" o:title=""/>
          </v:shape>
        </w:pict>
      </w:r>
    </w:p>
    <w:bookmarkEnd w:id="0"/>
    <w:p w:rsidR="003F5D60" w:rsidRDefault="003F5D60">
      <w:pPr>
        <w:rPr>
          <w:noProof/>
        </w:rPr>
        <w:sectPr w:rsidR="003F5D60" w:rsidSect="00F7031C">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rsidR="003F5D60" w:rsidRDefault="00F7031C">
      <w:pPr>
        <w:spacing w:line="240" w:lineRule="auto"/>
        <w:jc w:val="both"/>
        <w:rPr>
          <w:rFonts w:ascii="Times New Roman" w:hAnsi="Times New Roman" w:cs="Times New Roman"/>
          <w:b/>
          <w:noProof/>
          <w:sz w:val="24"/>
          <w:szCs w:val="24"/>
          <w:u w:val="single"/>
          <w:lang w:val="bg-BG" w:eastAsia="bg-BG" w:bidi="bg-BG"/>
        </w:rPr>
      </w:pPr>
      <w:bookmarkStart w:id="1" w:name="_GoBack"/>
      <w:bookmarkEnd w:id="1"/>
      <w:r>
        <w:rPr>
          <w:rFonts w:ascii="Times New Roman" w:hAnsi="Times New Roman"/>
          <w:b/>
          <w:noProof/>
          <w:sz w:val="24"/>
          <w:u w:val="single"/>
          <w:lang w:val="bg-BG" w:eastAsia="bg-BG" w:bidi="bg-BG"/>
        </w:rPr>
        <w:lastRenderedPageBreak/>
        <w:t>Въведение</w:t>
      </w:r>
    </w:p>
    <w:p w:rsidR="003F5D60" w:rsidRDefault="00F7031C">
      <w:pPr>
        <w:spacing w:line="240" w:lineRule="auto"/>
        <w:jc w:val="both"/>
        <w:rPr>
          <w:rFonts w:ascii="Times New Roman" w:hAnsi="Times New Roman" w:cs="Times New Roman"/>
          <w:noProof/>
          <w:sz w:val="24"/>
          <w:szCs w:val="24"/>
          <w:lang w:val="bg-BG" w:eastAsia="bg-BG" w:bidi="bg-BG"/>
        </w:rPr>
      </w:pPr>
      <w:r>
        <w:rPr>
          <w:rFonts w:ascii="Times New Roman" w:hAnsi="Times New Roman"/>
          <w:b/>
          <w:noProof/>
          <w:sz w:val="24"/>
          <w:lang w:val="bg-BG" w:eastAsia="bg-BG" w:bidi="bg-BG"/>
        </w:rPr>
        <w:t xml:space="preserve">Съюзът на капиталовите пазари (СКП), който е част от третия стълб на разработения от </w:t>
      </w:r>
      <w:r>
        <w:rPr>
          <w:rFonts w:ascii="Times New Roman" w:hAnsi="Times New Roman"/>
          <w:b/>
          <w:noProof/>
          <w:sz w:val="24"/>
          <w:lang w:val="bg-BG" w:eastAsia="bg-BG" w:bidi="bg-BG"/>
        </w:rPr>
        <w:t>Комисията План за инвестиции за Европа, е от решаващо значение за успешното стимулиране на заетостта, в т.ч. на младежката заетост, и на растежа, които са едни от приоритетите на ръководената от г-н Юнкер Комисия.</w:t>
      </w:r>
      <w:r>
        <w:rPr>
          <w:rFonts w:ascii="Times New Roman" w:hAnsi="Times New Roman"/>
          <w:noProof/>
          <w:sz w:val="24"/>
          <w:lang w:val="bg-BG" w:eastAsia="bg-BG" w:bidi="bg-BG"/>
        </w:rPr>
        <w:t xml:space="preserve"> Той има за цел да обвърже по-добре спестяв</w:t>
      </w:r>
      <w:r>
        <w:rPr>
          <w:rFonts w:ascii="Times New Roman" w:hAnsi="Times New Roman"/>
          <w:noProof/>
          <w:sz w:val="24"/>
          <w:lang w:val="bg-BG" w:eastAsia="bg-BG" w:bidi="bg-BG"/>
        </w:rPr>
        <w:t>анията с инвестициите и да укрепи европейската финансова система чрез по-активно участие на частния сектор в споделянето на риска, като по този начин се осигуряват алтернативни източници на финансиране и повече възможности както за инвеститорите на дребно,</w:t>
      </w:r>
      <w:r>
        <w:rPr>
          <w:rFonts w:ascii="Times New Roman" w:hAnsi="Times New Roman"/>
          <w:noProof/>
          <w:sz w:val="24"/>
          <w:lang w:val="bg-BG" w:eastAsia="bg-BG" w:bidi="bg-BG"/>
        </w:rPr>
        <w:t xml:space="preserve"> така и за институционалните инвеститори. Премахването на пречките пред свободното движение на капитали през границите ще укрепи Икономическия и паричен съюз, тъй като ще подпомогне икономическата конвергенция и ще смекчи икономическите сътресения в еврозо</w:t>
      </w:r>
      <w:r>
        <w:rPr>
          <w:rFonts w:ascii="Times New Roman" w:hAnsi="Times New Roman"/>
          <w:noProof/>
          <w:sz w:val="24"/>
          <w:lang w:val="bg-BG" w:eastAsia="bg-BG" w:bidi="bg-BG"/>
        </w:rPr>
        <w:t>ната и извън нея, като по този начин ще се повиши устойчивостта на европейската икономика. Тази цел е от още по-голямо значение в настоящата икономическа среда.</w:t>
      </w:r>
    </w:p>
    <w:p w:rsidR="003F5D60" w:rsidRDefault="00F7031C">
      <w:pPr>
        <w:spacing w:line="240" w:lineRule="auto"/>
        <w:jc w:val="both"/>
        <w:rPr>
          <w:rFonts w:ascii="Times New Roman" w:hAnsi="Times New Roman" w:cs="Times New Roman"/>
          <w:noProof/>
          <w:sz w:val="24"/>
          <w:szCs w:val="24"/>
          <w:lang w:val="bg-BG" w:eastAsia="bg-BG" w:bidi="bg-BG"/>
        </w:rPr>
      </w:pPr>
      <w:r>
        <w:rPr>
          <w:rFonts w:ascii="Times New Roman" w:hAnsi="Times New Roman"/>
          <w:b/>
          <w:noProof/>
          <w:sz w:val="24"/>
          <w:lang w:val="bg-BG" w:eastAsia="bg-BG" w:bidi="bg-BG"/>
        </w:rPr>
        <w:t>Планът за действие за изграждане на СКП от септември 2015 г.</w:t>
      </w:r>
      <w:r>
        <w:rPr>
          <w:rFonts w:ascii="Times New Roman" w:hAnsi="Times New Roman"/>
          <w:b/>
          <w:noProof/>
          <w:sz w:val="24"/>
          <w:vertAlign w:val="superscript"/>
          <w:lang w:val="bg-BG" w:eastAsia="bg-BG" w:bidi="bg-BG"/>
        </w:rPr>
        <w:footnoteReference w:id="2"/>
      </w:r>
      <w:r>
        <w:rPr>
          <w:rFonts w:ascii="Times New Roman" w:hAnsi="Times New Roman"/>
          <w:b/>
          <w:noProof/>
          <w:sz w:val="24"/>
          <w:lang w:val="bg-BG" w:eastAsia="bg-BG" w:bidi="bg-BG"/>
        </w:rPr>
        <w:t>, който получи силна подкрепа от с</w:t>
      </w:r>
      <w:r>
        <w:rPr>
          <w:rFonts w:ascii="Times New Roman" w:hAnsi="Times New Roman"/>
          <w:b/>
          <w:noProof/>
          <w:sz w:val="24"/>
          <w:lang w:val="bg-BG" w:eastAsia="bg-BG" w:bidi="bg-BG"/>
        </w:rPr>
        <w:t xml:space="preserve">трана на Европейския парламент, Съвета и заинтересованите страни, включва подробна програма от мерки, с които до 2019 г. да бъдат положени основите на СКП, и </w:t>
      </w:r>
      <w:r>
        <w:rPr>
          <w:rFonts w:ascii="Times New Roman" w:hAnsi="Times New Roman"/>
          <w:noProof/>
          <w:sz w:val="24"/>
          <w:lang w:val="bg-BG" w:eastAsia="bg-BG" w:bidi="bg-BG"/>
        </w:rPr>
        <w:t>Наред със стратегията за единния пазар и стратегията за цифровия единен пазар, СКП заема централно</w:t>
      </w:r>
      <w:r>
        <w:rPr>
          <w:rFonts w:ascii="Times New Roman" w:hAnsi="Times New Roman"/>
          <w:noProof/>
          <w:sz w:val="24"/>
          <w:lang w:val="bg-BG" w:eastAsia="bg-BG" w:bidi="bg-BG"/>
        </w:rPr>
        <w:t xml:space="preserve"> място в европейската програма за реформи за постигане на по-задълбочен и по-справедлив единен пазар</w:t>
      </w:r>
      <w:r>
        <w:rPr>
          <w:rFonts w:ascii="Times New Roman" w:hAnsi="Times New Roman"/>
          <w:noProof/>
          <w:sz w:val="24"/>
          <w:vertAlign w:val="superscript"/>
          <w:lang w:val="bg-BG" w:eastAsia="bg-BG" w:bidi="bg-BG"/>
        </w:rPr>
        <w:footnoteReference w:id="3"/>
      </w:r>
      <w:r>
        <w:rPr>
          <w:rFonts w:ascii="Times New Roman" w:hAnsi="Times New Roman"/>
          <w:noProof/>
          <w:sz w:val="24"/>
          <w:lang w:val="bg-BG" w:eastAsia="bg-BG" w:bidi="bg-BG"/>
        </w:rPr>
        <w:t>. В настоящия политически и икономически контекст разработването на по-стабилни капиталови пазари в ЕС е от още по-голяма важност.</w:t>
      </w:r>
    </w:p>
    <w:p w:rsidR="003F5D60" w:rsidRDefault="00F7031C">
      <w:pPr>
        <w:spacing w:line="240" w:lineRule="auto"/>
        <w:jc w:val="both"/>
        <w:rPr>
          <w:rFonts w:ascii="Times New Roman" w:hAnsi="Times New Roman" w:cs="Times New Roman"/>
          <w:noProof/>
          <w:sz w:val="24"/>
          <w:szCs w:val="24"/>
          <w:lang w:val="bg-BG" w:eastAsia="bg-BG" w:bidi="bg-BG"/>
        </w:rPr>
      </w:pPr>
      <w:r>
        <w:rPr>
          <w:rFonts w:ascii="Times New Roman" w:hAnsi="Times New Roman"/>
          <w:b/>
          <w:noProof/>
          <w:sz w:val="24"/>
          <w:lang w:val="bg-BG" w:eastAsia="bg-BG" w:bidi="bg-BG"/>
        </w:rPr>
        <w:t xml:space="preserve">Поради това е от </w:t>
      </w:r>
      <w:r>
        <w:rPr>
          <w:rFonts w:ascii="Times New Roman" w:hAnsi="Times New Roman"/>
          <w:b/>
          <w:noProof/>
          <w:sz w:val="24"/>
          <w:lang w:val="bg-BG" w:eastAsia="bg-BG" w:bidi="bg-BG"/>
        </w:rPr>
        <w:t>съществено значение да се постигне напредък при изпълнението на плана и да се ускорят реформите.</w:t>
      </w:r>
      <w:r>
        <w:rPr>
          <w:rFonts w:ascii="Times New Roman" w:hAnsi="Times New Roman"/>
          <w:noProof/>
          <w:sz w:val="24"/>
          <w:lang w:val="bg-BG" w:eastAsia="bg-BG" w:bidi="bg-BG"/>
        </w:rPr>
        <w:t xml:space="preserve"> На своята среща на 28 юни 2016 г. Европейският съвет отправи призив за „бърз и решителен напредък с цел да се осигури по-лесен достъп до финансиране за предпри</w:t>
      </w:r>
      <w:r>
        <w:rPr>
          <w:rFonts w:ascii="Times New Roman" w:hAnsi="Times New Roman"/>
          <w:noProof/>
          <w:sz w:val="24"/>
          <w:lang w:val="bg-BG" w:eastAsia="bg-BG" w:bidi="bg-BG"/>
        </w:rPr>
        <w:t>ятията и да се подпомогнат инвестициите в реалната икономика, като се постигне напредък по програмата за изграждане на съюз на капиталовите пазари“.</w:t>
      </w:r>
      <w:r>
        <w:rPr>
          <w:rFonts w:ascii="Times New Roman" w:hAnsi="Times New Roman"/>
          <w:noProof/>
          <w:sz w:val="24"/>
          <w:vertAlign w:val="superscript"/>
          <w:lang w:val="bg-BG" w:eastAsia="bg-BG" w:bidi="bg-BG"/>
        </w:rPr>
        <w:footnoteReference w:id="4"/>
      </w:r>
      <w:r>
        <w:rPr>
          <w:rFonts w:ascii="Times New Roman" w:hAnsi="Times New Roman"/>
          <w:noProof/>
          <w:sz w:val="24"/>
          <w:lang w:val="bg-BG" w:eastAsia="bg-BG" w:bidi="bg-BG"/>
        </w:rPr>
        <w:t xml:space="preserve"> Една година след началото на плана за действие за изграждане на СКП е важно да бъде приключена по-бързо пъ</w:t>
      </w:r>
      <w:r>
        <w:rPr>
          <w:rFonts w:ascii="Times New Roman" w:hAnsi="Times New Roman"/>
          <w:noProof/>
          <w:sz w:val="24"/>
          <w:lang w:val="bg-BG" w:eastAsia="bg-BG" w:bidi="bg-BG"/>
        </w:rPr>
        <w:t>рвата вълна от инициативи по линия на СКП, така че резултатите от тях да станат осезаеми възможно най-скоро. Важно е също така да се постигне бърз напредък по приемането на предстоящите законодателни предложения. Не на последно място, икономическото и техн</w:t>
      </w:r>
      <w:r>
        <w:rPr>
          <w:rFonts w:ascii="Times New Roman" w:hAnsi="Times New Roman"/>
          <w:noProof/>
          <w:sz w:val="24"/>
          <w:lang w:val="bg-BG" w:eastAsia="bg-BG" w:bidi="bg-BG"/>
        </w:rPr>
        <w:t>ологичното развитие, като например бързото нарастване на т.нар. финансовите технологии или необходимостта от създаване на повече устойчиви финанси, имат капацитета да преобразят капиталовите пазари в ЕС. Предвид променящия се политически контекст Комисията</w:t>
      </w:r>
      <w:r>
        <w:rPr>
          <w:rFonts w:ascii="Times New Roman" w:hAnsi="Times New Roman"/>
          <w:noProof/>
          <w:sz w:val="24"/>
          <w:lang w:val="bg-BG" w:eastAsia="bg-BG" w:bidi="bg-BG"/>
        </w:rPr>
        <w:t xml:space="preserve"> работи по още приоритетни области, необходими за завършването на СКП, и ще извърши междинен преглед през 2017 г.</w:t>
      </w:r>
    </w:p>
    <w:p w:rsidR="003F5D60" w:rsidRDefault="00F7031C">
      <w:pPr>
        <w:spacing w:line="240" w:lineRule="auto"/>
        <w:jc w:val="both"/>
        <w:rPr>
          <w:rFonts w:ascii="Times New Roman" w:hAnsi="Times New Roman" w:cs="Times New Roman"/>
          <w:b/>
          <w:noProof/>
          <w:sz w:val="24"/>
          <w:szCs w:val="24"/>
          <w:u w:val="single"/>
          <w:lang w:val="bg-BG" w:eastAsia="bg-BG" w:bidi="bg-BG"/>
        </w:rPr>
      </w:pPr>
      <w:r>
        <w:rPr>
          <w:rFonts w:ascii="Times New Roman" w:hAnsi="Times New Roman"/>
          <w:b/>
          <w:noProof/>
          <w:sz w:val="24"/>
          <w:u w:val="single"/>
          <w:lang w:val="bg-BG" w:eastAsia="bg-BG" w:bidi="bg-BG"/>
        </w:rPr>
        <w:t>1) Приключване на първите мерки за изграждане на СКП</w:t>
      </w:r>
    </w:p>
    <w:p w:rsidR="003F5D60" w:rsidRDefault="00F7031C">
      <w:pPr>
        <w:spacing w:line="240" w:lineRule="auto"/>
        <w:jc w:val="both"/>
        <w:rPr>
          <w:rFonts w:ascii="Times New Roman" w:hAnsi="Times New Roman" w:cs="Times New Roman"/>
          <w:b/>
          <w:noProof/>
          <w:sz w:val="24"/>
          <w:szCs w:val="24"/>
          <w:lang w:val="bg-BG" w:eastAsia="bg-BG" w:bidi="bg-BG"/>
        </w:rPr>
      </w:pPr>
      <w:r>
        <w:rPr>
          <w:rFonts w:ascii="Times New Roman" w:hAnsi="Times New Roman"/>
          <w:b/>
          <w:noProof/>
          <w:sz w:val="24"/>
          <w:lang w:val="bg-BG" w:eastAsia="bg-BG" w:bidi="bg-BG"/>
        </w:rPr>
        <w:t>Приключването на първите мерки е от съществено значение за постигането на практически осе</w:t>
      </w:r>
      <w:r>
        <w:rPr>
          <w:rFonts w:ascii="Times New Roman" w:hAnsi="Times New Roman"/>
          <w:b/>
          <w:noProof/>
          <w:sz w:val="24"/>
          <w:lang w:val="bg-BG" w:eastAsia="bg-BG" w:bidi="bg-BG"/>
        </w:rPr>
        <w:t xml:space="preserve">заемо въздействие на СКП. </w:t>
      </w:r>
      <w:r>
        <w:rPr>
          <w:rFonts w:ascii="Times New Roman" w:hAnsi="Times New Roman"/>
          <w:noProof/>
          <w:sz w:val="24"/>
          <w:lang w:val="bg-BG" w:eastAsia="bg-BG" w:bidi="bg-BG"/>
        </w:rPr>
        <w:t xml:space="preserve">На своята среща на 28 юни 2016 г. </w:t>
      </w:r>
      <w:r>
        <w:rPr>
          <w:rFonts w:ascii="Times New Roman" w:hAnsi="Times New Roman"/>
          <w:noProof/>
          <w:sz w:val="24"/>
          <w:lang w:val="bg-BG" w:eastAsia="bg-BG" w:bidi="bg-BG"/>
        </w:rPr>
        <w:lastRenderedPageBreak/>
        <w:t>Европейският съвет прикани до края на 2016 г. да бъде постигнато съгласие по предложенията за опростени, прозрачни и стандартизирани (ОПС) секюритизации</w:t>
      </w:r>
      <w:r>
        <w:rPr>
          <w:rFonts w:ascii="Times New Roman" w:hAnsi="Times New Roman"/>
          <w:noProof/>
          <w:sz w:val="24"/>
          <w:vertAlign w:val="superscript"/>
          <w:lang w:val="bg-BG" w:eastAsia="bg-BG" w:bidi="bg-BG"/>
        </w:rPr>
        <w:footnoteReference w:id="5"/>
      </w:r>
      <w:r>
        <w:rPr>
          <w:rFonts w:ascii="Times New Roman" w:hAnsi="Times New Roman"/>
          <w:noProof/>
          <w:sz w:val="24"/>
          <w:lang w:val="bg-BG" w:eastAsia="bg-BG" w:bidi="bg-BG"/>
        </w:rPr>
        <w:t>, за да се освободи капацитет в счетоводнит</w:t>
      </w:r>
      <w:r>
        <w:rPr>
          <w:rFonts w:ascii="Times New Roman" w:hAnsi="Times New Roman"/>
          <w:noProof/>
          <w:sz w:val="24"/>
          <w:lang w:val="bg-BG" w:eastAsia="bg-BG" w:bidi="bg-BG"/>
        </w:rPr>
        <w:t xml:space="preserve">е баланси на банките и да се осигурят възможности за инвестиции за дългосрочните инвеститори, както и по предложението за опростяване на правилата за проспектите, което ще улесни дружествата при търсенето на инвестиции от капиталовите пазари. </w:t>
      </w:r>
    </w:p>
    <w:p w:rsidR="003F5D60" w:rsidRDefault="00F7031C">
      <w:pPr>
        <w:spacing w:line="240" w:lineRule="auto"/>
        <w:jc w:val="both"/>
        <w:rPr>
          <w:rFonts w:ascii="Times New Roman" w:hAnsi="Times New Roman" w:cs="Times New Roman"/>
          <w:noProof/>
          <w:sz w:val="24"/>
          <w:szCs w:val="24"/>
          <w:lang w:val="bg-BG" w:eastAsia="bg-BG" w:bidi="bg-BG"/>
        </w:rPr>
      </w:pPr>
      <w:r>
        <w:rPr>
          <w:rFonts w:ascii="Times New Roman" w:hAnsi="Times New Roman"/>
          <w:b/>
          <w:noProof/>
          <w:sz w:val="24"/>
          <w:lang w:val="bg-BG" w:eastAsia="bg-BG" w:bidi="bg-BG"/>
        </w:rPr>
        <w:t>Ускореното п</w:t>
      </w:r>
      <w:r>
        <w:rPr>
          <w:rFonts w:ascii="Times New Roman" w:hAnsi="Times New Roman"/>
          <w:b/>
          <w:noProof/>
          <w:sz w:val="24"/>
          <w:lang w:val="bg-BG" w:eastAsia="bg-BG" w:bidi="bg-BG"/>
        </w:rPr>
        <w:t xml:space="preserve">рилагане на пакета за секюритизациите би могло да доведе до бързо генериране на допълнително финансиране в реалната икономика. </w:t>
      </w:r>
      <w:r>
        <w:rPr>
          <w:rFonts w:ascii="Times New Roman" w:hAnsi="Times New Roman"/>
          <w:noProof/>
          <w:sz w:val="24"/>
          <w:lang w:val="bg-BG" w:eastAsia="bg-BG" w:bidi="bg-BG"/>
        </w:rPr>
        <w:t>Въвеждането на по-чувствителни към риска капиталови изисквания за ОПС секюритизациите ще спомогне за изграждането на доверие в па</w:t>
      </w:r>
      <w:r>
        <w:rPr>
          <w:rFonts w:ascii="Times New Roman" w:hAnsi="Times New Roman"/>
          <w:noProof/>
          <w:sz w:val="24"/>
          <w:lang w:val="bg-BG" w:eastAsia="bg-BG" w:bidi="bg-BG"/>
        </w:rPr>
        <w:t>зара и ще освободи капацитет в счетоводните баланси на банките за предоставяне на допълнително финансиране. Ако успеем да върнем (безопасно) секюритизациите в ЕС до средните нива от преди кризата, това би осигурило допълнително финансиране за икономиката в</w:t>
      </w:r>
      <w:r>
        <w:rPr>
          <w:rFonts w:ascii="Times New Roman" w:hAnsi="Times New Roman"/>
          <w:noProof/>
          <w:sz w:val="24"/>
          <w:lang w:val="bg-BG" w:eastAsia="bg-BG" w:bidi="bg-BG"/>
        </w:rPr>
        <w:t xml:space="preserve"> размер на над 100 милиарда евро, като в същото време ще се подобри финансовата стабилност. Съветът вече постигна съгласие по общ подход и сега трябва спешно да бъде постигнат напредък в Европейския парламент. </w:t>
      </w:r>
    </w:p>
    <w:p w:rsidR="003F5D60" w:rsidRDefault="00F7031C">
      <w:pPr>
        <w:spacing w:line="240" w:lineRule="auto"/>
        <w:jc w:val="both"/>
        <w:rPr>
          <w:rFonts w:ascii="Times New Roman" w:hAnsi="Times New Roman" w:cs="Times New Roman"/>
          <w:noProof/>
          <w:sz w:val="24"/>
          <w:szCs w:val="24"/>
          <w:lang w:val="bg-BG" w:eastAsia="bg-BG" w:bidi="bg-BG"/>
        </w:rPr>
      </w:pPr>
      <w:r>
        <w:rPr>
          <w:rFonts w:ascii="Times New Roman" w:hAnsi="Times New Roman"/>
          <w:b/>
          <w:noProof/>
          <w:sz w:val="24"/>
          <w:lang w:val="bg-BG" w:eastAsia="bg-BG" w:bidi="bg-BG"/>
        </w:rPr>
        <w:t>С модернизирането на правилата за проспектите</w:t>
      </w:r>
      <w:r>
        <w:rPr>
          <w:rFonts w:ascii="Times New Roman" w:hAnsi="Times New Roman"/>
          <w:b/>
          <w:noProof/>
          <w:sz w:val="24"/>
          <w:vertAlign w:val="superscript"/>
          <w:lang w:val="bg-BG" w:eastAsia="bg-BG" w:bidi="bg-BG"/>
        </w:rPr>
        <w:footnoteReference w:id="6"/>
      </w:r>
      <w:r>
        <w:rPr>
          <w:rFonts w:ascii="Times New Roman" w:hAnsi="Times New Roman"/>
          <w:b/>
          <w:noProof/>
          <w:sz w:val="24"/>
          <w:lang w:val="bg-BG" w:eastAsia="bg-BG" w:bidi="bg-BG"/>
        </w:rPr>
        <w:t xml:space="preserve"> ще се подобри достъпът до капиталовите пазари, особено за по-малките предприятия. </w:t>
      </w:r>
      <w:r>
        <w:rPr>
          <w:rFonts w:ascii="Times New Roman" w:hAnsi="Times New Roman"/>
          <w:noProof/>
          <w:sz w:val="24"/>
          <w:lang w:val="bg-BG" w:eastAsia="bg-BG" w:bidi="bg-BG"/>
        </w:rPr>
        <w:t>Проспектът представлява портал към капиталовите пазари в ЕС. Той трябва да бъде лесен за изготвяне, ясен за инвеститорите и бързо одобрен. Новите правила за проспектите сле</w:t>
      </w:r>
      <w:r>
        <w:rPr>
          <w:rFonts w:ascii="Times New Roman" w:hAnsi="Times New Roman"/>
          <w:noProof/>
          <w:sz w:val="24"/>
          <w:lang w:val="bg-BG" w:eastAsia="bg-BG" w:bidi="bg-BG"/>
        </w:rPr>
        <w:t>два да спомогнат за генериране на повече и по-евтини възможности за финансиране за предприятията и трябва да бъдат приложени възможно най-скоро. Комисията ще направи всичко възможно, за да помогне на съзаконодателите да постигнат споразумение до края на го</w:t>
      </w:r>
      <w:r>
        <w:rPr>
          <w:rFonts w:ascii="Times New Roman" w:hAnsi="Times New Roman"/>
          <w:noProof/>
          <w:sz w:val="24"/>
          <w:lang w:val="bg-BG" w:eastAsia="bg-BG" w:bidi="bg-BG"/>
        </w:rPr>
        <w:t>дината.</w:t>
      </w:r>
    </w:p>
    <w:p w:rsidR="003F5D60" w:rsidRDefault="00F7031C">
      <w:pPr>
        <w:spacing w:line="240" w:lineRule="auto"/>
        <w:jc w:val="both"/>
        <w:rPr>
          <w:rFonts w:ascii="Times New Roman" w:hAnsi="Times New Roman" w:cs="Times New Roman"/>
          <w:noProof/>
          <w:sz w:val="24"/>
          <w:szCs w:val="24"/>
          <w:lang w:val="bg-BG" w:eastAsia="bg-BG" w:bidi="bg-BG"/>
        </w:rPr>
      </w:pPr>
      <w:r>
        <w:rPr>
          <w:rFonts w:ascii="Times New Roman" w:hAnsi="Times New Roman"/>
          <w:b/>
          <w:noProof/>
          <w:sz w:val="24"/>
          <w:lang w:val="bg-BG" w:eastAsia="bg-BG" w:bidi="bg-BG"/>
        </w:rPr>
        <w:t>С мерките за укрепване на пазарите на рисков капитал ще се улесни достъпът на средните иновационни предприятия до финансиране.</w:t>
      </w:r>
      <w:r>
        <w:rPr>
          <w:rFonts w:ascii="Times New Roman" w:hAnsi="Times New Roman"/>
          <w:noProof/>
          <w:sz w:val="24"/>
          <w:lang w:val="bg-BG" w:eastAsia="bg-BG" w:bidi="bg-BG"/>
        </w:rPr>
        <w:t xml:space="preserve"> Като част от третия стълб на Плана за инвестиции за Европа Комисията предложи преразгледани регламенти за европейския фон</w:t>
      </w:r>
      <w:r>
        <w:rPr>
          <w:rFonts w:ascii="Times New Roman" w:hAnsi="Times New Roman"/>
          <w:noProof/>
          <w:sz w:val="24"/>
          <w:lang w:val="bg-BG" w:eastAsia="bg-BG" w:bidi="bg-BG"/>
        </w:rPr>
        <w:t>д за рисков капитал и за европейския фонд за социално предприемачество. Предложенията ще дадат тласък на инвестициите в рисков капитал и в социални проекти и ще улеснят инвестициите в малки и средни иновационни предприятия чрез включването в обхвата на рег</w:t>
      </w:r>
      <w:r>
        <w:rPr>
          <w:rFonts w:ascii="Times New Roman" w:hAnsi="Times New Roman"/>
          <w:noProof/>
          <w:sz w:val="24"/>
          <w:lang w:val="bg-BG" w:eastAsia="bg-BG" w:bidi="bg-BG"/>
        </w:rPr>
        <w:t>ламента на лицата, управляващи всякакви по размер фондове, и чрез разширяването на гамата от предприятия, в които може да се инвестира. За да стане трансграничното предлагане на фондове по-евтино и по-лесно, в предложенията изрично се забранява на държавит</w:t>
      </w:r>
      <w:r>
        <w:rPr>
          <w:rFonts w:ascii="Times New Roman" w:hAnsi="Times New Roman"/>
          <w:noProof/>
          <w:sz w:val="24"/>
          <w:lang w:val="bg-BG" w:eastAsia="bg-BG" w:bidi="bg-BG"/>
        </w:rPr>
        <w:t>е членки да налагат такси. Комисията призовава Европейския парламент и Съвета да приключат работата си по настоящото предложение до края на 2016 г., за да може да продължи изграждането на доверие в пазара на рисков капитал в ЕС. Освен това Комисията ще нас</w:t>
      </w:r>
      <w:r>
        <w:rPr>
          <w:rFonts w:ascii="Times New Roman" w:hAnsi="Times New Roman"/>
          <w:noProof/>
          <w:sz w:val="24"/>
          <w:lang w:val="bg-BG" w:eastAsia="bg-BG" w:bidi="bg-BG"/>
        </w:rPr>
        <w:t>ърчи създаването на един или повече фондове за инвестиции във фондове за рисков капитал в подкрепа на иновационните инвестиции в Европа и ще продължи работата си по други мерки за подкрепа за рисковия капитал.</w:t>
      </w:r>
    </w:p>
    <w:p w:rsidR="003F5D60" w:rsidRDefault="00F7031C">
      <w:pPr>
        <w:spacing w:line="240" w:lineRule="auto"/>
        <w:jc w:val="both"/>
        <w:rPr>
          <w:rFonts w:ascii="Times New Roman" w:hAnsi="Times New Roman" w:cs="Times New Roman"/>
          <w:noProof/>
          <w:sz w:val="24"/>
          <w:szCs w:val="24"/>
          <w:lang w:val="bg-BG" w:eastAsia="bg-BG" w:bidi="bg-BG"/>
        </w:rPr>
      </w:pPr>
      <w:r>
        <w:rPr>
          <w:rFonts w:ascii="Times New Roman" w:hAnsi="Times New Roman"/>
          <w:b/>
          <w:noProof/>
          <w:sz w:val="24"/>
          <w:lang w:val="bg-BG" w:eastAsia="bg-BG" w:bidi="bg-BG"/>
        </w:rPr>
        <w:lastRenderedPageBreak/>
        <w:t xml:space="preserve">СКП е проект за всички държави членки. </w:t>
      </w:r>
      <w:r>
        <w:rPr>
          <w:rFonts w:ascii="Times New Roman" w:hAnsi="Times New Roman"/>
          <w:noProof/>
          <w:sz w:val="24"/>
          <w:lang w:val="bg-BG" w:eastAsia="bg-BG" w:bidi="bg-BG"/>
        </w:rPr>
        <w:t>Капитал</w:t>
      </w:r>
      <w:r>
        <w:rPr>
          <w:rFonts w:ascii="Times New Roman" w:hAnsi="Times New Roman"/>
          <w:noProof/>
          <w:sz w:val="24"/>
          <w:lang w:val="bg-BG" w:eastAsia="bg-BG" w:bidi="bg-BG"/>
        </w:rPr>
        <w:t>овите пазари в отделните държави членки са на различни етапи на развитие, а по-малките предприятия се нуждаят от достъп до финансиране чрез ефикасни и достъпни местни канали. С цел да подкрепи развитието на националните и регионалните капиталови пазари Ком</w:t>
      </w:r>
      <w:r>
        <w:rPr>
          <w:rFonts w:ascii="Times New Roman" w:hAnsi="Times New Roman"/>
          <w:noProof/>
          <w:sz w:val="24"/>
          <w:lang w:val="bg-BG" w:eastAsia="bg-BG" w:bidi="bg-BG"/>
        </w:rPr>
        <w:t>исията разви капацитет за предоставяне на техническа помощ на държавите членки при поискване. За да могат първите проекти да започнат в началото на 2017 г., съзаконодателите трябва бързо да приключат преговорите по предложението на Комисията за Регламент з</w:t>
      </w:r>
      <w:r>
        <w:rPr>
          <w:rFonts w:ascii="Times New Roman" w:hAnsi="Times New Roman"/>
          <w:noProof/>
          <w:sz w:val="24"/>
          <w:lang w:val="bg-BG" w:eastAsia="bg-BG" w:bidi="bg-BG"/>
        </w:rPr>
        <w:t>а създаване на програма за подкрепа на структурните реформи (ППСР) за периода 2017—2020 г.</w:t>
      </w:r>
      <w:r>
        <w:rPr>
          <w:rFonts w:ascii="Times New Roman" w:hAnsi="Times New Roman"/>
          <w:noProof/>
          <w:sz w:val="24"/>
          <w:vertAlign w:val="superscript"/>
          <w:lang w:val="bg-BG" w:eastAsia="bg-BG" w:bidi="bg-BG"/>
        </w:rPr>
        <w:footnoteReference w:id="7"/>
      </w:r>
    </w:p>
    <w:p w:rsidR="003F5D60" w:rsidRDefault="00F7031C">
      <w:pPr>
        <w:spacing w:line="240" w:lineRule="auto"/>
        <w:jc w:val="both"/>
        <w:rPr>
          <w:rFonts w:ascii="Times New Roman" w:hAnsi="Times New Roman" w:cs="Times New Roman"/>
          <w:b/>
          <w:noProof/>
          <w:sz w:val="24"/>
          <w:szCs w:val="24"/>
          <w:u w:val="single"/>
          <w:lang w:val="bg-BG" w:eastAsia="bg-BG" w:bidi="bg-BG"/>
        </w:rPr>
      </w:pPr>
      <w:r>
        <w:rPr>
          <w:rFonts w:ascii="Times New Roman" w:hAnsi="Times New Roman"/>
          <w:b/>
          <w:noProof/>
          <w:sz w:val="24"/>
          <w:u w:val="single"/>
          <w:lang w:val="bg-BG" w:eastAsia="bg-BG" w:bidi="bg-BG"/>
        </w:rPr>
        <w:t>2) Ускоряване на преминаването към следващата фаза от действия по линия на СКП</w:t>
      </w:r>
    </w:p>
    <w:p w:rsidR="003F5D60" w:rsidRDefault="00F7031C">
      <w:pPr>
        <w:spacing w:line="240" w:lineRule="auto"/>
        <w:jc w:val="both"/>
        <w:rPr>
          <w:rFonts w:ascii="Times New Roman" w:hAnsi="Times New Roman" w:cs="Times New Roman"/>
          <w:noProof/>
          <w:sz w:val="24"/>
          <w:szCs w:val="24"/>
          <w:lang w:val="bg-BG" w:eastAsia="bg-BG" w:bidi="bg-BG"/>
        </w:rPr>
      </w:pPr>
      <w:r>
        <w:rPr>
          <w:rFonts w:ascii="Times New Roman" w:hAnsi="Times New Roman"/>
          <w:b/>
          <w:noProof/>
          <w:sz w:val="24"/>
          <w:lang w:val="bg-BG" w:eastAsia="bg-BG" w:bidi="bg-BG"/>
        </w:rPr>
        <w:t>Липсата на ефикасност и различията между националните рамки относно несъстоятелността създават правна несигурност и трудности за кредиторите при възстановяване на стойността , както и пречки за ефективното преструктуриране на жизнеспособните дружества в ЕС</w:t>
      </w:r>
      <w:r>
        <w:rPr>
          <w:rFonts w:ascii="Times New Roman" w:hAnsi="Times New Roman"/>
          <w:b/>
          <w:noProof/>
          <w:sz w:val="24"/>
          <w:lang w:val="bg-BG" w:eastAsia="bg-BG" w:bidi="bg-BG"/>
        </w:rPr>
        <w:t xml:space="preserve">, включително за трансграничните групи. </w:t>
      </w:r>
      <w:r>
        <w:rPr>
          <w:rFonts w:ascii="Times New Roman" w:hAnsi="Times New Roman"/>
          <w:noProof/>
          <w:sz w:val="24"/>
          <w:lang w:val="bg-BG" w:eastAsia="bg-BG" w:bidi="bg-BG"/>
        </w:rPr>
        <w:t>В най-скоро време Комисията ще представи предложение относно преструктурирането на стопанската дейност и предоставянето на „втори шанс“, които са основни елементи на подходяща рамка за случаите на несъстоятелност. Пр</w:t>
      </w:r>
      <w:r>
        <w:rPr>
          <w:rFonts w:ascii="Times New Roman" w:hAnsi="Times New Roman"/>
          <w:noProof/>
          <w:sz w:val="24"/>
          <w:lang w:val="bg-BG" w:eastAsia="bg-BG" w:bidi="bg-BG"/>
        </w:rPr>
        <w:t>едоставянето на възможност на честните предприемачи да се възползват от „втори шанс“, след като са преодолели своята несъстоятелност, е от решаващо значение за осигуряването на динамична стопанска среда и насърчаването на иновациите. Комисията също така из</w:t>
      </w:r>
      <w:r>
        <w:rPr>
          <w:rFonts w:ascii="Times New Roman" w:hAnsi="Times New Roman"/>
          <w:noProof/>
          <w:sz w:val="24"/>
          <w:lang w:val="bg-BG" w:eastAsia="bg-BG" w:bidi="bg-BG"/>
        </w:rPr>
        <w:t>вършва сравнителен анализ на схемите за принудително изпълнение по заеми (включително при несъстоятелност) с цел да състави подробна и достоверна картина на последствията за банките (от гледна точка на закъснения, разходи и възстановяване на стойност) в ре</w:t>
      </w:r>
      <w:r>
        <w:rPr>
          <w:rFonts w:ascii="Times New Roman" w:hAnsi="Times New Roman"/>
          <w:noProof/>
          <w:sz w:val="24"/>
          <w:lang w:val="bg-BG" w:eastAsia="bg-BG" w:bidi="bg-BG"/>
        </w:rPr>
        <w:t>зултат на необслужвани заеми. Този преглед ще помогне на държавите членки, които желаят да увеличат ефикасността и прозрачността на своите схеми.</w:t>
      </w:r>
    </w:p>
    <w:p w:rsidR="003F5D60" w:rsidRDefault="00F7031C">
      <w:pPr>
        <w:spacing w:line="240" w:lineRule="auto"/>
        <w:jc w:val="both"/>
        <w:rPr>
          <w:rFonts w:ascii="Times New Roman" w:hAnsi="Times New Roman" w:cs="Times New Roman"/>
          <w:noProof/>
          <w:sz w:val="24"/>
          <w:szCs w:val="24"/>
          <w:lang w:val="bg-BG" w:eastAsia="bg-BG" w:bidi="bg-BG"/>
        </w:rPr>
      </w:pPr>
      <w:r>
        <w:rPr>
          <w:rFonts w:ascii="Times New Roman" w:hAnsi="Times New Roman"/>
          <w:b/>
          <w:noProof/>
          <w:sz w:val="24"/>
          <w:lang w:val="bg-BG" w:eastAsia="bg-BG" w:bidi="bg-BG"/>
        </w:rPr>
        <w:t>Режимите на данъчно облагане могат да представляват пречки за развитието на трансграничните капиталови пазари.</w:t>
      </w:r>
      <w:r>
        <w:rPr>
          <w:rFonts w:ascii="Times New Roman" w:hAnsi="Times New Roman"/>
          <w:b/>
          <w:noProof/>
          <w:sz w:val="24"/>
          <w:lang w:val="bg-BG" w:eastAsia="bg-BG" w:bidi="bg-BG"/>
        </w:rPr>
        <w:t xml:space="preserve"> </w:t>
      </w:r>
      <w:r>
        <w:rPr>
          <w:rFonts w:ascii="Times New Roman" w:hAnsi="Times New Roman"/>
          <w:noProof/>
          <w:sz w:val="24"/>
          <w:lang w:val="bg-BG" w:eastAsia="bg-BG" w:bidi="bg-BG"/>
        </w:rPr>
        <w:t>Комисията предприема действия, с които да насърчи държавите членки да намерят решение на въпроса за процедурите за възстановяване на данъка, удържан при източника, и да насърчат най-добрите данъчни практики при стимулирането на инвестициите в рисков капит</w:t>
      </w:r>
      <w:r>
        <w:rPr>
          <w:rFonts w:ascii="Times New Roman" w:hAnsi="Times New Roman"/>
          <w:noProof/>
          <w:sz w:val="24"/>
          <w:lang w:val="bg-BG" w:eastAsia="bg-BG" w:bidi="bg-BG"/>
        </w:rPr>
        <w:t>ал и инвестициите на т. нар. „бизнес ангели“ в стартиращи и иновационни предприятия. Увеличаване на финансирането със собствен капитал, което е сравнително слабо развито в Европа, изисква промени в данъчната уредба.</w:t>
      </w:r>
      <w:r>
        <w:rPr>
          <w:rFonts w:ascii="Times New Roman" w:hAnsi="Times New Roman"/>
          <w:b/>
          <w:noProof/>
          <w:sz w:val="24"/>
          <w:lang w:val="bg-BG" w:eastAsia="bg-BG" w:bidi="bg-BG"/>
        </w:rPr>
        <w:t xml:space="preserve"> </w:t>
      </w:r>
      <w:r>
        <w:rPr>
          <w:rFonts w:ascii="Times New Roman" w:hAnsi="Times New Roman"/>
          <w:noProof/>
          <w:sz w:val="24"/>
          <w:lang w:val="bg-BG" w:eastAsia="bg-BG" w:bidi="bg-BG"/>
        </w:rPr>
        <w:t xml:space="preserve">Разрешаването на проблема с </w:t>
      </w:r>
      <w:r>
        <w:rPr>
          <w:rFonts w:ascii="Times New Roman" w:hAnsi="Times New Roman"/>
          <w:noProof/>
          <w:sz w:val="24"/>
          <w:lang w:val="bg-BG" w:eastAsia="bg-BG" w:bidi="bg-BG"/>
        </w:rPr>
        <w:t>преференциалното данъчно третиране на финансирането чрез дълг спрямо финансирането чрез собствен капитал ще стимулира повече капиталови инвестиции и ще доведе до изграждането на по-силна капиталова база в дружествата. Това ще бъде от полза и за финансовата</w:t>
      </w:r>
      <w:r>
        <w:rPr>
          <w:rFonts w:ascii="Times New Roman" w:hAnsi="Times New Roman"/>
          <w:noProof/>
          <w:sz w:val="24"/>
          <w:lang w:val="bg-BG" w:eastAsia="bg-BG" w:bidi="bg-BG"/>
        </w:rPr>
        <w:t xml:space="preserve"> стабилност, тъй като дружествата със засилена капиталова база ще бъдат по-малко уязвими от шокове. През месец ноември Комисията планира да изготви предложение относно склонността към задлъжнялост в рамките на своето предложение за обща основа за облагане </w:t>
      </w:r>
      <w:r>
        <w:rPr>
          <w:rFonts w:ascii="Times New Roman" w:hAnsi="Times New Roman"/>
          <w:noProof/>
          <w:sz w:val="24"/>
          <w:lang w:val="bg-BG" w:eastAsia="bg-BG" w:bidi="bg-BG"/>
        </w:rPr>
        <w:t>с корпоративен данък (ОООКД)</w:t>
      </w:r>
      <w:r>
        <w:rPr>
          <w:rFonts w:ascii="Times New Roman" w:hAnsi="Times New Roman"/>
          <w:noProof/>
          <w:sz w:val="24"/>
          <w:vertAlign w:val="superscript"/>
          <w:lang w:val="bg-BG" w:eastAsia="bg-BG" w:bidi="bg-BG"/>
        </w:rPr>
        <w:footnoteReference w:id="8"/>
      </w:r>
      <w:r>
        <w:rPr>
          <w:rFonts w:ascii="Times New Roman" w:hAnsi="Times New Roman"/>
          <w:noProof/>
          <w:sz w:val="24"/>
          <w:lang w:val="bg-BG" w:eastAsia="bg-BG" w:bidi="bg-BG"/>
        </w:rPr>
        <w:t xml:space="preserve"> и призовава Съвета да го приеме възможно най-скоро. </w:t>
      </w:r>
    </w:p>
    <w:p w:rsidR="003F5D60" w:rsidRDefault="00F7031C">
      <w:pPr>
        <w:spacing w:line="240" w:lineRule="auto"/>
        <w:jc w:val="both"/>
        <w:rPr>
          <w:rFonts w:ascii="Times New Roman" w:hAnsi="Times New Roman" w:cs="Times New Roman"/>
          <w:noProof/>
          <w:sz w:val="24"/>
          <w:szCs w:val="24"/>
          <w:lang w:val="bg-BG" w:eastAsia="bg-BG" w:bidi="bg-BG"/>
        </w:rPr>
      </w:pPr>
      <w:r>
        <w:rPr>
          <w:rFonts w:ascii="Times New Roman" w:hAnsi="Times New Roman"/>
          <w:b/>
          <w:noProof/>
          <w:sz w:val="24"/>
          <w:lang w:val="bg-BG" w:eastAsia="bg-BG" w:bidi="bg-BG"/>
        </w:rPr>
        <w:t>С предложението за ЕФСИ 2.0 ще бъде постигнато значително укрепване на инвестиционния план за Европа.</w:t>
      </w:r>
      <w:r>
        <w:rPr>
          <w:rFonts w:ascii="Times New Roman" w:hAnsi="Times New Roman"/>
          <w:noProof/>
          <w:sz w:val="24"/>
          <w:lang w:val="bg-BG" w:eastAsia="bg-BG" w:bidi="bg-BG"/>
        </w:rPr>
        <w:t xml:space="preserve"> </w:t>
      </w:r>
      <w:r>
        <w:rPr>
          <w:rFonts w:ascii="Times New Roman" w:hAnsi="Times New Roman"/>
          <w:b/>
          <w:noProof/>
          <w:sz w:val="24"/>
          <w:lang w:val="bg-BG" w:eastAsia="bg-BG" w:bidi="bg-BG"/>
        </w:rPr>
        <w:t>Европа се нуждае от голямо количество допълнителни дългосрочни и устойч</w:t>
      </w:r>
      <w:r>
        <w:rPr>
          <w:rFonts w:ascii="Times New Roman" w:hAnsi="Times New Roman"/>
          <w:b/>
          <w:noProof/>
          <w:sz w:val="24"/>
          <w:lang w:val="bg-BG" w:eastAsia="bg-BG" w:bidi="bg-BG"/>
        </w:rPr>
        <w:t>иви инвестиции в подкрепа на създаването на работни места, растежа, конкурентоспособността и нисковъглеродната икономика. Публичното подпомагане чрез подсиления План за инвестиции за Европа ще допринесе със своята насоченост към пазарната неефективност и н</w:t>
      </w:r>
      <w:r>
        <w:rPr>
          <w:rFonts w:ascii="Times New Roman" w:hAnsi="Times New Roman"/>
          <w:b/>
          <w:noProof/>
          <w:sz w:val="24"/>
          <w:lang w:val="bg-BG" w:eastAsia="bg-BG" w:bidi="bg-BG"/>
        </w:rPr>
        <w:t xml:space="preserve">еоптималните инвестиционни ситуации, но ще са необходими допълнителни действия за стимулиране на частните инвестиции в дългосрочен план. </w:t>
      </w:r>
      <w:r>
        <w:rPr>
          <w:rFonts w:ascii="Times New Roman" w:hAnsi="Times New Roman"/>
          <w:noProof/>
          <w:sz w:val="24"/>
          <w:lang w:val="bg-BG" w:eastAsia="bg-BG" w:bidi="bg-BG"/>
        </w:rPr>
        <w:t xml:space="preserve">С цел да улесни още повече инвестициите в инфраструктурни активи от страна на институционалните инвеститори, Комисията </w:t>
      </w:r>
      <w:r>
        <w:rPr>
          <w:rFonts w:ascii="Times New Roman" w:hAnsi="Times New Roman"/>
          <w:noProof/>
          <w:sz w:val="24"/>
          <w:lang w:val="bg-BG" w:eastAsia="bg-BG" w:bidi="bg-BG"/>
        </w:rPr>
        <w:t>ще приеме изменение на делегирания акт „Платежоспособност II“, за да намали капиталовите изисквания, свързани с инвестиции от страна на застрахователни дружества в инфраструктурни предприятия. Успоредно с това, като част от преразглеждането преди края на г</w:t>
      </w:r>
      <w:r>
        <w:rPr>
          <w:rFonts w:ascii="Times New Roman" w:hAnsi="Times New Roman"/>
          <w:noProof/>
          <w:sz w:val="24"/>
          <w:lang w:val="bg-BG" w:eastAsia="bg-BG" w:bidi="bg-BG"/>
        </w:rPr>
        <w:t xml:space="preserve">одината на регламента и директивата относно капиталовите изисквания, Комисията ще предложи да се разшири обхватът на благоприятното капиталово третиране за заеми за МСП и да се намалят капиталовите изисквания, свързани с инвестициите в инфраструктурата. </w:t>
      </w:r>
    </w:p>
    <w:p w:rsidR="003F5D60" w:rsidRDefault="00F7031C">
      <w:pPr>
        <w:spacing w:line="240" w:lineRule="auto"/>
        <w:jc w:val="both"/>
        <w:rPr>
          <w:rFonts w:ascii="Times New Roman" w:hAnsi="Times New Roman" w:cs="Times New Roman"/>
          <w:b/>
          <w:noProof/>
          <w:sz w:val="24"/>
          <w:szCs w:val="24"/>
          <w:u w:val="single"/>
          <w:lang w:val="bg-BG" w:eastAsia="bg-BG" w:bidi="bg-BG"/>
        </w:rPr>
      </w:pPr>
      <w:r>
        <w:rPr>
          <w:rFonts w:ascii="Times New Roman" w:hAnsi="Times New Roman"/>
          <w:b/>
          <w:noProof/>
          <w:sz w:val="24"/>
          <w:u w:val="single"/>
          <w:lang w:val="bg-BG" w:eastAsia="bg-BG" w:bidi="bg-BG"/>
        </w:rPr>
        <w:t>3</w:t>
      </w:r>
      <w:r>
        <w:rPr>
          <w:rFonts w:ascii="Times New Roman" w:hAnsi="Times New Roman"/>
          <w:b/>
          <w:noProof/>
          <w:sz w:val="24"/>
          <w:u w:val="single"/>
          <w:lang w:val="bg-BG" w:eastAsia="bg-BG" w:bidi="bg-BG"/>
        </w:rPr>
        <w:t>) Следващи стъпки: разработване на по-нататъшните приоритети</w:t>
      </w:r>
    </w:p>
    <w:p w:rsidR="003F5D60" w:rsidRDefault="00F7031C">
      <w:pPr>
        <w:spacing w:line="240" w:lineRule="auto"/>
        <w:jc w:val="both"/>
        <w:rPr>
          <w:rFonts w:ascii="Times New Roman" w:hAnsi="Times New Roman" w:cs="Times New Roman"/>
          <w:noProof/>
          <w:sz w:val="24"/>
          <w:szCs w:val="24"/>
          <w:lang w:val="bg-BG" w:eastAsia="bg-BG" w:bidi="bg-BG"/>
        </w:rPr>
      </w:pPr>
      <w:r>
        <w:rPr>
          <w:rFonts w:ascii="Times New Roman" w:hAnsi="Times New Roman"/>
          <w:b/>
          <w:noProof/>
          <w:sz w:val="24"/>
          <w:lang w:val="bg-BG" w:eastAsia="bg-BG" w:bidi="bg-BG"/>
        </w:rPr>
        <w:t>Комисията ще обмисли предложенията за опростен, ефикасен и конкурентен личен пенсионен продукт в ЕС</w:t>
      </w:r>
      <w:r>
        <w:rPr>
          <w:rFonts w:ascii="Times New Roman" w:hAnsi="Times New Roman"/>
          <w:noProof/>
          <w:sz w:val="24"/>
          <w:vertAlign w:val="superscript"/>
          <w:lang w:val="bg-BG" w:eastAsia="bg-BG" w:bidi="bg-BG"/>
        </w:rPr>
        <w:footnoteReference w:id="9"/>
      </w:r>
      <w:r>
        <w:rPr>
          <w:noProof/>
          <w:lang w:val="bg-BG" w:eastAsia="bg-BG" w:bidi="bg-BG"/>
        </w:rPr>
        <w:t>.</w:t>
      </w:r>
      <w:r>
        <w:rPr>
          <w:rFonts w:ascii="Times New Roman" w:hAnsi="Times New Roman"/>
          <w:noProof/>
          <w:sz w:val="24"/>
          <w:lang w:val="bg-BG" w:eastAsia="bg-BG" w:bidi="bg-BG"/>
        </w:rPr>
        <w:t xml:space="preserve"> Личните пенсии биха могли да имат важна роля за свързването на вложителите в дългосрочен план</w:t>
      </w:r>
      <w:r>
        <w:rPr>
          <w:rFonts w:ascii="Times New Roman" w:hAnsi="Times New Roman"/>
          <w:noProof/>
          <w:sz w:val="24"/>
          <w:lang w:val="bg-BG" w:eastAsia="bg-BG" w:bidi="bg-BG"/>
        </w:rPr>
        <w:t xml:space="preserve"> с възможности за дългосрочни инвестиции. Личните пенсии могат да спомогнат за преодоляването на демографските предизвикателства от застаряването на населението и променящите се модели на трудова дейност сред работната сила, както и за осигуряване на необх</w:t>
      </w:r>
      <w:r>
        <w:rPr>
          <w:rFonts w:ascii="Times New Roman" w:hAnsi="Times New Roman"/>
          <w:noProof/>
          <w:sz w:val="24"/>
          <w:lang w:val="bg-BG" w:eastAsia="bg-BG" w:bidi="bg-BG"/>
        </w:rPr>
        <w:t>одимите коефициенти на заместване на дохода в бъдеще като допълнение към пенсиите по линия на държавното или на професионалното пенсионно осигуряване. В резултат на по-малкото пречки за предоставянето на пенсионни услуги през граница, личният пенсионен про</w:t>
      </w:r>
      <w:r>
        <w:rPr>
          <w:rFonts w:ascii="Times New Roman" w:hAnsi="Times New Roman"/>
          <w:noProof/>
          <w:sz w:val="24"/>
          <w:lang w:val="bg-BG" w:eastAsia="bg-BG" w:bidi="bg-BG"/>
        </w:rPr>
        <w:t>дукт в ЕС ще доведе до увеличаване на конкуренцията между пенсионноосигурителните дружества, до осигуряване на възможности за продажбата на услуги на по-големи пазари и до създаване на икономии от мащаба в полза на вложителите. Когато Комисията взема решен</w:t>
      </w:r>
      <w:r>
        <w:rPr>
          <w:rFonts w:ascii="Times New Roman" w:hAnsi="Times New Roman"/>
          <w:noProof/>
          <w:sz w:val="24"/>
          <w:lang w:val="bg-BG" w:eastAsia="bg-BG" w:bidi="bg-BG"/>
        </w:rPr>
        <w:t>ие относно най-добрия начин за подкрепа на тези пазари, нейният подход ще бъде основан на резултатите от текущата обществена консултация</w:t>
      </w:r>
      <w:r>
        <w:rPr>
          <w:rFonts w:ascii="Times New Roman" w:hAnsi="Times New Roman"/>
          <w:noProof/>
          <w:sz w:val="24"/>
          <w:vertAlign w:val="superscript"/>
          <w:lang w:val="bg-BG" w:eastAsia="bg-BG" w:bidi="bg-BG"/>
        </w:rPr>
        <w:footnoteReference w:id="10"/>
      </w:r>
      <w:r>
        <w:rPr>
          <w:rFonts w:ascii="Times New Roman" w:hAnsi="Times New Roman"/>
          <w:noProof/>
          <w:sz w:val="24"/>
          <w:lang w:val="bg-BG" w:eastAsia="bg-BG" w:bidi="bg-BG"/>
        </w:rPr>
        <w:t>. Разглежданите варианти включват евентуално законодателно предложение, което би могло да бъде внесено през 2017 г.</w:t>
      </w:r>
    </w:p>
    <w:p w:rsidR="003F5D60" w:rsidRDefault="00F7031C">
      <w:pPr>
        <w:spacing w:line="240" w:lineRule="auto"/>
        <w:jc w:val="both"/>
        <w:rPr>
          <w:rFonts w:ascii="Times New Roman" w:hAnsi="Times New Roman" w:cs="Times New Roman"/>
          <w:noProof/>
          <w:sz w:val="24"/>
          <w:szCs w:val="24"/>
          <w:lang w:val="bg-BG" w:eastAsia="bg-BG" w:bidi="bg-BG"/>
        </w:rPr>
      </w:pPr>
      <w:r>
        <w:rPr>
          <w:rFonts w:ascii="Times New Roman" w:hAnsi="Times New Roman"/>
          <w:b/>
          <w:noProof/>
          <w:sz w:val="24"/>
          <w:lang w:val="bg-BG" w:eastAsia="bg-BG" w:bidi="bg-BG"/>
        </w:rPr>
        <w:t>СКП</w:t>
      </w:r>
      <w:r>
        <w:rPr>
          <w:rFonts w:ascii="Times New Roman" w:hAnsi="Times New Roman"/>
          <w:b/>
          <w:noProof/>
          <w:sz w:val="24"/>
          <w:lang w:val="bg-BG" w:eastAsia="bg-BG" w:bidi="bg-BG"/>
        </w:rPr>
        <w:t xml:space="preserve"> има за цел да подобри използването на европейските спестявания, като се повиши ефективността при установяването на връзка между вложителите и кредитополучателите и се подобрят икономическите резултатите на ЕС. </w:t>
      </w:r>
      <w:r>
        <w:rPr>
          <w:rFonts w:ascii="Times New Roman" w:hAnsi="Times New Roman"/>
          <w:noProof/>
          <w:sz w:val="24"/>
          <w:lang w:val="bg-BG" w:eastAsia="bg-BG" w:bidi="bg-BG"/>
        </w:rPr>
        <w:t>Ангажираността на инвеститорите на дребно е к</w:t>
      </w:r>
      <w:r>
        <w:rPr>
          <w:rFonts w:ascii="Times New Roman" w:hAnsi="Times New Roman"/>
          <w:noProof/>
          <w:sz w:val="24"/>
          <w:lang w:val="bg-BG" w:eastAsia="bg-BG" w:bidi="bg-BG"/>
        </w:rPr>
        <w:t>лючово предизвикателство за развитието на по-стабилен капиталов пазар в ЕС. За целта се изисква по-голямо доверие сред инвеститорите на дребно и прозрачност, която да помогне на инвеститорите да вземат правилните инвестиционни решения. Комисията ще предста</w:t>
      </w:r>
      <w:r>
        <w:rPr>
          <w:rFonts w:ascii="Times New Roman" w:hAnsi="Times New Roman"/>
          <w:noProof/>
          <w:sz w:val="24"/>
          <w:lang w:val="bg-BG" w:eastAsia="bg-BG" w:bidi="bg-BG"/>
        </w:rPr>
        <w:t>ви план за действие относно финансовите услуги на дребно с цел засилване на участието на непрофесионалните инвеститори на капиталовите пазари и отваряне на европейския пазар на финансови услуги на дребно, за да бъдат постигнати по-добри резултати за потреб</w:t>
      </w:r>
      <w:r>
        <w:rPr>
          <w:rFonts w:ascii="Times New Roman" w:hAnsi="Times New Roman"/>
          <w:noProof/>
          <w:sz w:val="24"/>
          <w:lang w:val="bg-BG" w:eastAsia="bg-BG" w:bidi="bg-BG"/>
        </w:rPr>
        <w:t xml:space="preserve">ителите и предприятията. </w:t>
      </w:r>
    </w:p>
    <w:p w:rsidR="003F5D60" w:rsidRDefault="00F7031C">
      <w:pPr>
        <w:spacing w:line="240" w:lineRule="auto"/>
        <w:jc w:val="both"/>
        <w:rPr>
          <w:rFonts w:ascii="Times New Roman" w:hAnsi="Times New Roman" w:cs="Times New Roman"/>
          <w:noProof/>
          <w:sz w:val="24"/>
          <w:szCs w:val="24"/>
          <w:lang w:val="bg-BG" w:eastAsia="bg-BG" w:bidi="bg-BG"/>
        </w:rPr>
      </w:pPr>
      <w:r>
        <w:rPr>
          <w:rFonts w:ascii="Times New Roman" w:hAnsi="Times New Roman"/>
          <w:b/>
          <w:noProof/>
          <w:sz w:val="24"/>
          <w:lang w:val="bg-BG" w:eastAsia="bg-BG" w:bidi="bg-BG"/>
        </w:rPr>
        <w:t>Необходими са реформи за устойчиво финансиране, за да се подкрепят инвестициите в чисти технологии и тяхното внедряване, да се гарантира, че финансовата система може да финансира растежа устойчиво в дългосрочен план, и да се допри</w:t>
      </w:r>
      <w:r>
        <w:rPr>
          <w:rFonts w:ascii="Times New Roman" w:hAnsi="Times New Roman"/>
          <w:b/>
          <w:noProof/>
          <w:sz w:val="24"/>
          <w:lang w:val="bg-BG" w:eastAsia="bg-BG" w:bidi="bg-BG"/>
        </w:rPr>
        <w:t xml:space="preserve">несе за създаването на нисковъглеродна, устойчива на изменението на климата икономика. </w:t>
      </w:r>
      <w:r>
        <w:rPr>
          <w:rFonts w:ascii="Times New Roman" w:hAnsi="Times New Roman"/>
          <w:noProof/>
          <w:sz w:val="24"/>
          <w:lang w:val="bg-BG" w:eastAsia="bg-BG" w:bidi="bg-BG"/>
        </w:rPr>
        <w:t>Тези реформи са от съществено значение за постигането на целите ни в сферата на климата и околната среда и за изпълнението на нашите международни ангажименти, включителн</w:t>
      </w:r>
      <w:r>
        <w:rPr>
          <w:rFonts w:ascii="Times New Roman" w:hAnsi="Times New Roman"/>
          <w:noProof/>
          <w:sz w:val="24"/>
          <w:lang w:val="bg-BG" w:eastAsia="bg-BG" w:bidi="bg-BG"/>
        </w:rPr>
        <w:t>о на поетите от ЕС ангажименти по Парижкото споразумение относно изменението на климата</w:t>
      </w:r>
      <w:r>
        <w:rPr>
          <w:rFonts w:ascii="Times New Roman" w:hAnsi="Times New Roman"/>
          <w:noProof/>
          <w:sz w:val="24"/>
          <w:vertAlign w:val="superscript"/>
          <w:lang w:val="bg-BG" w:eastAsia="bg-BG" w:bidi="bg-BG"/>
        </w:rPr>
        <w:footnoteReference w:id="11"/>
      </w:r>
      <w:r>
        <w:rPr>
          <w:rFonts w:ascii="Times New Roman" w:hAnsi="Times New Roman"/>
          <w:noProof/>
          <w:sz w:val="24"/>
          <w:lang w:val="bg-BG" w:eastAsia="bg-BG" w:bidi="bg-BG"/>
        </w:rPr>
        <w:t xml:space="preserve"> и целите на пакета за кръговата икономика от 2015 г.</w:t>
      </w:r>
      <w:r>
        <w:rPr>
          <w:rFonts w:ascii="Times New Roman" w:hAnsi="Times New Roman"/>
          <w:noProof/>
          <w:sz w:val="24"/>
          <w:vertAlign w:val="superscript"/>
          <w:lang w:val="bg-BG" w:eastAsia="bg-BG" w:bidi="bg-BG"/>
        </w:rPr>
        <w:footnoteReference w:id="12"/>
      </w:r>
      <w:r>
        <w:rPr>
          <w:rFonts w:ascii="Times New Roman" w:hAnsi="Times New Roman"/>
          <w:noProof/>
          <w:sz w:val="24"/>
          <w:lang w:val="bg-BG" w:eastAsia="bg-BG" w:bidi="bg-BG"/>
        </w:rPr>
        <w:t xml:space="preserve"> За постигането на тези цели Комисията работи в рамките на Г-20</w:t>
      </w:r>
      <w:r>
        <w:rPr>
          <w:rFonts w:ascii="Times New Roman" w:hAnsi="Times New Roman"/>
          <w:noProof/>
          <w:sz w:val="24"/>
          <w:vertAlign w:val="superscript"/>
          <w:lang w:val="bg-BG" w:eastAsia="bg-BG" w:bidi="bg-BG"/>
        </w:rPr>
        <w:footnoteReference w:id="13"/>
      </w:r>
      <w:r>
        <w:rPr>
          <w:rFonts w:ascii="Times New Roman" w:hAnsi="Times New Roman"/>
          <w:noProof/>
          <w:sz w:val="24"/>
          <w:lang w:val="bg-BG" w:eastAsia="bg-BG" w:bidi="bg-BG"/>
        </w:rPr>
        <w:t>. Комисията подкрепя привеждането на частните инве</w:t>
      </w:r>
      <w:r>
        <w:rPr>
          <w:rFonts w:ascii="Times New Roman" w:hAnsi="Times New Roman"/>
          <w:noProof/>
          <w:sz w:val="24"/>
          <w:lang w:val="bg-BG" w:eastAsia="bg-BG" w:bidi="bg-BG"/>
        </w:rPr>
        <w:t>стиции в съответствие с целите, свързани с климата, ефективното използване на ресурсите и други екологични цели както чрез мерки на политиката, така и чрез публични инвестиции. В това отношение продължава работата по увеличаване на предлагането на екологос</w:t>
      </w:r>
      <w:r>
        <w:rPr>
          <w:rFonts w:ascii="Times New Roman" w:hAnsi="Times New Roman"/>
          <w:noProof/>
          <w:sz w:val="24"/>
          <w:lang w:val="bg-BG" w:eastAsia="bg-BG" w:bidi="bg-BG"/>
        </w:rPr>
        <w:t>ъобразни средства по линия на Европейския фонд за стратегически инвестиции, като поне 20 % от бюджета на ЕС за периода 2014—2020 г. бяха заделени за действия в областта на климата и бе създадена платформа за финансиране на кръговата икономика. В Плана за д</w:t>
      </w:r>
      <w:r>
        <w:rPr>
          <w:rFonts w:ascii="Times New Roman" w:hAnsi="Times New Roman"/>
          <w:noProof/>
          <w:sz w:val="24"/>
          <w:lang w:val="bg-BG" w:eastAsia="bg-BG" w:bidi="bg-BG"/>
        </w:rPr>
        <w:t xml:space="preserve">ействие за СКП беше подчертана необходимостта от подкрепа на стандартите на ЕС за „зелените“ облигации. Комисията ще създаде експертна група, която през идните месеци да изготви цялостна Европейска стратегия за екологосъобразно финансиране. В по-общ план, </w:t>
      </w:r>
      <w:r>
        <w:rPr>
          <w:rFonts w:ascii="Times New Roman" w:hAnsi="Times New Roman"/>
          <w:noProof/>
          <w:sz w:val="24"/>
          <w:lang w:val="bg-BG" w:eastAsia="bg-BG" w:bidi="bg-BG"/>
        </w:rPr>
        <w:t>по отношение на екологичните, социалните и управленските въпроси ЕС прие задължителни изисквания за оповестяване за някои големи дружества и също така ще приеме незадължителни насоки относно методологията за докладване на такава информация пред инвеститори</w:t>
      </w:r>
      <w:r>
        <w:rPr>
          <w:rFonts w:ascii="Times New Roman" w:hAnsi="Times New Roman"/>
          <w:noProof/>
          <w:sz w:val="24"/>
          <w:lang w:val="bg-BG" w:eastAsia="bg-BG" w:bidi="bg-BG"/>
        </w:rPr>
        <w:t xml:space="preserve">те и потребителите. Тя извършва оценка и на последващите действия във връзка с неотдавнашното допитване за дългосрочните и устойчиви инвестиции, в което бе подчертана важността на екологичните, социалните и управленските въпроси за дългосрочните резултати </w:t>
      </w:r>
      <w:r>
        <w:rPr>
          <w:rFonts w:ascii="Times New Roman" w:hAnsi="Times New Roman"/>
          <w:noProof/>
          <w:sz w:val="24"/>
          <w:lang w:val="bg-BG" w:eastAsia="bg-BG" w:bidi="bg-BG"/>
        </w:rPr>
        <w:t>на дружествата и инвеститорите.</w:t>
      </w:r>
    </w:p>
    <w:p w:rsidR="003F5D60" w:rsidRDefault="00F7031C">
      <w:pPr>
        <w:spacing w:line="240" w:lineRule="auto"/>
        <w:jc w:val="both"/>
        <w:rPr>
          <w:rFonts w:ascii="Times New Roman" w:hAnsi="Times New Roman" w:cs="Times New Roman"/>
          <w:noProof/>
          <w:sz w:val="24"/>
          <w:szCs w:val="24"/>
          <w:lang w:val="bg-BG" w:eastAsia="bg-BG" w:bidi="bg-BG"/>
        </w:rPr>
      </w:pPr>
      <w:r>
        <w:rPr>
          <w:rFonts w:ascii="Times New Roman" w:hAnsi="Times New Roman"/>
          <w:b/>
          <w:noProof/>
          <w:sz w:val="24"/>
          <w:lang w:val="bg-BG" w:eastAsia="bg-BG" w:bidi="bg-BG"/>
        </w:rPr>
        <w:t>Технологиите са фактор за бързи промени във финансовия сектор и могат да засилят ролята на капиталовите пазари и да ги направят по-достъпни за дружествата и инвеститорите. Те също така носят ползи за потребителите, като им п</w:t>
      </w:r>
      <w:r>
        <w:rPr>
          <w:rFonts w:ascii="Times New Roman" w:hAnsi="Times New Roman"/>
          <w:b/>
          <w:noProof/>
          <w:sz w:val="24"/>
          <w:lang w:val="bg-BG" w:eastAsia="bg-BG" w:bidi="bg-BG"/>
        </w:rPr>
        <w:t xml:space="preserve">редоставят по-голям избор на услуги, които са по-удобни за ползване или по-лесно достъпни. Този потенциал за иновации трябва да се използва пълноценно. </w:t>
      </w:r>
      <w:r>
        <w:rPr>
          <w:rFonts w:ascii="Times New Roman" w:hAnsi="Times New Roman"/>
          <w:noProof/>
          <w:sz w:val="24"/>
          <w:lang w:val="bg-BG" w:eastAsia="bg-BG" w:bidi="bg-BG"/>
        </w:rPr>
        <w:t>Финансово-технологичните дружества постигат успехи, като предоставят нови услуги, които отговарят по-доб</w:t>
      </w:r>
      <w:r>
        <w:rPr>
          <w:rFonts w:ascii="Times New Roman" w:hAnsi="Times New Roman"/>
          <w:noProof/>
          <w:sz w:val="24"/>
          <w:lang w:val="bg-BG" w:eastAsia="bg-BG" w:bidi="bg-BG"/>
        </w:rPr>
        <w:t>ре на потребностите на потребителите в множество финансови области, включително при плащанията и кредитирането. Технологиите са движеща сила за конкуренцията и спомагат за създаването на по-диверсифицирана финансова среда. В същото време бързото развитие н</w:t>
      </w:r>
      <w:r>
        <w:rPr>
          <w:rFonts w:ascii="Times New Roman" w:hAnsi="Times New Roman"/>
          <w:noProof/>
          <w:sz w:val="24"/>
          <w:lang w:val="bg-BG" w:eastAsia="bg-BG" w:bidi="bg-BG"/>
        </w:rPr>
        <w:t>а финансовите технологии създава нови предизвикателства при управлението на риска и гарантирането, че потребителите разполагат с адекватна информация и предпазни механизми.</w:t>
      </w:r>
      <w:r>
        <w:rPr>
          <w:noProof/>
          <w:lang w:val="bg-BG" w:eastAsia="bg-BG" w:bidi="bg-BG"/>
        </w:rPr>
        <w:t xml:space="preserve"> </w:t>
      </w:r>
      <w:r>
        <w:rPr>
          <w:rFonts w:ascii="Times New Roman" w:hAnsi="Times New Roman"/>
          <w:noProof/>
          <w:sz w:val="24"/>
          <w:lang w:val="bg-BG" w:eastAsia="bg-BG" w:bidi="bg-BG"/>
        </w:rPr>
        <w:t xml:space="preserve">В някои държави членки регулаторните органи разработват нови подходи в подкрепа на </w:t>
      </w:r>
      <w:r>
        <w:rPr>
          <w:rFonts w:ascii="Times New Roman" w:hAnsi="Times New Roman"/>
          <w:noProof/>
          <w:sz w:val="24"/>
          <w:lang w:val="bg-BG" w:eastAsia="bg-BG" w:bidi="bg-BG"/>
        </w:rPr>
        <w:t>развитието на финансово-технологичните дружества, включително центрове за предоставяне на регулаторни насоки или екипи, работещи върху политическите последствия от финансовите технологии. Комисията ще продължи да насърчава развитието на сектора на финансов</w:t>
      </w:r>
      <w:r>
        <w:rPr>
          <w:rFonts w:ascii="Times New Roman" w:hAnsi="Times New Roman"/>
          <w:noProof/>
          <w:sz w:val="24"/>
          <w:lang w:val="bg-BG" w:eastAsia="bg-BG" w:bidi="bg-BG"/>
        </w:rPr>
        <w:t>ите технологии и ще работи, за да гарантира, че в регулаторната среда се постига подходящ баланс между изграждането на доверие в дружествата и инвеститорите, защитата на потребителите и предоставянето на възможности за развитие на индустрията на финансовит</w:t>
      </w:r>
      <w:r>
        <w:rPr>
          <w:rFonts w:ascii="Times New Roman" w:hAnsi="Times New Roman"/>
          <w:noProof/>
          <w:sz w:val="24"/>
          <w:lang w:val="bg-BG" w:eastAsia="bg-BG" w:bidi="bg-BG"/>
        </w:rPr>
        <w:t>е технологии. Комисията ще работи заедно с европейските надзорни органи (ЕНО), Европейската централна банка, други органи по стандартизация и държавите членки, за да разработи координиран подход на политиката в подкрепа на развитието на финансовите техноло</w:t>
      </w:r>
      <w:r>
        <w:rPr>
          <w:rFonts w:ascii="Times New Roman" w:hAnsi="Times New Roman"/>
          <w:noProof/>
          <w:sz w:val="24"/>
          <w:lang w:val="bg-BG" w:eastAsia="bg-BG" w:bidi="bg-BG"/>
        </w:rPr>
        <w:t>гии в подходяща регулаторна среда.</w:t>
      </w:r>
    </w:p>
    <w:p w:rsidR="003F5D60" w:rsidRDefault="00F7031C">
      <w:pPr>
        <w:spacing w:line="240" w:lineRule="auto"/>
        <w:jc w:val="both"/>
        <w:rPr>
          <w:rFonts w:ascii="Times New Roman" w:hAnsi="Times New Roman" w:cs="Times New Roman"/>
          <w:noProof/>
          <w:sz w:val="24"/>
          <w:szCs w:val="24"/>
          <w:lang w:val="bg-BG" w:eastAsia="bg-BG" w:bidi="bg-BG"/>
        </w:rPr>
      </w:pPr>
      <w:r>
        <w:rPr>
          <w:rFonts w:ascii="Times New Roman" w:hAnsi="Times New Roman"/>
          <w:b/>
          <w:noProof/>
          <w:sz w:val="24"/>
          <w:lang w:val="bg-BG" w:eastAsia="bg-BG" w:bidi="bg-BG"/>
        </w:rPr>
        <w:t>Пазарите на обезпечени облигации са сред най-големите пазари на частен дълг в Европа и са важен източник за дългосрочно финансиране.</w:t>
      </w:r>
      <w:r>
        <w:rPr>
          <w:rFonts w:ascii="Times New Roman" w:hAnsi="Times New Roman"/>
          <w:noProof/>
          <w:sz w:val="24"/>
          <w:lang w:val="bg-BG" w:eastAsia="bg-BG" w:bidi="bg-BG"/>
        </w:rPr>
        <w:t xml:space="preserve"> Те са от основно значение за ефективно насочване от кредитните институции на финансови с</w:t>
      </w:r>
      <w:r>
        <w:rPr>
          <w:rFonts w:ascii="Times New Roman" w:hAnsi="Times New Roman"/>
          <w:noProof/>
          <w:sz w:val="24"/>
          <w:lang w:val="bg-BG" w:eastAsia="bg-BG" w:bidi="bg-BG"/>
        </w:rPr>
        <w:t>редства към пазара на недвижими имоти и за публично гарантирани инструменти, включително някои заеми за МСП. Въз основа на резултатите от неотдавна проведената обществена консултация и текущото проучване, като част от средносрочния преглед на СКП Комисията</w:t>
      </w:r>
      <w:r>
        <w:rPr>
          <w:rFonts w:ascii="Times New Roman" w:hAnsi="Times New Roman"/>
          <w:noProof/>
          <w:sz w:val="24"/>
          <w:lang w:val="bg-BG" w:eastAsia="bg-BG" w:bidi="bg-BG"/>
        </w:rPr>
        <w:t xml:space="preserve"> ще определи законодателните промени, които може да са необходими, за да се подпомогне развитието на пазарите на обезпечени облигации в целия ЕС.</w:t>
      </w:r>
    </w:p>
    <w:p w:rsidR="003F5D60" w:rsidRDefault="00F7031C">
      <w:pPr>
        <w:spacing w:line="240" w:lineRule="auto"/>
        <w:jc w:val="both"/>
        <w:rPr>
          <w:rFonts w:ascii="Times New Roman" w:hAnsi="Times New Roman" w:cs="Times New Roman"/>
          <w:noProof/>
          <w:sz w:val="24"/>
          <w:szCs w:val="24"/>
          <w:lang w:val="bg-BG" w:eastAsia="bg-BG" w:bidi="bg-BG"/>
        </w:rPr>
      </w:pPr>
      <w:r>
        <w:rPr>
          <w:rFonts w:ascii="Times New Roman" w:hAnsi="Times New Roman"/>
          <w:b/>
          <w:noProof/>
          <w:sz w:val="24"/>
          <w:lang w:val="bg-BG" w:eastAsia="bg-BG" w:bidi="bg-BG"/>
        </w:rPr>
        <w:t>ЕС постигна успехи при насърчаването на трансграничното предоставяне на инвестиционни фондове и ще работи за п</w:t>
      </w:r>
      <w:r>
        <w:rPr>
          <w:rFonts w:ascii="Times New Roman" w:hAnsi="Times New Roman"/>
          <w:b/>
          <w:noProof/>
          <w:sz w:val="24"/>
          <w:lang w:val="bg-BG" w:eastAsia="bg-BG" w:bidi="bg-BG"/>
        </w:rPr>
        <w:t>ремахването на оставащите пречки пред постигането на напълно интегриран пазар — намаляване на разходите за доставчиците и осигуряване на печалба за инвеститорите на дребно.</w:t>
      </w:r>
      <w:r>
        <w:rPr>
          <w:rFonts w:ascii="Times New Roman" w:hAnsi="Times New Roman"/>
          <w:noProof/>
          <w:sz w:val="24"/>
          <w:lang w:val="bg-BG" w:eastAsia="bg-BG" w:bidi="bg-BG"/>
        </w:rPr>
        <w:t xml:space="preserve"> Комисията публикува подробна обществена консултация</w:t>
      </w:r>
      <w:r>
        <w:rPr>
          <w:rFonts w:ascii="Times New Roman" w:hAnsi="Times New Roman"/>
          <w:noProof/>
          <w:sz w:val="24"/>
          <w:vertAlign w:val="superscript"/>
          <w:lang w:val="bg-BG" w:eastAsia="bg-BG" w:bidi="bg-BG"/>
        </w:rPr>
        <w:footnoteReference w:id="14"/>
      </w:r>
      <w:r>
        <w:rPr>
          <w:rFonts w:ascii="Times New Roman" w:hAnsi="Times New Roman"/>
          <w:noProof/>
          <w:sz w:val="24"/>
          <w:lang w:val="bg-BG" w:eastAsia="bg-BG" w:bidi="bg-BG"/>
        </w:rPr>
        <w:t>, за да проучи дали премахванет</w:t>
      </w:r>
      <w:r>
        <w:rPr>
          <w:rFonts w:ascii="Times New Roman" w:hAnsi="Times New Roman"/>
          <w:noProof/>
          <w:sz w:val="24"/>
          <w:lang w:val="bg-BG" w:eastAsia="bg-BG" w:bidi="bg-BG"/>
        </w:rPr>
        <w:t xml:space="preserve">о на неоснователните пречки ще допринесе за увеличаването на трансграничното предлагане на фондове, конкуренцията и избора, и за намаляването на разходите за инвеститорите. Комисията ще предприеме действия, включително чрез законодателни промени, ако това </w:t>
      </w:r>
      <w:r>
        <w:rPr>
          <w:rFonts w:ascii="Times New Roman" w:hAnsi="Times New Roman"/>
          <w:noProof/>
          <w:sz w:val="24"/>
          <w:lang w:val="bg-BG" w:eastAsia="bg-BG" w:bidi="bg-BG"/>
        </w:rPr>
        <w:t>е необходимо, за премахване на оставащите пречки в сектора на управлението на активи.</w:t>
      </w:r>
    </w:p>
    <w:p w:rsidR="003F5D60" w:rsidRDefault="00F7031C">
      <w:pPr>
        <w:spacing w:line="240" w:lineRule="auto"/>
        <w:jc w:val="both"/>
        <w:rPr>
          <w:rFonts w:ascii="Times New Roman" w:hAnsi="Times New Roman" w:cs="Times New Roman"/>
          <w:noProof/>
          <w:sz w:val="24"/>
          <w:szCs w:val="24"/>
          <w:lang w:val="bg-BG" w:eastAsia="bg-BG" w:bidi="bg-BG"/>
        </w:rPr>
      </w:pPr>
      <w:r>
        <w:rPr>
          <w:rFonts w:ascii="Times New Roman" w:hAnsi="Times New Roman"/>
          <w:b/>
          <w:noProof/>
          <w:sz w:val="24"/>
          <w:lang w:val="bg-BG" w:eastAsia="bg-BG" w:bidi="bg-BG"/>
        </w:rPr>
        <w:t>Комисията ще ускори работата си за премахване на пречките във фазата след приключване на борсовата търговия.</w:t>
      </w:r>
      <w:r>
        <w:rPr>
          <w:rFonts w:ascii="Times New Roman" w:hAnsi="Times New Roman"/>
          <w:noProof/>
          <w:sz w:val="24"/>
          <w:lang w:val="bg-BG" w:eastAsia="bg-BG" w:bidi="bg-BG"/>
        </w:rPr>
        <w:t xml:space="preserve"> Ефикасната и сигурна следборсова инфраструктура е ключов елем</w:t>
      </w:r>
      <w:r>
        <w:rPr>
          <w:rFonts w:ascii="Times New Roman" w:hAnsi="Times New Roman"/>
          <w:noProof/>
          <w:sz w:val="24"/>
          <w:lang w:val="bg-BG" w:eastAsia="bg-BG" w:bidi="bg-BG"/>
        </w:rPr>
        <w:t>ент на добре функциониращите капиталови пазари. Беше създадена експертна група, която да оцени състоянието на следборсовата търговия в ЕС след последните законодателни промени, развитието на пазара и появата на нови технологии. Групата също така ще оценява</w:t>
      </w:r>
      <w:r>
        <w:rPr>
          <w:rFonts w:ascii="Times New Roman" w:hAnsi="Times New Roman"/>
          <w:noProof/>
          <w:sz w:val="24"/>
          <w:lang w:val="bg-BG" w:eastAsia="bg-BG" w:bidi="bg-BG"/>
        </w:rPr>
        <w:t xml:space="preserve"> степента, до която са били премахнати пречките, посочени в доклада „Джованини“</w:t>
      </w:r>
      <w:r>
        <w:rPr>
          <w:rFonts w:ascii="Times New Roman" w:hAnsi="Times New Roman"/>
          <w:noProof/>
          <w:sz w:val="24"/>
          <w:vertAlign w:val="superscript"/>
          <w:lang w:val="bg-BG" w:eastAsia="bg-BG" w:bidi="bg-BG"/>
        </w:rPr>
        <w:footnoteReference w:id="15"/>
      </w:r>
      <w:r>
        <w:rPr>
          <w:rFonts w:ascii="Times New Roman" w:hAnsi="Times New Roman"/>
          <w:noProof/>
          <w:sz w:val="24"/>
          <w:lang w:val="bg-BG" w:eastAsia="bg-BG" w:bidi="bg-BG"/>
        </w:rPr>
        <w:t>, и ще отбележи нови или нововъзникващи пречки. През 2017 г. въз основа на резултатите от работата на групата Комисията ще започне обществена консултация, за да се определи най</w:t>
      </w:r>
      <w:r>
        <w:rPr>
          <w:rFonts w:ascii="Times New Roman" w:hAnsi="Times New Roman"/>
          <w:noProof/>
          <w:sz w:val="24"/>
          <w:lang w:val="bg-BG" w:eastAsia="bg-BG" w:bidi="bg-BG"/>
        </w:rPr>
        <w:t xml:space="preserve">-подходящият курс на действие в тази област. Успоредно с това Комисията ще предложи бъдеща законодателна инициатива, за да определи с правна сигурност кое национално законодателство ще се прилага по отношение на собствеността на ценни книжа и спрямо трети </w:t>
      </w:r>
      <w:r>
        <w:rPr>
          <w:rFonts w:ascii="Times New Roman" w:hAnsi="Times New Roman"/>
          <w:noProof/>
          <w:sz w:val="24"/>
          <w:lang w:val="bg-BG" w:eastAsia="bg-BG" w:bidi="bg-BG"/>
        </w:rPr>
        <w:t>лица при прехвърлянето на дългови вземания.</w:t>
      </w:r>
    </w:p>
    <w:p w:rsidR="003F5D60" w:rsidRDefault="00F7031C">
      <w:pPr>
        <w:spacing w:line="240" w:lineRule="auto"/>
        <w:jc w:val="both"/>
        <w:rPr>
          <w:rFonts w:ascii="Times New Roman" w:hAnsi="Times New Roman" w:cs="Times New Roman"/>
          <w:noProof/>
          <w:sz w:val="24"/>
          <w:szCs w:val="24"/>
          <w:lang w:val="bg-BG" w:eastAsia="bg-BG" w:bidi="bg-BG"/>
        </w:rPr>
      </w:pPr>
      <w:r>
        <w:rPr>
          <w:rFonts w:ascii="Times New Roman" w:hAnsi="Times New Roman"/>
          <w:b/>
          <w:noProof/>
          <w:sz w:val="24"/>
          <w:lang w:val="bg-BG" w:eastAsia="bg-BG" w:bidi="bg-BG"/>
        </w:rPr>
        <w:t>Ефективният и последователен надзор е от съществено значение, за да се гарантира защитата на инвеститорите, да се насърчи интеграцията на капиталовите пазари и да се запази финансовата стабилност.</w:t>
      </w:r>
      <w:r>
        <w:rPr>
          <w:rFonts w:ascii="Times New Roman" w:hAnsi="Times New Roman"/>
          <w:noProof/>
          <w:sz w:val="24"/>
          <w:lang w:val="bg-BG" w:eastAsia="bg-BG" w:bidi="bg-BG"/>
        </w:rPr>
        <w:t xml:space="preserve"> Ролята на европ</w:t>
      </w:r>
      <w:r>
        <w:rPr>
          <w:rFonts w:ascii="Times New Roman" w:hAnsi="Times New Roman"/>
          <w:noProof/>
          <w:sz w:val="24"/>
          <w:lang w:val="bg-BG" w:eastAsia="bg-BG" w:bidi="bg-BG"/>
        </w:rPr>
        <w:t>ейските надзорни органи (ЕНО) е от основно значение при изграждането на един по-задълбочен и по-интегриран единен пазар. Европейският орган за ценни книжа и пазари (ESMA) вече е насочил в по-голяма степен работата си върху сближаването в областта на надзор</w:t>
      </w:r>
      <w:r>
        <w:rPr>
          <w:rFonts w:ascii="Times New Roman" w:hAnsi="Times New Roman"/>
          <w:noProof/>
          <w:sz w:val="24"/>
          <w:lang w:val="bg-BG" w:eastAsia="bg-BG" w:bidi="bg-BG"/>
        </w:rPr>
        <w:t>а, за да се гарантира последователност в прилагането на правилата за капиталовите пазари и надзора над участниците на пазара</w:t>
      </w:r>
      <w:r>
        <w:rPr>
          <w:rFonts w:ascii="Times New Roman" w:hAnsi="Times New Roman"/>
          <w:noProof/>
          <w:sz w:val="24"/>
          <w:vertAlign w:val="superscript"/>
          <w:lang w:val="bg-BG" w:eastAsia="bg-BG" w:bidi="bg-BG"/>
        </w:rPr>
        <w:footnoteReference w:id="16"/>
      </w:r>
      <w:r>
        <w:rPr>
          <w:rFonts w:ascii="Times New Roman" w:hAnsi="Times New Roman"/>
          <w:noProof/>
          <w:sz w:val="24"/>
          <w:lang w:val="bg-BG" w:eastAsia="bg-BG" w:bidi="bg-BG"/>
        </w:rPr>
        <w:t xml:space="preserve">. Необходими са обаче допълнителни усилия, за да се укрепи европейското измерение на надзора в области, в които той може да донесе </w:t>
      </w:r>
      <w:r>
        <w:rPr>
          <w:rFonts w:ascii="Times New Roman" w:hAnsi="Times New Roman"/>
          <w:noProof/>
          <w:sz w:val="24"/>
          <w:lang w:val="bg-BG" w:eastAsia="bg-BG" w:bidi="bg-BG"/>
        </w:rPr>
        <w:t>ползи. Например в момента се работи в областта на управлението и финансирането на ЕНО, като Комисията ще публикува бяла книга по тези въпроси. Освен това през август 2016 г. като част от прегледа на макропруденциалната рамка на ЕС</w:t>
      </w:r>
      <w:r>
        <w:rPr>
          <w:rFonts w:ascii="Times New Roman" w:hAnsi="Times New Roman"/>
          <w:noProof/>
          <w:sz w:val="24"/>
          <w:vertAlign w:val="superscript"/>
          <w:lang w:val="bg-BG" w:eastAsia="bg-BG" w:bidi="bg-BG"/>
        </w:rPr>
        <w:footnoteReference w:id="17"/>
      </w:r>
      <w:r>
        <w:rPr>
          <w:rFonts w:ascii="Times New Roman" w:hAnsi="Times New Roman"/>
          <w:noProof/>
          <w:sz w:val="24"/>
          <w:lang w:val="bg-BG" w:eastAsia="bg-BG" w:bidi="bg-BG"/>
        </w:rPr>
        <w:t xml:space="preserve"> започна обществена консу</w:t>
      </w:r>
      <w:r>
        <w:rPr>
          <w:rFonts w:ascii="Times New Roman" w:hAnsi="Times New Roman"/>
          <w:noProof/>
          <w:sz w:val="24"/>
          <w:lang w:val="bg-BG" w:eastAsia="bg-BG" w:bidi="bg-BG"/>
        </w:rPr>
        <w:t>лтация, въз основа на която през 2017 г. Комисията ще приеме законодателно предложение в тази област.</w:t>
      </w:r>
    </w:p>
    <w:p w:rsidR="003F5D60" w:rsidRDefault="00F7031C">
      <w:pPr>
        <w:spacing w:line="240" w:lineRule="auto"/>
        <w:jc w:val="both"/>
        <w:rPr>
          <w:rFonts w:ascii="Times New Roman" w:hAnsi="Times New Roman"/>
          <w:b/>
          <w:noProof/>
          <w:sz w:val="24"/>
          <w:lang w:val="bg-BG" w:eastAsia="bg-BG" w:bidi="bg-BG"/>
        </w:rPr>
      </w:pPr>
      <w:r>
        <w:rPr>
          <w:rFonts w:ascii="Times New Roman" w:hAnsi="Times New Roman"/>
          <w:noProof/>
          <w:sz w:val="24"/>
          <w:lang w:val="bg-BG" w:eastAsia="bg-BG" w:bidi="bg-BG"/>
        </w:rPr>
        <w:t>В доклада на петимата председатели бе подчертана необходимостта от укрепване на надзорната рамка, за да се гарантира стабилността на всички финансови учас</w:t>
      </w:r>
      <w:r>
        <w:rPr>
          <w:rFonts w:ascii="Times New Roman" w:hAnsi="Times New Roman"/>
          <w:noProof/>
          <w:sz w:val="24"/>
          <w:lang w:val="bg-BG" w:eastAsia="bg-BG" w:bidi="bg-BG"/>
        </w:rPr>
        <w:t xml:space="preserve">тници, което следва да доведе в крайна сметка до създаването на единен европейски надзорен орган на капиталовите пазари. При интензивни консултации с Европейския парламент и Съвета, Комисията ще разгледа допълнителните стъпки за изграждането на рамката за </w:t>
      </w:r>
      <w:r>
        <w:rPr>
          <w:rFonts w:ascii="Times New Roman" w:hAnsi="Times New Roman"/>
          <w:noProof/>
          <w:sz w:val="24"/>
          <w:lang w:val="bg-BG" w:eastAsia="bg-BG" w:bidi="bg-BG"/>
        </w:rPr>
        <w:t xml:space="preserve">надзор, които са необходими, за да се извлече максимална полза от СКП. </w:t>
      </w:r>
    </w:p>
    <w:p w:rsidR="003F5D60" w:rsidRDefault="00F7031C">
      <w:pPr>
        <w:spacing w:line="240" w:lineRule="auto"/>
        <w:jc w:val="both"/>
        <w:rPr>
          <w:rFonts w:ascii="Times New Roman" w:hAnsi="Times New Roman" w:cs="Times New Roman"/>
          <w:noProof/>
          <w:sz w:val="24"/>
          <w:szCs w:val="24"/>
          <w:lang w:val="bg-BG" w:eastAsia="bg-BG" w:bidi="bg-BG"/>
        </w:rPr>
      </w:pPr>
      <w:r>
        <w:rPr>
          <w:rFonts w:ascii="Times New Roman" w:hAnsi="Times New Roman"/>
          <w:b/>
          <w:noProof/>
          <w:sz w:val="24"/>
          <w:lang w:val="bg-BG" w:eastAsia="bg-BG" w:bidi="bg-BG"/>
        </w:rPr>
        <w:t xml:space="preserve">Успехът на СКП може да се гарантира само ако държавите членки са решени да работят за премахването на необоснованите национални пречки пред свободното движение на капитали. </w:t>
      </w:r>
      <w:r>
        <w:rPr>
          <w:rFonts w:ascii="Times New Roman" w:hAnsi="Times New Roman"/>
          <w:noProof/>
          <w:sz w:val="24"/>
          <w:lang w:val="bg-BG" w:eastAsia="bg-BG" w:bidi="bg-BG"/>
        </w:rPr>
        <w:t xml:space="preserve">Често пъти </w:t>
      </w:r>
      <w:r>
        <w:rPr>
          <w:rFonts w:ascii="Times New Roman" w:hAnsi="Times New Roman"/>
          <w:noProof/>
          <w:sz w:val="24"/>
          <w:lang w:val="bg-BG" w:eastAsia="bg-BG" w:bidi="bg-BG"/>
        </w:rPr>
        <w:t>националните разпоредби излизат извън рамките на правото на ЕС и в някои случаи могат да бъдат вредни за трансграничните инвестиции. Експертна група от държавите членки отбеляза напредък при очертаването на пречките и обмена на добри практики. Въз основа н</w:t>
      </w:r>
      <w:r>
        <w:rPr>
          <w:rFonts w:ascii="Times New Roman" w:hAnsi="Times New Roman"/>
          <w:noProof/>
          <w:sz w:val="24"/>
          <w:lang w:val="bg-BG" w:eastAsia="bg-BG" w:bidi="bg-BG"/>
        </w:rPr>
        <w:t>а тази работа до края на 2016 г. Комисията ще приеме доклад, който ще включва списък на пречките, установени от групата, ще набелязва най-добрите практики и ще включва пътна карта на предложените действия, които държавите членки ще бъдат насърчавани да пре</w:t>
      </w:r>
      <w:r>
        <w:rPr>
          <w:rFonts w:ascii="Times New Roman" w:hAnsi="Times New Roman"/>
          <w:noProof/>
          <w:sz w:val="24"/>
          <w:lang w:val="bg-BG" w:eastAsia="bg-BG" w:bidi="bg-BG"/>
        </w:rPr>
        <w:t>дприемат най-късно до 2019 г. Важна част от тази работа е съсредоточена върху най-добрите практики и кодекс за поведение за по-ефективни процедури във връзка с освобождаване от данъка, удържан при източника. Това е отдавна съществуваща пречка за трансграни</w:t>
      </w:r>
      <w:r>
        <w:rPr>
          <w:rFonts w:ascii="Times New Roman" w:hAnsi="Times New Roman"/>
          <w:noProof/>
          <w:sz w:val="24"/>
          <w:lang w:val="bg-BG" w:eastAsia="bg-BG" w:bidi="bg-BG"/>
        </w:rPr>
        <w:t>чните инвестиции. За повишаването на ефективността на тези процедури на национално равнище и приемането на кодекс за поведение през 2017 г. ще бъде необходима силна ангажираност от страна на държавите членки.</w:t>
      </w:r>
    </w:p>
    <w:p w:rsidR="003F5D60" w:rsidRDefault="00F7031C">
      <w:pPr>
        <w:spacing w:line="240" w:lineRule="auto"/>
        <w:jc w:val="both"/>
        <w:rPr>
          <w:rFonts w:ascii="Times New Roman" w:hAnsi="Times New Roman" w:cs="Times New Roman"/>
          <w:noProof/>
          <w:sz w:val="24"/>
          <w:szCs w:val="24"/>
          <w:lang w:val="bg-BG" w:eastAsia="bg-BG" w:bidi="bg-BG"/>
        </w:rPr>
      </w:pPr>
      <w:r>
        <w:rPr>
          <w:rFonts w:ascii="Times New Roman" w:hAnsi="Times New Roman"/>
          <w:b/>
          <w:noProof/>
          <w:sz w:val="24"/>
          <w:lang w:val="bg-BG" w:eastAsia="bg-BG" w:bidi="bg-BG"/>
        </w:rPr>
        <w:t>По-доброто регулиране, намаляването на админист</w:t>
      </w:r>
      <w:r>
        <w:rPr>
          <w:rFonts w:ascii="Times New Roman" w:hAnsi="Times New Roman"/>
          <w:b/>
          <w:noProof/>
          <w:sz w:val="24"/>
          <w:lang w:val="bg-BG" w:eastAsia="bg-BG" w:bidi="bg-BG"/>
        </w:rPr>
        <w:t>ративната тежест за участниците на пазара и опростяването на съществуващото законодателство ще помогнат за разгръщането на потенциала на СКП.</w:t>
      </w:r>
      <w:r>
        <w:rPr>
          <w:rFonts w:ascii="Times New Roman" w:hAnsi="Times New Roman"/>
          <w:noProof/>
          <w:sz w:val="24"/>
          <w:lang w:val="bg-BG" w:eastAsia="bg-BG" w:bidi="bg-BG"/>
        </w:rPr>
        <w:t xml:space="preserve"> Всички обявени предложения във връзка със СКП са подготвени в съответствие с принципите за по-добро регулиране, пр</w:t>
      </w:r>
      <w:r>
        <w:rPr>
          <w:rFonts w:ascii="Times New Roman" w:hAnsi="Times New Roman"/>
          <w:noProof/>
          <w:sz w:val="24"/>
          <w:lang w:val="bg-BG" w:eastAsia="bg-BG" w:bidi="bg-BG"/>
        </w:rPr>
        <w:t>оведените консултации и оценка на въздействието. Като част от своята програма за по-добро регулиране Комисията провежда амбициозна програма за установяване и премахване на ненужните регулаторни ограничения. С поканата на Комисията за представяне на сведени</w:t>
      </w:r>
      <w:r>
        <w:rPr>
          <w:rFonts w:ascii="Times New Roman" w:hAnsi="Times New Roman"/>
          <w:noProof/>
          <w:sz w:val="24"/>
          <w:lang w:val="bg-BG" w:eastAsia="bg-BG" w:bidi="bg-BG"/>
        </w:rPr>
        <w:t>я бяха определени ключовите области в законодателството в сферата на финансовите услуги, в които могат да бъдат направени подобрения. Те се отнасят до необходимостта от преодоляване на пречки пред потока от финансови средства за икономиката, подобряване на</w:t>
      </w:r>
      <w:r>
        <w:rPr>
          <w:rFonts w:ascii="Times New Roman" w:hAnsi="Times New Roman"/>
          <w:noProof/>
          <w:sz w:val="24"/>
          <w:lang w:val="bg-BG" w:eastAsia="bg-BG" w:bidi="bg-BG"/>
        </w:rPr>
        <w:t xml:space="preserve"> пропорционалността в нормативната уредба за постигането на по-добър баланс между целите за финансова стабилност и растеж, намаляване на ненужната регулаторна тежест и предприемане на действия срещу оставащите рискове във финансовата система. През идните м</w:t>
      </w:r>
      <w:r>
        <w:rPr>
          <w:rFonts w:ascii="Times New Roman" w:hAnsi="Times New Roman"/>
          <w:noProof/>
          <w:sz w:val="24"/>
          <w:lang w:val="bg-BG" w:eastAsia="bg-BG" w:bidi="bg-BG"/>
        </w:rPr>
        <w:t>есеци Комисията ще представи своите последващи действия във връзка с поканата за представяне на сведения.</w:t>
      </w:r>
    </w:p>
    <w:p w:rsidR="003F5D60" w:rsidRDefault="00F7031C">
      <w:pPr>
        <w:spacing w:line="240" w:lineRule="auto"/>
        <w:jc w:val="both"/>
        <w:rPr>
          <w:rFonts w:ascii="Times New Roman" w:hAnsi="Times New Roman" w:cs="Times New Roman"/>
          <w:b/>
          <w:noProof/>
          <w:sz w:val="24"/>
          <w:szCs w:val="24"/>
          <w:u w:val="single"/>
          <w:lang w:val="bg-BG" w:eastAsia="bg-BG" w:bidi="bg-BG"/>
        </w:rPr>
      </w:pPr>
      <w:r>
        <w:rPr>
          <w:rFonts w:ascii="Times New Roman" w:hAnsi="Times New Roman"/>
          <w:b/>
          <w:noProof/>
          <w:sz w:val="24"/>
          <w:u w:val="single"/>
          <w:lang w:val="bg-BG" w:eastAsia="bg-BG" w:bidi="bg-BG"/>
        </w:rPr>
        <w:t>Заключение</w:t>
      </w:r>
    </w:p>
    <w:p w:rsidR="003F5D60" w:rsidRDefault="00F7031C">
      <w:pPr>
        <w:spacing w:line="240" w:lineRule="auto"/>
        <w:jc w:val="both"/>
        <w:rPr>
          <w:rFonts w:ascii="Times New Roman" w:hAnsi="Times New Roman" w:cs="Times New Roman"/>
          <w:noProof/>
          <w:sz w:val="24"/>
          <w:szCs w:val="24"/>
          <w:lang w:val="bg-BG" w:eastAsia="bg-BG" w:bidi="bg-BG"/>
        </w:rPr>
      </w:pPr>
      <w:r>
        <w:rPr>
          <w:rFonts w:ascii="Times New Roman" w:hAnsi="Times New Roman"/>
          <w:b/>
          <w:noProof/>
          <w:sz w:val="24"/>
          <w:lang w:val="bg-BG" w:eastAsia="bg-BG" w:bidi="bg-BG"/>
        </w:rPr>
        <w:t>В плана за действие за изграждане на СКП се набелязват ключовите промени, които са необходими за укрепването на капиталовите пазари в ЕС. Т</w:t>
      </w:r>
      <w:r>
        <w:rPr>
          <w:rFonts w:ascii="Times New Roman" w:hAnsi="Times New Roman"/>
          <w:b/>
          <w:noProof/>
          <w:sz w:val="24"/>
          <w:lang w:val="bg-BG" w:eastAsia="bg-BG" w:bidi="bg-BG"/>
        </w:rPr>
        <w:t xml:space="preserve">ози план е по-важен от всякога и изпълнението на предвидените в него действия следва да бъде ускорено. </w:t>
      </w:r>
      <w:r>
        <w:rPr>
          <w:rFonts w:ascii="Times New Roman" w:hAnsi="Times New Roman"/>
          <w:noProof/>
          <w:sz w:val="24"/>
          <w:lang w:val="bg-BG" w:eastAsia="bg-BG" w:bidi="bg-BG"/>
        </w:rPr>
        <w:t xml:space="preserve">Изключително важно е всички заинтересовани участници да работят заедно за постигането на тази цел. Също толкова важно е да се гарантира, че приоритетите </w:t>
      </w:r>
      <w:r>
        <w:rPr>
          <w:rFonts w:ascii="Times New Roman" w:hAnsi="Times New Roman"/>
          <w:noProof/>
          <w:sz w:val="24"/>
          <w:lang w:val="bg-BG" w:eastAsia="bg-BG" w:bidi="bg-BG"/>
        </w:rPr>
        <w:t>по линия на СКП се развиват успоредно с променящата се политическа, икономическа и технологична среда. Комисията ще продължи да следи развитието на ситуацията и да набелязва по-нататъшни действия, необходими за развитието на СКП.</w:t>
      </w:r>
      <w:r>
        <w:rPr>
          <w:rFonts w:ascii="Times New Roman" w:hAnsi="Times New Roman"/>
          <w:b/>
          <w:noProof/>
          <w:sz w:val="24"/>
          <w:lang w:val="bg-BG" w:eastAsia="bg-BG" w:bidi="bg-BG"/>
        </w:rPr>
        <w:t xml:space="preserve"> Комисията призовава Европе</w:t>
      </w:r>
      <w:r>
        <w:rPr>
          <w:rFonts w:ascii="Times New Roman" w:hAnsi="Times New Roman"/>
          <w:b/>
          <w:noProof/>
          <w:sz w:val="24"/>
          <w:lang w:val="bg-BG" w:eastAsia="bg-BG" w:bidi="bg-BG"/>
        </w:rPr>
        <w:t>йския парламент и държавите членки да направят всичко в рамките на правомощията си, за да може планът за действие за изграждане на СКП да бъде изпълнен във възможно най-кратък срок в подкрепа на заетостта и растежа в Европа.</w:t>
      </w:r>
    </w:p>
    <w:p w:rsidR="003F5D60" w:rsidRDefault="00F7031C">
      <w:pPr>
        <w:rPr>
          <w:noProof/>
          <w:lang w:val="bg-BG" w:eastAsia="bg-BG" w:bidi="bg-BG"/>
        </w:rPr>
      </w:pPr>
      <w:r>
        <w:rPr>
          <w:noProof/>
          <w:lang w:val="bg-BG" w:eastAsia="bg-BG" w:bidi="bg-BG"/>
        </w:rPr>
        <w:br w:type="page"/>
      </w:r>
    </w:p>
    <w:p w:rsidR="003F5D60" w:rsidRDefault="00F7031C">
      <w:pPr>
        <w:jc w:val="both"/>
        <w:rPr>
          <w:rFonts w:ascii="Times New Roman" w:hAnsi="Times New Roman" w:cs="Times New Roman"/>
          <w:b/>
          <w:noProof/>
          <w:sz w:val="24"/>
          <w:szCs w:val="24"/>
          <w:lang w:val="bg-BG" w:eastAsia="bg-BG" w:bidi="bg-BG"/>
        </w:rPr>
      </w:pPr>
      <w:r>
        <w:rPr>
          <w:rFonts w:ascii="Times New Roman" w:hAnsi="Times New Roman"/>
          <w:b/>
          <w:noProof/>
          <w:sz w:val="24"/>
          <w:lang w:val="bg-BG" w:eastAsia="bg-BG" w:bidi="bg-BG"/>
        </w:rPr>
        <w:t>ПРИЛОЖЕНИЕ: АКТУАЛНО СЪСТОЯНИ</w:t>
      </w:r>
      <w:r>
        <w:rPr>
          <w:rFonts w:ascii="Times New Roman" w:hAnsi="Times New Roman"/>
          <w:b/>
          <w:noProof/>
          <w:sz w:val="24"/>
          <w:lang w:val="bg-BG" w:eastAsia="bg-BG" w:bidi="bg-BG"/>
        </w:rPr>
        <w:t>Е НА ИНИЦИАТИВИТЕ ОТ ПЛАНА ЗА ДЕЙСТВИЕ ЗА ИЗГРАЖДАНЕ НА СКП</w:t>
      </w:r>
    </w:p>
    <w:p w:rsidR="003F5D60" w:rsidRDefault="00F7031C">
      <w:pPr>
        <w:jc w:val="both"/>
        <w:rPr>
          <w:rFonts w:ascii="Times New Roman" w:hAnsi="Times New Roman" w:cs="Times New Roman"/>
          <w:noProof/>
          <w:sz w:val="24"/>
          <w:szCs w:val="24"/>
          <w:lang w:val="bg-BG" w:eastAsia="bg-BG" w:bidi="bg-BG"/>
        </w:rPr>
      </w:pPr>
      <w:r>
        <w:rPr>
          <w:rFonts w:ascii="Times New Roman" w:hAnsi="Times New Roman"/>
          <w:noProof/>
          <w:sz w:val="24"/>
          <w:lang w:val="bg-BG" w:eastAsia="bg-BG" w:bidi="bg-BG"/>
        </w:rPr>
        <w:t>Този преглед предоставя актуализирана информация за състоянието на действията, заложени в плана за действие за изграждане на СКП, след предходната актуализация, публикувана на 25 април 2016 г</w:t>
      </w:r>
      <w:r>
        <w:rPr>
          <w:rFonts w:ascii="Times New Roman" w:hAnsi="Times New Roman"/>
          <w:noProof/>
          <w:sz w:val="24"/>
          <w:vertAlign w:val="superscript"/>
          <w:lang w:val="bg-BG" w:eastAsia="bg-BG" w:bidi="bg-BG"/>
        </w:rPr>
        <w:footnoteReference w:id="18"/>
      </w:r>
      <w:r>
        <w:rPr>
          <w:noProof/>
          <w:lang w:val="bg-BG" w:eastAsia="bg-BG" w:bidi="bg-BG"/>
        </w:rPr>
        <w:t>.</w:t>
      </w:r>
    </w:p>
    <w:tbl>
      <w:tblPr>
        <w:tblW w:w="4666" w:type="pct"/>
        <w:jc w:val="center"/>
        <w:tblInd w:w="-15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60"/>
        <w:gridCol w:w="3073"/>
        <w:gridCol w:w="4035"/>
      </w:tblGrid>
      <w:tr w:rsidR="003F5D60" w:rsidRPr="00F7031C">
        <w:trPr>
          <w:trHeight w:val="462"/>
          <w:jc w:val="center"/>
        </w:trPr>
        <w:tc>
          <w:tcPr>
            <w:tcW w:w="5000" w:type="pct"/>
            <w:gridSpan w:val="3"/>
            <w:tcBorders>
              <w:top w:val="single" w:sz="8" w:space="0" w:color="000000"/>
              <w:left w:val="single" w:sz="12" w:space="0" w:color="auto"/>
              <w:bottom w:val="nil"/>
              <w:right w:val="single" w:sz="12" w:space="0" w:color="000000"/>
            </w:tcBorders>
            <w:shd w:val="clear" w:color="auto" w:fill="002060"/>
            <w:vAlign w:val="center"/>
            <w:hideMark/>
          </w:tcPr>
          <w:p w:rsidR="003F5D60" w:rsidRDefault="00F7031C">
            <w:pPr>
              <w:spacing w:after="120" w:line="240" w:lineRule="auto"/>
              <w:jc w:val="center"/>
              <w:rPr>
                <w:rFonts w:ascii="Times New Roman" w:hAnsi="Times New Roman"/>
                <w:b/>
                <w:noProof/>
                <w:color w:val="FFFFFF"/>
                <w:sz w:val="18"/>
                <w:szCs w:val="18"/>
                <w:lang w:val="bg-BG" w:eastAsia="bg-BG" w:bidi="bg-BG"/>
              </w:rPr>
            </w:pPr>
            <w:r>
              <w:rPr>
                <w:rFonts w:ascii="Times New Roman" w:hAnsi="Times New Roman"/>
                <w:b/>
                <w:noProof/>
                <w:color w:val="FFFFFF"/>
                <w:sz w:val="18"/>
                <w:lang w:val="bg-BG" w:eastAsia="bg-BG" w:bidi="bg-BG"/>
              </w:rPr>
              <w:t>Финансиране за иновациите, за новосъздадените предприятия и за дружествата, които не са регистрирани за борсова търговия</w:t>
            </w:r>
          </w:p>
        </w:tc>
      </w:tr>
      <w:tr w:rsidR="003F5D60">
        <w:trPr>
          <w:trHeight w:val="277"/>
          <w:jc w:val="center"/>
        </w:trPr>
        <w:tc>
          <w:tcPr>
            <w:tcW w:w="865" w:type="pct"/>
            <w:tcBorders>
              <w:top w:val="nil"/>
              <w:left w:val="single" w:sz="12" w:space="0" w:color="000000"/>
              <w:bottom w:val="single" w:sz="12" w:space="0" w:color="auto"/>
              <w:right w:val="nil"/>
            </w:tcBorders>
            <w:shd w:val="clear" w:color="auto" w:fill="auto"/>
            <w:vAlign w:val="center"/>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 xml:space="preserve">Действие </w:t>
            </w:r>
          </w:p>
        </w:tc>
        <w:tc>
          <w:tcPr>
            <w:tcW w:w="1790" w:type="pct"/>
            <w:tcBorders>
              <w:top w:val="nil"/>
              <w:left w:val="nil"/>
              <w:bottom w:val="single" w:sz="12" w:space="0" w:color="auto"/>
              <w:right w:val="single" w:sz="8" w:space="0" w:color="000000"/>
            </w:tcBorders>
            <w:shd w:val="clear" w:color="auto" w:fill="auto"/>
            <w:vAlign w:val="center"/>
          </w:tcPr>
          <w:p w:rsidR="003F5D60" w:rsidRDefault="003F5D60">
            <w:pPr>
              <w:spacing w:after="120" w:line="240" w:lineRule="auto"/>
              <w:rPr>
                <w:rFonts w:ascii="Times New Roman" w:hAnsi="Times New Roman"/>
                <w:b/>
                <w:noProof/>
                <w:sz w:val="18"/>
                <w:lang w:val="bg-BG" w:eastAsia="bg-BG" w:bidi="bg-BG"/>
              </w:rPr>
            </w:pPr>
          </w:p>
        </w:tc>
        <w:tc>
          <w:tcPr>
            <w:tcW w:w="2345" w:type="pct"/>
            <w:tcBorders>
              <w:top w:val="nil"/>
              <w:left w:val="single" w:sz="8" w:space="0" w:color="000000"/>
              <w:bottom w:val="single" w:sz="12" w:space="0" w:color="auto"/>
              <w:right w:val="single" w:sz="4" w:space="0" w:color="auto"/>
            </w:tcBorders>
            <w:shd w:val="clear" w:color="auto" w:fill="auto"/>
            <w:vAlign w:val="center"/>
          </w:tcPr>
          <w:p w:rsidR="003F5D60" w:rsidRDefault="00F7031C">
            <w:pPr>
              <w:spacing w:after="120" w:line="240" w:lineRule="auto"/>
              <w:ind w:left="2" w:hanging="2"/>
              <w:rPr>
                <w:rFonts w:ascii="Times New Roman" w:hAnsi="Times New Roman"/>
                <w:b/>
                <w:noProof/>
                <w:sz w:val="18"/>
                <w:lang w:val="bg-BG" w:eastAsia="bg-BG" w:bidi="bg-BG"/>
              </w:rPr>
            </w:pPr>
            <w:r>
              <w:rPr>
                <w:rFonts w:ascii="Times New Roman" w:hAnsi="Times New Roman"/>
                <w:b/>
                <w:noProof/>
                <w:sz w:val="18"/>
                <w:lang w:val="bg-BG" w:eastAsia="bg-BG" w:bidi="bg-BG"/>
              </w:rPr>
              <w:t>Напредък и следващи стъпки</w:t>
            </w:r>
          </w:p>
        </w:tc>
      </w:tr>
      <w:tr w:rsidR="003F5D60" w:rsidRPr="00F7031C">
        <w:trPr>
          <w:trHeight w:val="556"/>
          <w:jc w:val="center"/>
        </w:trPr>
        <w:tc>
          <w:tcPr>
            <w:tcW w:w="865" w:type="pct"/>
            <w:vMerge w:val="restart"/>
            <w:tcBorders>
              <w:top w:val="single" w:sz="12" w:space="0" w:color="auto"/>
              <w:left w:val="single" w:sz="12" w:space="0" w:color="000000"/>
              <w:right w:val="single" w:sz="4" w:space="0" w:color="auto"/>
            </w:tcBorders>
            <w:shd w:val="clear" w:color="auto" w:fill="auto"/>
            <w:vAlign w:val="center"/>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Подкрепа за рисковия капитал и финансиране със собствен капитал</w:t>
            </w:r>
          </w:p>
        </w:tc>
        <w:tc>
          <w:tcPr>
            <w:tcW w:w="1790" w:type="pct"/>
            <w:tcBorders>
              <w:top w:val="single" w:sz="12" w:space="0" w:color="auto"/>
              <w:left w:val="single" w:sz="4" w:space="0" w:color="auto"/>
              <w:bottom w:val="single" w:sz="4"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b/>
                <w:i/>
                <w:noProof/>
                <w:sz w:val="18"/>
                <w:lang w:val="bg-BG" w:eastAsia="bg-BG" w:bidi="bg-BG"/>
              </w:rPr>
              <w:t xml:space="preserve">Общоевропейски фонд за инвестиции във фондове за рисков капитал </w:t>
            </w:r>
          </w:p>
        </w:tc>
        <w:tc>
          <w:tcPr>
            <w:tcW w:w="2345" w:type="pct"/>
            <w:tcBorders>
              <w:top w:val="single" w:sz="12" w:space="0" w:color="auto"/>
              <w:left w:val="single" w:sz="4" w:space="0" w:color="auto"/>
              <w:bottom w:val="single" w:sz="4"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През 2016 г. ще бъде публикувана покана за изразяване на интерес.</w:t>
            </w:r>
          </w:p>
        </w:tc>
      </w:tr>
      <w:tr w:rsidR="003F5D60" w:rsidRPr="00F7031C">
        <w:trPr>
          <w:trHeight w:val="512"/>
          <w:jc w:val="center"/>
        </w:trPr>
        <w:tc>
          <w:tcPr>
            <w:tcW w:w="865" w:type="pct"/>
            <w:vMerge/>
            <w:tcBorders>
              <w:left w:val="single" w:sz="12" w:space="0" w:color="000000"/>
              <w:right w:val="single" w:sz="4" w:space="0" w:color="auto"/>
            </w:tcBorders>
            <w:shd w:val="clear" w:color="auto" w:fill="auto"/>
            <w:vAlign w:val="center"/>
          </w:tcPr>
          <w:p w:rsidR="003F5D60" w:rsidRDefault="003F5D60">
            <w:pPr>
              <w:spacing w:after="120" w:line="240" w:lineRule="auto"/>
              <w:rPr>
                <w:rFonts w:ascii="Times New Roman" w:hAnsi="Times New Roman"/>
                <w:b/>
                <w:noProof/>
                <w:sz w:val="18"/>
                <w:lang w:val="bg-BG" w:eastAsia="bg-BG" w:bidi="bg-BG"/>
              </w:rPr>
            </w:pPr>
          </w:p>
        </w:tc>
        <w:tc>
          <w:tcPr>
            <w:tcW w:w="1790" w:type="pct"/>
            <w:tcBorders>
              <w:top w:val="single" w:sz="4" w:space="0" w:color="auto"/>
              <w:left w:val="single" w:sz="4" w:space="0" w:color="auto"/>
              <w:bottom w:val="single" w:sz="4" w:space="0" w:color="auto"/>
              <w:right w:val="single" w:sz="4" w:space="0" w:color="auto"/>
            </w:tcBorders>
            <w:shd w:val="clear" w:color="auto" w:fill="auto"/>
            <w:vAlign w:val="center"/>
          </w:tcPr>
          <w:p w:rsidR="003F5D60" w:rsidRDefault="00F7031C">
            <w:pPr>
              <w:spacing w:after="120" w:line="240" w:lineRule="auto"/>
              <w:rPr>
                <w:noProof/>
                <w:lang w:val="bg-BG" w:eastAsia="bg-BG" w:bidi="bg-BG"/>
              </w:rPr>
            </w:pPr>
            <w:r>
              <w:rPr>
                <w:rFonts w:ascii="Times New Roman" w:hAnsi="Times New Roman"/>
                <w:b/>
                <w:i/>
                <w:noProof/>
                <w:sz w:val="18"/>
                <w:lang w:val="bg-BG" w:eastAsia="bg-BG" w:bidi="bg-BG"/>
              </w:rPr>
              <w:t>Преглед на законодателството относно ЕФРК и ЕФСП</w:t>
            </w: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По законодателното предложение, представено от Комисията през юли 2016 г.,</w:t>
            </w:r>
            <w:r>
              <w:rPr>
                <w:rFonts w:ascii="Times New Roman" w:hAnsi="Times New Roman"/>
                <w:noProof/>
                <w:sz w:val="18"/>
                <w:lang w:val="bg-BG" w:eastAsia="bg-BG" w:bidi="bg-BG"/>
              </w:rPr>
              <w:t xml:space="preserve"> се водят преговори в Европейския парламент и в Съвета.</w:t>
            </w:r>
          </w:p>
        </w:tc>
      </w:tr>
      <w:tr w:rsidR="003F5D60" w:rsidRPr="00F7031C">
        <w:trPr>
          <w:trHeight w:hRule="exact" w:val="1017"/>
          <w:jc w:val="center"/>
        </w:trPr>
        <w:tc>
          <w:tcPr>
            <w:tcW w:w="865" w:type="pct"/>
            <w:vMerge/>
            <w:tcBorders>
              <w:left w:val="single" w:sz="12" w:space="0" w:color="000000"/>
              <w:bottom w:val="single" w:sz="12" w:space="0" w:color="auto"/>
              <w:right w:val="single" w:sz="4" w:space="0" w:color="auto"/>
            </w:tcBorders>
            <w:shd w:val="clear" w:color="auto" w:fill="auto"/>
          </w:tcPr>
          <w:p w:rsidR="003F5D60" w:rsidRDefault="003F5D60">
            <w:pPr>
              <w:spacing w:after="120" w:line="240" w:lineRule="auto"/>
              <w:rPr>
                <w:rFonts w:ascii="Times New Roman" w:hAnsi="Times New Roman"/>
                <w:b/>
                <w:noProof/>
                <w:sz w:val="18"/>
                <w:lang w:val="bg-BG" w:eastAsia="bg-BG" w:bidi="bg-BG"/>
              </w:rPr>
            </w:pPr>
          </w:p>
        </w:tc>
        <w:tc>
          <w:tcPr>
            <w:tcW w:w="1790" w:type="pct"/>
            <w:tcBorders>
              <w:top w:val="single" w:sz="4"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ind w:left="2" w:hanging="2"/>
              <w:rPr>
                <w:rFonts w:ascii="Times New Roman" w:hAnsi="Times New Roman"/>
                <w:noProof/>
                <w:sz w:val="18"/>
                <w:lang w:val="bg-BG" w:eastAsia="bg-BG" w:bidi="bg-BG"/>
              </w:rPr>
            </w:pPr>
            <w:r>
              <w:rPr>
                <w:rFonts w:ascii="Times New Roman" w:hAnsi="Times New Roman"/>
                <w:b/>
                <w:i/>
                <w:noProof/>
                <w:sz w:val="18"/>
                <w:lang w:val="bg-BG" w:eastAsia="bg-BG" w:bidi="bg-BG"/>
              </w:rPr>
              <w:t>Данъчни стимули за рисков капитал и т. нар. „бизнес ангели“</w:t>
            </w:r>
          </w:p>
        </w:tc>
        <w:tc>
          <w:tcPr>
            <w:tcW w:w="2345" w:type="pct"/>
            <w:tcBorders>
              <w:top w:val="single" w:sz="4"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Проучването относно националните данъчни стимули е в ход.</w:t>
            </w:r>
          </w:p>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През октомври 2016 г. ще се проведе семинар с експерти от държавите членки.</w:t>
            </w:r>
          </w:p>
        </w:tc>
      </w:tr>
      <w:tr w:rsidR="003F5D60" w:rsidRPr="00F7031C">
        <w:trPr>
          <w:trHeight w:hRule="exact" w:val="1133"/>
          <w:jc w:val="center"/>
        </w:trPr>
        <w:tc>
          <w:tcPr>
            <w:tcW w:w="865" w:type="pct"/>
            <w:vMerge w:val="restart"/>
            <w:tcBorders>
              <w:top w:val="single" w:sz="12" w:space="0" w:color="auto"/>
              <w:left w:val="single" w:sz="12" w:space="0" w:color="000000"/>
              <w:right w:val="single" w:sz="4" w:space="0" w:color="auto"/>
            </w:tcBorders>
            <w:shd w:val="clear" w:color="auto" w:fill="auto"/>
            <w:vAlign w:val="center"/>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Преодоляване информационни бариери за инвестиции в МСП</w:t>
            </w:r>
          </w:p>
        </w:tc>
        <w:tc>
          <w:tcPr>
            <w:tcW w:w="1790" w:type="pct"/>
            <w:tcBorders>
              <w:top w:val="single" w:sz="12" w:space="0" w:color="auto"/>
              <w:left w:val="single" w:sz="4" w:space="0" w:color="auto"/>
              <w:bottom w:val="single" w:sz="4"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b/>
                <w:i/>
                <w:noProof/>
                <w:sz w:val="18"/>
                <w:lang w:val="bg-BG" w:eastAsia="bg-BG" w:bidi="bg-BG"/>
              </w:rPr>
              <w:t>Подобряване на обратната информация, предоставена от банките при отхвърляне на искания за кредит от страна на МСП</w:t>
            </w:r>
          </w:p>
        </w:tc>
        <w:tc>
          <w:tcPr>
            <w:tcW w:w="2345" w:type="pct"/>
            <w:tcBorders>
              <w:top w:val="single" w:sz="12" w:space="0" w:color="auto"/>
              <w:left w:val="single" w:sz="4" w:space="0" w:color="auto"/>
              <w:bottom w:val="single" w:sz="4"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Тесни разисквания с европейския банков сектор и представители на малките предприятия.</w:t>
            </w:r>
          </w:p>
        </w:tc>
      </w:tr>
      <w:tr w:rsidR="003F5D60" w:rsidRPr="00F7031C">
        <w:trPr>
          <w:trHeight w:hRule="exact" w:val="1077"/>
          <w:jc w:val="center"/>
        </w:trPr>
        <w:tc>
          <w:tcPr>
            <w:tcW w:w="865" w:type="pct"/>
            <w:vMerge/>
            <w:tcBorders>
              <w:left w:val="single" w:sz="12" w:space="0" w:color="000000"/>
              <w:right w:val="single" w:sz="4" w:space="0" w:color="auto"/>
            </w:tcBorders>
            <w:shd w:val="clear" w:color="auto" w:fill="auto"/>
            <w:vAlign w:val="center"/>
          </w:tcPr>
          <w:p w:rsidR="003F5D60" w:rsidRDefault="003F5D60">
            <w:pPr>
              <w:spacing w:after="120" w:line="240" w:lineRule="auto"/>
              <w:rPr>
                <w:rFonts w:ascii="Times New Roman" w:hAnsi="Times New Roman"/>
                <w:b/>
                <w:noProof/>
                <w:sz w:val="18"/>
                <w:lang w:val="bg-BG" w:eastAsia="bg-BG" w:bidi="bg-BG"/>
              </w:rPr>
            </w:pPr>
          </w:p>
        </w:tc>
        <w:tc>
          <w:tcPr>
            <w:tcW w:w="1790" w:type="pct"/>
            <w:tcBorders>
              <w:top w:val="single" w:sz="4" w:space="0" w:color="auto"/>
              <w:left w:val="single" w:sz="4" w:space="0" w:color="auto"/>
              <w:bottom w:val="single" w:sz="4" w:space="0" w:color="auto"/>
              <w:right w:val="single" w:sz="4" w:space="0" w:color="auto"/>
            </w:tcBorders>
            <w:shd w:val="clear" w:color="auto" w:fill="auto"/>
            <w:vAlign w:val="center"/>
          </w:tcPr>
          <w:p w:rsidR="003F5D60" w:rsidRDefault="00F7031C">
            <w:pPr>
              <w:spacing w:after="120" w:line="240" w:lineRule="auto"/>
              <w:rPr>
                <w:rFonts w:ascii="Times New Roman" w:hAnsi="Times New Roman" w:cs="Times New Roman"/>
                <w:noProof/>
                <w:sz w:val="18"/>
                <w:szCs w:val="18"/>
                <w:lang w:val="bg-BG" w:eastAsia="bg-BG" w:bidi="bg-BG"/>
              </w:rPr>
            </w:pPr>
            <w:r>
              <w:rPr>
                <w:rFonts w:ascii="Times New Roman" w:hAnsi="Times New Roman"/>
                <w:b/>
                <w:i/>
                <w:noProof/>
                <w:sz w:val="18"/>
                <w:lang w:val="bg-BG" w:eastAsia="bg-BG" w:bidi="bg-BG"/>
              </w:rPr>
              <w:t>Описание на действащото местно или национално подпомагане и консултантски капацитет в ЕС за насърчаване на най-добри практики</w:t>
            </w:r>
          </w:p>
          <w:p w:rsidR="003F5D60" w:rsidRDefault="003F5D60">
            <w:pPr>
              <w:spacing w:after="120" w:line="240" w:lineRule="auto"/>
              <w:rPr>
                <w:rFonts w:ascii="Times New Roman" w:hAnsi="Times New Roman" w:cs="Times New Roman"/>
                <w:noProof/>
                <w:sz w:val="18"/>
                <w:szCs w:val="18"/>
                <w:lang w:val="bg-BG" w:eastAsia="bg-BG" w:bidi="bg-BG"/>
              </w:rPr>
            </w:pPr>
          </w:p>
          <w:p w:rsidR="003F5D60" w:rsidRDefault="003F5D60">
            <w:pPr>
              <w:spacing w:after="120" w:line="240" w:lineRule="auto"/>
              <w:rPr>
                <w:rFonts w:ascii="Times New Roman" w:hAnsi="Times New Roman"/>
                <w:noProof/>
                <w:sz w:val="18"/>
                <w:lang w:val="bg-BG" w:eastAsia="bg-BG" w:bidi="bg-BG"/>
              </w:rPr>
            </w:pP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 xml:space="preserve">През септември 2016 г. ще се проведе семинар за консултантска подкрепа за достъпа на МСП до финансиране. </w:t>
            </w:r>
          </w:p>
        </w:tc>
      </w:tr>
      <w:tr w:rsidR="003F5D60" w:rsidRPr="00F7031C">
        <w:trPr>
          <w:trHeight w:val="835"/>
          <w:jc w:val="center"/>
        </w:trPr>
        <w:tc>
          <w:tcPr>
            <w:tcW w:w="865" w:type="pct"/>
            <w:vMerge/>
            <w:tcBorders>
              <w:left w:val="single" w:sz="12" w:space="0" w:color="000000"/>
              <w:bottom w:val="single" w:sz="12" w:space="0" w:color="auto"/>
              <w:right w:val="single" w:sz="4" w:space="0" w:color="auto"/>
            </w:tcBorders>
            <w:shd w:val="clear" w:color="auto" w:fill="auto"/>
            <w:vAlign w:val="center"/>
          </w:tcPr>
          <w:p w:rsidR="003F5D60" w:rsidRDefault="003F5D60">
            <w:pPr>
              <w:spacing w:after="120" w:line="240" w:lineRule="auto"/>
              <w:rPr>
                <w:rFonts w:ascii="Times New Roman" w:hAnsi="Times New Roman"/>
                <w:b/>
                <w:noProof/>
                <w:sz w:val="18"/>
                <w:lang w:val="bg-BG" w:eastAsia="bg-BG" w:bidi="bg-BG"/>
              </w:rPr>
            </w:pPr>
          </w:p>
        </w:tc>
        <w:tc>
          <w:tcPr>
            <w:tcW w:w="1790" w:type="pct"/>
            <w:tcBorders>
              <w:top w:val="single" w:sz="4"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b/>
                <w:i/>
                <w:noProof/>
                <w:sz w:val="18"/>
                <w:lang w:val="bg-BG" w:eastAsia="bg-BG" w:bidi="bg-BG"/>
              </w:rPr>
              <w:t xml:space="preserve">Проучване на </w:t>
            </w:r>
            <w:r>
              <w:rPr>
                <w:rFonts w:ascii="Times New Roman" w:hAnsi="Times New Roman"/>
                <w:b/>
                <w:i/>
                <w:noProof/>
                <w:sz w:val="18"/>
                <w:lang w:val="bg-BG" w:eastAsia="bg-BG" w:bidi="bg-BG"/>
              </w:rPr>
              <w:t>начините за развиване или подкрепа на общоевропейски информационни системи</w:t>
            </w:r>
          </w:p>
        </w:tc>
        <w:tc>
          <w:tcPr>
            <w:tcW w:w="2345" w:type="pct"/>
            <w:tcBorders>
              <w:top w:val="single" w:sz="4"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ind w:left="2" w:hanging="2"/>
              <w:rPr>
                <w:rFonts w:ascii="Times New Roman" w:hAnsi="Times New Roman"/>
                <w:noProof/>
                <w:sz w:val="18"/>
                <w:lang w:val="bg-BG" w:eastAsia="bg-BG" w:bidi="bg-BG"/>
              </w:rPr>
            </w:pPr>
            <w:r>
              <w:rPr>
                <w:rFonts w:ascii="Times New Roman" w:hAnsi="Times New Roman"/>
                <w:noProof/>
                <w:sz w:val="18"/>
                <w:lang w:val="bg-BG" w:eastAsia="bg-BG" w:bidi="bg-BG"/>
              </w:rPr>
              <w:t>Това действие по линия на политиката ще се основава на резултатите от набелязването на националните системи за подкрепа и консултации.</w:t>
            </w:r>
          </w:p>
        </w:tc>
      </w:tr>
      <w:tr w:rsidR="003F5D60" w:rsidRPr="00F7031C">
        <w:trPr>
          <w:trHeight w:hRule="exact" w:val="438"/>
          <w:jc w:val="center"/>
        </w:trPr>
        <w:tc>
          <w:tcPr>
            <w:tcW w:w="865" w:type="pct"/>
            <w:vMerge w:val="restart"/>
            <w:tcBorders>
              <w:top w:val="single" w:sz="12" w:space="0" w:color="auto"/>
              <w:left w:val="single" w:sz="12" w:space="0" w:color="000000"/>
              <w:right w:val="single" w:sz="4" w:space="0" w:color="auto"/>
            </w:tcBorders>
            <w:shd w:val="clear" w:color="auto" w:fill="auto"/>
            <w:vAlign w:val="center"/>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 xml:space="preserve">Насърчаване на иновационни форми на </w:t>
            </w:r>
            <w:r>
              <w:rPr>
                <w:rFonts w:ascii="Times New Roman" w:hAnsi="Times New Roman"/>
                <w:b/>
                <w:noProof/>
                <w:sz w:val="18"/>
                <w:lang w:val="bg-BG" w:eastAsia="bg-BG" w:bidi="bg-BG"/>
              </w:rPr>
              <w:t>корпоративно финансиране</w:t>
            </w:r>
          </w:p>
        </w:tc>
        <w:tc>
          <w:tcPr>
            <w:tcW w:w="1790" w:type="pct"/>
            <w:tcBorders>
              <w:top w:val="single" w:sz="12" w:space="0" w:color="auto"/>
              <w:left w:val="single" w:sz="4" w:space="0" w:color="auto"/>
              <w:bottom w:val="single" w:sz="4" w:space="0" w:color="auto"/>
              <w:right w:val="single" w:sz="4" w:space="0" w:color="auto"/>
            </w:tcBorders>
            <w:shd w:val="clear" w:color="auto" w:fill="auto"/>
            <w:vAlign w:val="center"/>
          </w:tcPr>
          <w:p w:rsidR="003F5D60" w:rsidRDefault="00F7031C">
            <w:pPr>
              <w:spacing w:after="120" w:line="240" w:lineRule="auto"/>
              <w:rPr>
                <w:noProof/>
                <w:lang w:val="bg-BG" w:eastAsia="bg-BG" w:bidi="bg-BG"/>
              </w:rPr>
            </w:pPr>
            <w:r>
              <w:rPr>
                <w:rFonts w:ascii="Times New Roman" w:hAnsi="Times New Roman"/>
                <w:b/>
                <w:i/>
                <w:noProof/>
                <w:sz w:val="18"/>
                <w:lang w:val="bg-BG" w:eastAsia="bg-BG" w:bidi="bg-BG"/>
              </w:rPr>
              <w:t>Доклад относно колективното финансиране</w:t>
            </w:r>
          </w:p>
        </w:tc>
        <w:tc>
          <w:tcPr>
            <w:tcW w:w="2345" w:type="pct"/>
            <w:tcBorders>
              <w:top w:val="single" w:sz="12" w:space="0" w:color="auto"/>
              <w:left w:val="single" w:sz="4" w:space="0" w:color="auto"/>
              <w:bottom w:val="single" w:sz="4" w:space="0" w:color="auto"/>
              <w:right w:val="single" w:sz="4" w:space="0" w:color="auto"/>
            </w:tcBorders>
            <w:shd w:val="clear" w:color="auto" w:fill="auto"/>
            <w:vAlign w:val="center"/>
          </w:tcPr>
          <w:p w:rsidR="003F5D60" w:rsidRDefault="00F7031C">
            <w:pPr>
              <w:spacing w:after="120" w:line="240" w:lineRule="auto"/>
              <w:ind w:left="2"/>
              <w:rPr>
                <w:rFonts w:ascii="Times New Roman" w:hAnsi="Times New Roman"/>
                <w:noProof/>
                <w:sz w:val="18"/>
                <w:lang w:val="bg-BG" w:eastAsia="bg-BG" w:bidi="bg-BG"/>
              </w:rPr>
            </w:pPr>
            <w:r>
              <w:rPr>
                <w:rFonts w:ascii="Times New Roman" w:hAnsi="Times New Roman"/>
                <w:noProof/>
                <w:sz w:val="18"/>
                <w:lang w:val="bg-BG" w:eastAsia="bg-BG" w:bidi="bg-BG"/>
              </w:rPr>
              <w:t>През май 2016 г. бе публикуван доклад по въпроса.</w:t>
            </w:r>
          </w:p>
        </w:tc>
      </w:tr>
      <w:tr w:rsidR="003F5D60" w:rsidRPr="00F7031C">
        <w:trPr>
          <w:trHeight w:hRule="exact" w:val="1353"/>
          <w:jc w:val="center"/>
        </w:trPr>
        <w:tc>
          <w:tcPr>
            <w:tcW w:w="865" w:type="pct"/>
            <w:vMerge/>
            <w:tcBorders>
              <w:left w:val="single" w:sz="12" w:space="0" w:color="000000"/>
              <w:bottom w:val="single" w:sz="12" w:space="0" w:color="auto"/>
              <w:right w:val="single" w:sz="4" w:space="0" w:color="auto"/>
            </w:tcBorders>
            <w:shd w:val="clear" w:color="auto" w:fill="auto"/>
            <w:vAlign w:val="center"/>
          </w:tcPr>
          <w:p w:rsidR="003F5D60" w:rsidRDefault="003F5D60">
            <w:pPr>
              <w:spacing w:after="120" w:line="240" w:lineRule="auto"/>
              <w:rPr>
                <w:rFonts w:ascii="Times New Roman" w:hAnsi="Times New Roman"/>
                <w:b/>
                <w:noProof/>
                <w:sz w:val="18"/>
                <w:lang w:val="bg-BG" w:eastAsia="bg-BG" w:bidi="bg-BG"/>
              </w:rPr>
            </w:pPr>
          </w:p>
        </w:tc>
        <w:tc>
          <w:tcPr>
            <w:tcW w:w="1790" w:type="pct"/>
            <w:tcBorders>
              <w:top w:val="single" w:sz="4"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cs="Times New Roman"/>
                <w:i/>
                <w:noProof/>
                <w:sz w:val="18"/>
                <w:szCs w:val="18"/>
                <w:lang w:val="bg-BG" w:eastAsia="bg-BG" w:bidi="bg-BG"/>
              </w:rPr>
            </w:pPr>
            <w:r>
              <w:rPr>
                <w:rFonts w:ascii="Times New Roman" w:hAnsi="Times New Roman"/>
                <w:b/>
                <w:i/>
                <w:noProof/>
                <w:sz w:val="18"/>
                <w:lang w:val="bg-BG" w:eastAsia="bg-BG" w:bidi="bg-BG"/>
              </w:rPr>
              <w:t xml:space="preserve">Разработване на координиран подход по отношение на инициирането на кредити по фондове и оценката на възможността за една бъдеща рамка на </w:t>
            </w:r>
            <w:r>
              <w:rPr>
                <w:rFonts w:ascii="Times New Roman" w:hAnsi="Times New Roman"/>
                <w:b/>
                <w:i/>
                <w:noProof/>
                <w:sz w:val="18"/>
                <w:lang w:val="bg-BG" w:eastAsia="bg-BG" w:bidi="bg-BG"/>
              </w:rPr>
              <w:t>равнище ЕС</w:t>
            </w:r>
          </w:p>
          <w:p w:rsidR="003F5D60" w:rsidRDefault="003F5D60">
            <w:pPr>
              <w:spacing w:after="120" w:line="240" w:lineRule="auto"/>
              <w:ind w:left="462"/>
              <w:rPr>
                <w:rFonts w:ascii="Times New Roman" w:hAnsi="Times New Roman"/>
                <w:noProof/>
                <w:sz w:val="18"/>
                <w:lang w:val="bg-BG" w:eastAsia="bg-BG" w:bidi="bg-BG"/>
              </w:rPr>
            </w:pPr>
          </w:p>
          <w:p w:rsidR="003F5D60" w:rsidRDefault="003F5D60">
            <w:pPr>
              <w:spacing w:after="120" w:line="240" w:lineRule="auto"/>
              <w:ind w:left="462"/>
              <w:rPr>
                <w:rFonts w:ascii="Times New Roman" w:hAnsi="Times New Roman"/>
                <w:noProof/>
                <w:sz w:val="18"/>
                <w:lang w:val="bg-BG" w:eastAsia="bg-BG" w:bidi="bg-BG"/>
              </w:rPr>
            </w:pPr>
          </w:p>
          <w:p w:rsidR="003F5D60" w:rsidRDefault="003F5D60">
            <w:pPr>
              <w:spacing w:after="120" w:line="240" w:lineRule="auto"/>
              <w:ind w:left="462"/>
              <w:rPr>
                <w:rFonts w:ascii="Times New Roman" w:hAnsi="Times New Roman"/>
                <w:noProof/>
                <w:sz w:val="18"/>
                <w:lang w:val="bg-BG" w:eastAsia="bg-BG" w:bidi="bg-BG"/>
              </w:rPr>
            </w:pPr>
          </w:p>
          <w:p w:rsidR="003F5D60" w:rsidRDefault="003F5D60">
            <w:pPr>
              <w:spacing w:after="120" w:line="240" w:lineRule="auto"/>
              <w:rPr>
                <w:rFonts w:ascii="Times New Roman" w:hAnsi="Times New Roman"/>
                <w:noProof/>
                <w:sz w:val="18"/>
                <w:lang w:val="bg-BG" w:eastAsia="bg-BG" w:bidi="bg-BG"/>
              </w:rPr>
            </w:pPr>
          </w:p>
        </w:tc>
        <w:tc>
          <w:tcPr>
            <w:tcW w:w="2345" w:type="pct"/>
            <w:tcBorders>
              <w:top w:val="single" w:sz="4"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cs="Times New Roman"/>
                <w:i/>
                <w:noProof/>
                <w:sz w:val="18"/>
                <w:szCs w:val="18"/>
                <w:lang w:val="bg-BG" w:eastAsia="bg-BG" w:bidi="bg-BG"/>
              </w:rPr>
            </w:pPr>
            <w:r>
              <w:rPr>
                <w:rFonts w:ascii="Times New Roman" w:hAnsi="Times New Roman"/>
                <w:noProof/>
                <w:sz w:val="18"/>
                <w:lang w:val="bg-BG" w:eastAsia="bg-BG" w:bidi="bg-BG"/>
              </w:rPr>
              <w:t>През април 2016 г. бе получено становище на ESMA.</w:t>
            </w:r>
          </w:p>
        </w:tc>
      </w:tr>
    </w:tbl>
    <w:p w:rsidR="003F5D60" w:rsidRDefault="003F5D60">
      <w:pPr>
        <w:spacing w:after="120" w:line="240" w:lineRule="auto"/>
        <w:rPr>
          <w:rFonts w:ascii="Times New Roman" w:hAnsi="Times New Roman" w:cs="Times New Roman"/>
          <w:noProof/>
          <w:sz w:val="18"/>
          <w:szCs w:val="18"/>
          <w:lang w:val="bg-BG" w:eastAsia="bg-BG" w:bidi="bg-BG"/>
        </w:rPr>
      </w:pPr>
    </w:p>
    <w:tbl>
      <w:tblPr>
        <w:tblW w:w="4665" w:type="pct"/>
        <w:jc w:val="center"/>
        <w:tblInd w:w="-16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0"/>
        <w:gridCol w:w="3030"/>
        <w:gridCol w:w="4066"/>
      </w:tblGrid>
      <w:tr w:rsidR="003F5D60" w:rsidRPr="00F7031C">
        <w:trPr>
          <w:jc w:val="center"/>
        </w:trPr>
        <w:tc>
          <w:tcPr>
            <w:tcW w:w="5000" w:type="pct"/>
            <w:gridSpan w:val="3"/>
            <w:tcBorders>
              <w:top w:val="single" w:sz="8" w:space="0" w:color="000000"/>
              <w:left w:val="single" w:sz="12" w:space="0" w:color="auto"/>
              <w:bottom w:val="nil"/>
              <w:right w:val="single" w:sz="12" w:space="0" w:color="000000"/>
            </w:tcBorders>
            <w:shd w:val="clear" w:color="auto" w:fill="002060"/>
            <w:vAlign w:val="center"/>
            <w:hideMark/>
          </w:tcPr>
          <w:p w:rsidR="003F5D60" w:rsidRDefault="00F7031C">
            <w:pPr>
              <w:spacing w:after="120" w:line="240" w:lineRule="auto"/>
              <w:jc w:val="center"/>
              <w:rPr>
                <w:rFonts w:ascii="Times New Roman" w:hAnsi="Times New Roman"/>
                <w:b/>
                <w:noProof/>
                <w:sz w:val="18"/>
                <w:lang w:val="bg-BG" w:eastAsia="bg-BG" w:bidi="bg-BG"/>
              </w:rPr>
            </w:pPr>
            <w:r>
              <w:rPr>
                <w:rFonts w:ascii="Times New Roman" w:hAnsi="Times New Roman"/>
                <w:b/>
                <w:noProof/>
                <w:sz w:val="18"/>
                <w:lang w:val="bg-BG" w:eastAsia="bg-BG" w:bidi="bg-BG"/>
              </w:rPr>
              <w:t>Създаване на благоприятни условия за предприятията за навлизане и набиране на капитал на публични пазари</w:t>
            </w:r>
          </w:p>
        </w:tc>
      </w:tr>
      <w:tr w:rsidR="003F5D60">
        <w:trPr>
          <w:trHeight w:hRule="exact" w:val="329"/>
          <w:jc w:val="center"/>
        </w:trPr>
        <w:tc>
          <w:tcPr>
            <w:tcW w:w="906" w:type="pct"/>
            <w:tcBorders>
              <w:top w:val="nil"/>
              <w:left w:val="single" w:sz="12" w:space="0" w:color="000000"/>
              <w:bottom w:val="single" w:sz="12" w:space="0" w:color="000000"/>
              <w:right w:val="nil"/>
            </w:tcBorders>
            <w:shd w:val="clear" w:color="auto" w:fill="auto"/>
            <w:vAlign w:val="center"/>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Действие</w:t>
            </w:r>
          </w:p>
        </w:tc>
        <w:tc>
          <w:tcPr>
            <w:tcW w:w="1748" w:type="pct"/>
            <w:tcBorders>
              <w:top w:val="nil"/>
              <w:left w:val="nil"/>
              <w:bottom w:val="single" w:sz="12" w:space="0" w:color="000000"/>
              <w:right w:val="single" w:sz="4" w:space="0" w:color="auto"/>
            </w:tcBorders>
            <w:shd w:val="clear" w:color="auto" w:fill="auto"/>
            <w:vAlign w:val="center"/>
          </w:tcPr>
          <w:p w:rsidR="003F5D60" w:rsidRDefault="003F5D60">
            <w:pPr>
              <w:spacing w:after="120" w:line="240" w:lineRule="auto"/>
              <w:rPr>
                <w:rFonts w:ascii="Times New Roman" w:hAnsi="Times New Roman"/>
                <w:b/>
                <w:noProof/>
                <w:sz w:val="18"/>
                <w:lang w:val="bg-BG" w:eastAsia="bg-BG" w:bidi="bg-BG"/>
              </w:rPr>
            </w:pPr>
          </w:p>
        </w:tc>
        <w:tc>
          <w:tcPr>
            <w:tcW w:w="2346" w:type="pct"/>
            <w:tcBorders>
              <w:top w:val="nil"/>
              <w:left w:val="single" w:sz="4" w:space="0" w:color="auto"/>
              <w:bottom w:val="single" w:sz="12" w:space="0" w:color="000000"/>
              <w:right w:val="single" w:sz="4" w:space="0" w:color="auto"/>
            </w:tcBorders>
            <w:shd w:val="clear" w:color="auto" w:fill="auto"/>
            <w:vAlign w:val="center"/>
          </w:tcPr>
          <w:p w:rsidR="003F5D60" w:rsidRDefault="00F7031C">
            <w:pPr>
              <w:spacing w:after="120" w:line="240" w:lineRule="auto"/>
              <w:ind w:left="2" w:hanging="2"/>
              <w:rPr>
                <w:rFonts w:ascii="Times New Roman" w:hAnsi="Times New Roman"/>
                <w:b/>
                <w:noProof/>
                <w:sz w:val="18"/>
                <w:lang w:val="bg-BG" w:eastAsia="bg-BG" w:bidi="bg-BG"/>
              </w:rPr>
            </w:pPr>
            <w:r>
              <w:rPr>
                <w:rFonts w:ascii="Times New Roman" w:hAnsi="Times New Roman"/>
                <w:b/>
                <w:noProof/>
                <w:sz w:val="18"/>
                <w:lang w:val="bg-BG" w:eastAsia="bg-BG" w:bidi="bg-BG"/>
              </w:rPr>
              <w:t>Напредък и следващи стъпки</w:t>
            </w:r>
          </w:p>
        </w:tc>
      </w:tr>
      <w:tr w:rsidR="003F5D60" w:rsidRPr="00F7031C">
        <w:trPr>
          <w:trHeight w:hRule="exact" w:val="1001"/>
          <w:jc w:val="center"/>
        </w:trPr>
        <w:tc>
          <w:tcPr>
            <w:tcW w:w="906" w:type="pct"/>
            <w:vMerge w:val="restart"/>
            <w:tcBorders>
              <w:top w:val="single" w:sz="12" w:space="0" w:color="000000"/>
              <w:left w:val="single" w:sz="12" w:space="0" w:color="000000"/>
              <w:right w:val="single" w:sz="4" w:space="0" w:color="auto"/>
            </w:tcBorders>
            <w:shd w:val="clear" w:color="auto" w:fill="auto"/>
            <w:vAlign w:val="center"/>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Улесняване на достъпа до публичните пазари</w:t>
            </w:r>
          </w:p>
        </w:tc>
        <w:tc>
          <w:tcPr>
            <w:tcW w:w="1748" w:type="pct"/>
            <w:tcBorders>
              <w:top w:val="single" w:sz="12" w:space="0" w:color="000000"/>
              <w:left w:val="single" w:sz="4" w:space="0" w:color="auto"/>
              <w:bottom w:val="single" w:sz="4" w:space="0" w:color="auto"/>
              <w:right w:val="single" w:sz="4" w:space="0" w:color="auto"/>
            </w:tcBorders>
            <w:shd w:val="clear" w:color="auto" w:fill="auto"/>
            <w:vAlign w:val="center"/>
          </w:tcPr>
          <w:p w:rsidR="003F5D60" w:rsidRDefault="00F7031C">
            <w:pPr>
              <w:spacing w:after="120" w:line="240" w:lineRule="auto"/>
              <w:rPr>
                <w:b/>
                <w:noProof/>
                <w:lang w:val="bg-BG" w:eastAsia="bg-BG" w:bidi="bg-BG"/>
              </w:rPr>
            </w:pPr>
            <w:r>
              <w:rPr>
                <w:rFonts w:ascii="Times New Roman" w:hAnsi="Times New Roman"/>
                <w:b/>
                <w:i/>
                <w:noProof/>
                <w:sz w:val="18"/>
                <w:lang w:val="bg-BG" w:eastAsia="bg-BG" w:bidi="bg-BG"/>
              </w:rPr>
              <w:t>Предложение за актуализиране на Директивата за проспектите</w:t>
            </w:r>
          </w:p>
        </w:tc>
        <w:tc>
          <w:tcPr>
            <w:tcW w:w="2346" w:type="pct"/>
            <w:tcBorders>
              <w:top w:val="single" w:sz="12" w:space="0" w:color="000000"/>
              <w:left w:val="single" w:sz="4" w:space="0" w:color="auto"/>
              <w:bottom w:val="single" w:sz="4"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През септември 2016 г. ще бъде разисквано на пленарно заседание на Европейския парламент.</w:t>
            </w:r>
          </w:p>
          <w:p w:rsidR="003F5D60" w:rsidRDefault="00F7031C">
            <w:pPr>
              <w:spacing w:after="120" w:line="240" w:lineRule="auto"/>
              <w:rPr>
                <w:rFonts w:ascii="Times New Roman" w:hAnsi="Times New Roman"/>
                <w:b/>
                <w:noProof/>
                <w:sz w:val="18"/>
                <w:lang w:val="bg-BG" w:eastAsia="bg-BG" w:bidi="bg-BG"/>
              </w:rPr>
            </w:pPr>
            <w:r>
              <w:rPr>
                <w:rFonts w:ascii="Times New Roman" w:hAnsi="Times New Roman"/>
                <w:noProof/>
                <w:sz w:val="18"/>
                <w:lang w:val="bg-BG" w:eastAsia="bg-BG" w:bidi="bg-BG"/>
              </w:rPr>
              <w:t>През юни 2016 г. бе постигнат общ подход на Съвета.</w:t>
            </w:r>
          </w:p>
        </w:tc>
      </w:tr>
      <w:tr w:rsidR="003F5D60" w:rsidRPr="00F7031C">
        <w:trPr>
          <w:trHeight w:hRule="exact" w:val="849"/>
          <w:jc w:val="center"/>
        </w:trPr>
        <w:tc>
          <w:tcPr>
            <w:tcW w:w="906" w:type="pct"/>
            <w:vMerge/>
            <w:tcBorders>
              <w:left w:val="single" w:sz="12" w:space="0" w:color="000000"/>
              <w:right w:val="single" w:sz="4" w:space="0" w:color="auto"/>
            </w:tcBorders>
            <w:shd w:val="clear" w:color="auto" w:fill="auto"/>
            <w:vAlign w:val="center"/>
          </w:tcPr>
          <w:p w:rsidR="003F5D60" w:rsidRDefault="003F5D60">
            <w:pPr>
              <w:spacing w:after="120" w:line="240" w:lineRule="auto"/>
              <w:rPr>
                <w:rFonts w:ascii="Times New Roman" w:hAnsi="Times New Roman"/>
                <w:b/>
                <w:noProof/>
                <w:sz w:val="18"/>
                <w:lang w:val="bg-BG" w:eastAsia="bg-BG" w:bidi="bg-BG"/>
              </w:rPr>
            </w:pPr>
          </w:p>
        </w:tc>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rsidR="003F5D60" w:rsidRDefault="00F7031C">
            <w:pPr>
              <w:spacing w:after="120" w:line="240" w:lineRule="auto"/>
              <w:rPr>
                <w:rFonts w:ascii="Times New Roman" w:hAnsi="Times New Roman"/>
                <w:b/>
                <w:i/>
                <w:noProof/>
                <w:sz w:val="18"/>
                <w:lang w:val="bg-BG" w:eastAsia="bg-BG" w:bidi="bg-BG"/>
              </w:rPr>
            </w:pPr>
            <w:r>
              <w:rPr>
                <w:rFonts w:ascii="Times New Roman" w:hAnsi="Times New Roman"/>
                <w:b/>
                <w:i/>
                <w:noProof/>
                <w:sz w:val="18"/>
                <w:lang w:val="bg-BG" w:eastAsia="bg-BG" w:bidi="bg-BG"/>
              </w:rPr>
              <w:t xml:space="preserve">Преглед на регулаторните пречки пред достъпа на МСП </w:t>
            </w:r>
            <w:r>
              <w:rPr>
                <w:rFonts w:ascii="Times New Roman" w:hAnsi="Times New Roman"/>
                <w:b/>
                <w:i/>
                <w:noProof/>
                <w:sz w:val="18"/>
                <w:lang w:val="bg-BG" w:eastAsia="bg-BG" w:bidi="bg-BG"/>
              </w:rPr>
              <w:t>до публичните пазари и пазари за растеж на МСП</w:t>
            </w:r>
          </w:p>
          <w:p w:rsidR="003F5D60" w:rsidRDefault="003F5D60">
            <w:pPr>
              <w:spacing w:after="120" w:line="240" w:lineRule="auto"/>
              <w:rPr>
                <w:rFonts w:ascii="Times New Roman" w:hAnsi="Times New Roman" w:cs="Times New Roman"/>
                <w:i/>
                <w:noProof/>
                <w:sz w:val="18"/>
                <w:szCs w:val="18"/>
                <w:lang w:val="bg-BG" w:eastAsia="bg-BG" w:bidi="bg-BG"/>
              </w:rPr>
            </w:pPr>
          </w:p>
          <w:p w:rsidR="003F5D60" w:rsidRDefault="003F5D60">
            <w:pPr>
              <w:spacing w:after="120" w:line="240" w:lineRule="auto"/>
              <w:ind w:left="462"/>
              <w:rPr>
                <w:rFonts w:ascii="Times New Roman" w:hAnsi="Times New Roman"/>
                <w:noProof/>
                <w:sz w:val="18"/>
                <w:lang w:val="bg-BG" w:eastAsia="bg-BG" w:bidi="bg-BG"/>
              </w:rPr>
            </w:pPr>
          </w:p>
        </w:tc>
        <w:tc>
          <w:tcPr>
            <w:tcW w:w="2346" w:type="pct"/>
            <w:tcBorders>
              <w:top w:val="single" w:sz="4" w:space="0" w:color="auto"/>
              <w:left w:val="single" w:sz="4" w:space="0" w:color="auto"/>
              <w:bottom w:val="single" w:sz="4" w:space="0" w:color="auto"/>
              <w:right w:val="single" w:sz="4" w:space="0" w:color="auto"/>
            </w:tcBorders>
            <w:shd w:val="clear" w:color="auto" w:fill="auto"/>
            <w:vAlign w:val="center"/>
          </w:tcPr>
          <w:p w:rsidR="003F5D60" w:rsidRDefault="00F7031C">
            <w:pPr>
              <w:spacing w:after="120" w:line="240" w:lineRule="auto"/>
              <w:rPr>
                <w:rFonts w:ascii="Times New Roman" w:hAnsi="Times New Roman" w:cs="Times New Roman"/>
                <w:noProof/>
                <w:sz w:val="18"/>
                <w:szCs w:val="18"/>
                <w:lang w:val="bg-BG" w:eastAsia="bg-BG" w:bidi="bg-BG"/>
              </w:rPr>
            </w:pPr>
            <w:r>
              <w:rPr>
                <w:rFonts w:ascii="Times New Roman" w:hAnsi="Times New Roman"/>
                <w:noProof/>
                <w:sz w:val="18"/>
                <w:lang w:val="bg-BG" w:eastAsia="bg-BG" w:bidi="bg-BG"/>
              </w:rPr>
              <w:t xml:space="preserve">През октомври и декември 2016 г. ще се проведат семинари със заинтересованите страни. </w:t>
            </w:r>
          </w:p>
          <w:p w:rsidR="003F5D60" w:rsidRDefault="003F5D60">
            <w:pPr>
              <w:spacing w:after="120" w:line="240" w:lineRule="auto"/>
              <w:ind w:left="2" w:hanging="2"/>
              <w:rPr>
                <w:rFonts w:ascii="Times New Roman" w:hAnsi="Times New Roman"/>
                <w:b/>
                <w:noProof/>
                <w:sz w:val="18"/>
                <w:lang w:val="bg-BG" w:eastAsia="bg-BG" w:bidi="bg-BG"/>
              </w:rPr>
            </w:pPr>
          </w:p>
        </w:tc>
      </w:tr>
      <w:tr w:rsidR="003F5D60" w:rsidRPr="00F7031C">
        <w:trPr>
          <w:trHeight w:hRule="exact" w:val="1136"/>
          <w:jc w:val="center"/>
        </w:trPr>
        <w:tc>
          <w:tcPr>
            <w:tcW w:w="906" w:type="pct"/>
            <w:vMerge/>
            <w:tcBorders>
              <w:left w:val="single" w:sz="12" w:space="0" w:color="000000"/>
              <w:bottom w:val="single" w:sz="12" w:space="0" w:color="auto"/>
              <w:right w:val="single" w:sz="4" w:space="0" w:color="auto"/>
            </w:tcBorders>
            <w:shd w:val="clear" w:color="auto" w:fill="auto"/>
          </w:tcPr>
          <w:p w:rsidR="003F5D60" w:rsidRDefault="003F5D60">
            <w:pPr>
              <w:spacing w:after="120" w:line="240" w:lineRule="auto"/>
              <w:rPr>
                <w:rFonts w:ascii="Times New Roman" w:hAnsi="Times New Roman"/>
                <w:b/>
                <w:noProof/>
                <w:sz w:val="18"/>
                <w:lang w:val="bg-BG" w:eastAsia="bg-BG" w:bidi="bg-BG"/>
              </w:rPr>
            </w:pPr>
          </w:p>
        </w:tc>
        <w:tc>
          <w:tcPr>
            <w:tcW w:w="1748" w:type="pct"/>
            <w:tcBorders>
              <w:top w:val="single" w:sz="4"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ind w:left="2" w:hanging="2"/>
              <w:rPr>
                <w:noProof/>
                <w:lang w:val="bg-BG" w:eastAsia="bg-BG" w:bidi="bg-BG"/>
              </w:rPr>
            </w:pPr>
            <w:r>
              <w:rPr>
                <w:rFonts w:ascii="Times New Roman" w:hAnsi="Times New Roman"/>
                <w:b/>
                <w:i/>
                <w:noProof/>
                <w:sz w:val="18"/>
                <w:lang w:val="bg-BG" w:eastAsia="bg-BG" w:bidi="bg-BG"/>
              </w:rPr>
              <w:t>Преглед на пазарите на корпоративни облигации на ЕС, насочен към ликвидността на пазара</w:t>
            </w:r>
          </w:p>
        </w:tc>
        <w:tc>
          <w:tcPr>
            <w:tcW w:w="2346" w:type="pct"/>
            <w:tcBorders>
              <w:top w:val="single" w:sz="4"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ind w:left="2"/>
              <w:rPr>
                <w:rFonts w:ascii="Times New Roman" w:hAnsi="Times New Roman"/>
                <w:noProof/>
                <w:sz w:val="18"/>
                <w:lang w:val="bg-BG" w:eastAsia="bg-BG" w:bidi="bg-BG"/>
              </w:rPr>
            </w:pPr>
            <w:r>
              <w:rPr>
                <w:rFonts w:ascii="Times New Roman" w:hAnsi="Times New Roman"/>
                <w:noProof/>
                <w:sz w:val="18"/>
                <w:lang w:val="bg-BG" w:eastAsia="bg-BG" w:bidi="bg-BG"/>
              </w:rPr>
              <w:t>През юли 2016 г. бе започнато</w:t>
            </w:r>
            <w:r>
              <w:rPr>
                <w:rFonts w:ascii="Times New Roman" w:hAnsi="Times New Roman"/>
                <w:noProof/>
                <w:sz w:val="18"/>
                <w:lang w:val="bg-BG" w:eastAsia="bg-BG" w:bidi="bg-BG"/>
              </w:rPr>
              <w:t xml:space="preserve"> проучване по темата.</w:t>
            </w:r>
          </w:p>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През есента на 2016 г. ще започне работа експертна група в тази област.</w:t>
            </w:r>
          </w:p>
        </w:tc>
      </w:tr>
      <w:tr w:rsidR="003F5D60" w:rsidRPr="00F7031C">
        <w:trPr>
          <w:trHeight w:hRule="exact" w:val="1349"/>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Подкрепа за финансирането със собствен капитал</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ind w:left="2" w:hanging="2"/>
              <w:rPr>
                <w:noProof/>
                <w:lang w:val="bg-BG" w:eastAsia="bg-BG" w:bidi="bg-BG"/>
              </w:rPr>
            </w:pPr>
            <w:r>
              <w:rPr>
                <w:rFonts w:ascii="Times New Roman" w:hAnsi="Times New Roman"/>
                <w:b/>
                <w:i/>
                <w:noProof/>
                <w:sz w:val="18"/>
                <w:lang w:val="bg-BG" w:eastAsia="bg-BG" w:bidi="bg-BG"/>
              </w:rPr>
              <w:t>Преодоляване на преференциалното третиране на финансирането чрез дълг спрямо финансирането чрез собствен капитал в</w:t>
            </w:r>
            <w:r>
              <w:rPr>
                <w:rFonts w:ascii="Times New Roman" w:hAnsi="Times New Roman"/>
                <w:b/>
                <w:i/>
                <w:noProof/>
                <w:sz w:val="18"/>
                <w:lang w:val="bg-BG" w:eastAsia="bg-BG" w:bidi="bg-BG"/>
              </w:rPr>
              <w:t xml:space="preserve"> националните системи за корпоративно данъчно облагане</w:t>
            </w: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ind w:left="2" w:hanging="2"/>
              <w:rPr>
                <w:rFonts w:ascii="Times New Roman" w:hAnsi="Times New Roman"/>
                <w:noProof/>
                <w:sz w:val="18"/>
                <w:lang w:val="bg-BG" w:eastAsia="bg-BG" w:bidi="bg-BG"/>
              </w:rPr>
            </w:pPr>
            <w:r>
              <w:rPr>
                <w:rFonts w:ascii="Times New Roman" w:hAnsi="Times New Roman"/>
                <w:noProof/>
                <w:sz w:val="18"/>
                <w:lang w:val="bg-BG" w:eastAsia="bg-BG" w:bidi="bg-BG"/>
              </w:rPr>
              <w:t>До края на 2016 г. Комисията ще представи предложения, свързани с ОООКД.</w:t>
            </w:r>
          </w:p>
        </w:tc>
      </w:tr>
    </w:tbl>
    <w:p w:rsidR="003F5D60" w:rsidRDefault="003F5D60">
      <w:pPr>
        <w:spacing w:after="120" w:line="240" w:lineRule="auto"/>
        <w:rPr>
          <w:rFonts w:ascii="Times New Roman" w:hAnsi="Times New Roman"/>
          <w:noProof/>
          <w:sz w:val="18"/>
          <w:lang w:val="bg-BG" w:eastAsia="bg-BG" w:bidi="bg-BG"/>
        </w:rPr>
      </w:pPr>
    </w:p>
    <w:p w:rsidR="003F5D60" w:rsidRDefault="003F5D60">
      <w:pPr>
        <w:spacing w:after="120" w:line="240" w:lineRule="auto"/>
        <w:rPr>
          <w:rFonts w:ascii="Times New Roman" w:hAnsi="Times New Roman"/>
          <w:noProof/>
          <w:sz w:val="18"/>
          <w:lang w:val="bg-BG" w:eastAsia="bg-BG" w:bidi="bg-BG"/>
        </w:rPr>
      </w:pPr>
    </w:p>
    <w:p w:rsidR="003F5D60" w:rsidRDefault="003F5D60">
      <w:pPr>
        <w:spacing w:after="120" w:line="240" w:lineRule="auto"/>
        <w:rPr>
          <w:rFonts w:ascii="Times New Roman" w:hAnsi="Times New Roman"/>
          <w:noProof/>
          <w:sz w:val="18"/>
          <w:lang w:val="bg-BG" w:eastAsia="bg-BG" w:bidi="bg-BG"/>
        </w:rPr>
      </w:pPr>
    </w:p>
    <w:tbl>
      <w:tblPr>
        <w:tblW w:w="4665" w:type="pct"/>
        <w:jc w:val="center"/>
        <w:tblInd w:w="-16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0"/>
        <w:gridCol w:w="3030"/>
        <w:gridCol w:w="4066"/>
      </w:tblGrid>
      <w:tr w:rsidR="003F5D60" w:rsidRPr="00F7031C">
        <w:trPr>
          <w:trHeight w:val="499"/>
          <w:jc w:val="center"/>
        </w:trPr>
        <w:tc>
          <w:tcPr>
            <w:tcW w:w="5000" w:type="pct"/>
            <w:gridSpan w:val="3"/>
            <w:tcBorders>
              <w:top w:val="nil"/>
              <w:left w:val="single" w:sz="12" w:space="0" w:color="auto"/>
              <w:bottom w:val="nil"/>
              <w:right w:val="single" w:sz="12" w:space="0" w:color="000000"/>
            </w:tcBorders>
            <w:shd w:val="clear" w:color="auto" w:fill="002060"/>
            <w:vAlign w:val="center"/>
            <w:hideMark/>
          </w:tcPr>
          <w:p w:rsidR="003F5D60" w:rsidRDefault="00F7031C">
            <w:pPr>
              <w:spacing w:after="120" w:line="240" w:lineRule="auto"/>
              <w:jc w:val="center"/>
              <w:rPr>
                <w:rFonts w:ascii="Times New Roman" w:hAnsi="Times New Roman"/>
                <w:b/>
                <w:noProof/>
                <w:sz w:val="18"/>
                <w:lang w:val="bg-BG" w:eastAsia="bg-BG" w:bidi="bg-BG"/>
              </w:rPr>
            </w:pPr>
            <w:r>
              <w:rPr>
                <w:rFonts w:ascii="Times New Roman" w:hAnsi="Times New Roman"/>
                <w:b/>
                <w:noProof/>
                <w:sz w:val="18"/>
                <w:lang w:val="bg-BG" w:eastAsia="bg-BG" w:bidi="bg-BG"/>
              </w:rPr>
              <w:t>Инвестиции в дългосрочен план, инфраструктурни и устойчиви инвестиции</w:t>
            </w:r>
          </w:p>
        </w:tc>
      </w:tr>
      <w:tr w:rsidR="003F5D60">
        <w:trPr>
          <w:trHeight w:hRule="exact" w:val="288"/>
          <w:jc w:val="center"/>
        </w:trPr>
        <w:tc>
          <w:tcPr>
            <w:tcW w:w="906" w:type="pct"/>
            <w:tcBorders>
              <w:top w:val="nil"/>
              <w:left w:val="single" w:sz="12" w:space="0" w:color="000000"/>
              <w:bottom w:val="single" w:sz="12" w:space="0" w:color="000000"/>
              <w:right w:val="nil"/>
            </w:tcBorders>
            <w:shd w:val="clear" w:color="auto" w:fill="auto"/>
            <w:vAlign w:val="center"/>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Действие</w:t>
            </w:r>
          </w:p>
        </w:tc>
        <w:tc>
          <w:tcPr>
            <w:tcW w:w="1748" w:type="pct"/>
            <w:tcBorders>
              <w:top w:val="nil"/>
              <w:left w:val="nil"/>
              <w:bottom w:val="single" w:sz="12" w:space="0" w:color="000000"/>
              <w:right w:val="single" w:sz="4" w:space="0" w:color="auto"/>
            </w:tcBorders>
            <w:shd w:val="clear" w:color="auto" w:fill="auto"/>
            <w:vAlign w:val="center"/>
          </w:tcPr>
          <w:p w:rsidR="003F5D60" w:rsidRDefault="003F5D60">
            <w:pPr>
              <w:spacing w:after="120" w:line="240" w:lineRule="auto"/>
              <w:rPr>
                <w:rFonts w:ascii="Times New Roman" w:hAnsi="Times New Roman"/>
                <w:b/>
                <w:noProof/>
                <w:sz w:val="18"/>
                <w:lang w:val="bg-BG" w:eastAsia="bg-BG" w:bidi="bg-BG"/>
              </w:rPr>
            </w:pPr>
          </w:p>
        </w:tc>
        <w:tc>
          <w:tcPr>
            <w:tcW w:w="2346" w:type="pct"/>
            <w:tcBorders>
              <w:top w:val="nil"/>
              <w:left w:val="single" w:sz="4" w:space="0" w:color="auto"/>
              <w:bottom w:val="single" w:sz="12" w:space="0" w:color="000000"/>
              <w:right w:val="single" w:sz="4" w:space="0" w:color="auto"/>
            </w:tcBorders>
            <w:shd w:val="clear" w:color="auto" w:fill="auto"/>
            <w:vAlign w:val="center"/>
          </w:tcPr>
          <w:p w:rsidR="003F5D60" w:rsidRDefault="00F7031C">
            <w:pPr>
              <w:spacing w:after="120" w:line="240" w:lineRule="auto"/>
              <w:ind w:left="2" w:hanging="2"/>
              <w:rPr>
                <w:rFonts w:ascii="Times New Roman" w:hAnsi="Times New Roman"/>
                <w:b/>
                <w:noProof/>
                <w:sz w:val="18"/>
                <w:lang w:val="bg-BG" w:eastAsia="bg-BG" w:bidi="bg-BG"/>
              </w:rPr>
            </w:pPr>
            <w:r>
              <w:rPr>
                <w:rFonts w:ascii="Times New Roman" w:hAnsi="Times New Roman"/>
                <w:b/>
                <w:noProof/>
                <w:sz w:val="18"/>
                <w:lang w:val="bg-BG" w:eastAsia="bg-BG" w:bidi="bg-BG"/>
              </w:rPr>
              <w:t>Напредък и следващи стъпки</w:t>
            </w:r>
          </w:p>
        </w:tc>
      </w:tr>
      <w:tr w:rsidR="003F5D60" w:rsidRPr="00F7031C">
        <w:trPr>
          <w:trHeight w:hRule="exact" w:val="2069"/>
          <w:jc w:val="center"/>
        </w:trPr>
        <w:tc>
          <w:tcPr>
            <w:tcW w:w="906" w:type="pct"/>
            <w:vMerge w:val="restart"/>
            <w:tcBorders>
              <w:top w:val="single" w:sz="12" w:space="0" w:color="000000"/>
              <w:left w:val="single" w:sz="12" w:space="0" w:color="000000"/>
              <w:right w:val="single" w:sz="4" w:space="0" w:color="auto"/>
            </w:tcBorders>
            <w:shd w:val="clear" w:color="auto" w:fill="auto"/>
            <w:vAlign w:val="center"/>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 xml:space="preserve">Подкрепа за </w:t>
            </w:r>
            <w:r>
              <w:rPr>
                <w:rFonts w:ascii="Times New Roman" w:hAnsi="Times New Roman"/>
                <w:b/>
                <w:noProof/>
                <w:sz w:val="18"/>
                <w:lang w:val="bg-BG" w:eastAsia="bg-BG" w:bidi="bg-BG"/>
              </w:rPr>
              <w:t>инвестиции в инфраструктура</w:t>
            </w:r>
          </w:p>
        </w:tc>
        <w:tc>
          <w:tcPr>
            <w:tcW w:w="1748" w:type="pct"/>
            <w:tcBorders>
              <w:top w:val="single" w:sz="12" w:space="0" w:color="000000"/>
              <w:left w:val="single" w:sz="4" w:space="0" w:color="auto"/>
              <w:bottom w:val="single" w:sz="4" w:space="0" w:color="000000"/>
              <w:right w:val="single" w:sz="4" w:space="0" w:color="auto"/>
            </w:tcBorders>
            <w:shd w:val="clear" w:color="auto" w:fill="auto"/>
            <w:vAlign w:val="center"/>
          </w:tcPr>
          <w:p w:rsidR="003F5D60" w:rsidRDefault="00F7031C">
            <w:pPr>
              <w:spacing w:after="120" w:line="240" w:lineRule="auto"/>
              <w:ind w:left="11" w:hanging="11"/>
              <w:rPr>
                <w:rFonts w:ascii="Times New Roman" w:hAnsi="Times New Roman"/>
                <w:b/>
                <w:i/>
                <w:noProof/>
                <w:sz w:val="18"/>
                <w:lang w:val="bg-BG" w:eastAsia="bg-BG" w:bidi="bg-BG"/>
              </w:rPr>
            </w:pPr>
            <w:r>
              <w:rPr>
                <w:rFonts w:ascii="Times New Roman" w:hAnsi="Times New Roman"/>
                <w:b/>
                <w:i/>
                <w:noProof/>
                <w:sz w:val="18"/>
                <w:lang w:val="bg-BG" w:eastAsia="bg-BG" w:bidi="bg-BG"/>
              </w:rPr>
              <w:t>Адаптиране на директивата „Платежоспособност II“ във връзка с калибрирането на инвестициите на застрахователните предприятия в инфраструктура, в т.ч. инфраструктурните предприятия и европейските фондове за дългосрочни инвестиции</w:t>
            </w:r>
          </w:p>
          <w:p w:rsidR="003F5D60" w:rsidRDefault="003F5D60">
            <w:pPr>
              <w:spacing w:after="120" w:line="240" w:lineRule="auto"/>
              <w:ind w:left="720"/>
              <w:contextualSpacing/>
              <w:rPr>
                <w:rFonts w:ascii="Times New Roman" w:hAnsi="Times New Roman"/>
                <w:noProof/>
                <w:lang w:val="bg-BG" w:eastAsia="bg-BG" w:bidi="bg-BG"/>
              </w:rPr>
            </w:pPr>
          </w:p>
          <w:p w:rsidR="003F5D60" w:rsidRDefault="003F5D60">
            <w:pPr>
              <w:spacing w:after="120" w:line="240" w:lineRule="auto"/>
              <w:ind w:left="11" w:hanging="11"/>
              <w:rPr>
                <w:rFonts w:ascii="Times New Roman" w:hAnsi="Times New Roman"/>
                <w:noProof/>
                <w:sz w:val="18"/>
                <w:lang w:val="bg-BG" w:eastAsia="bg-BG" w:bidi="bg-BG"/>
              </w:rPr>
            </w:pPr>
          </w:p>
        </w:tc>
        <w:tc>
          <w:tcPr>
            <w:tcW w:w="2346" w:type="pct"/>
            <w:tcBorders>
              <w:top w:val="single" w:sz="12" w:space="0" w:color="000000"/>
              <w:left w:val="single" w:sz="4" w:space="0" w:color="auto"/>
              <w:bottom w:val="single" w:sz="4" w:space="0" w:color="000000"/>
              <w:right w:val="single" w:sz="4" w:space="0" w:color="auto"/>
            </w:tcBorders>
            <w:shd w:val="clear" w:color="auto" w:fill="auto"/>
            <w:vAlign w:val="center"/>
          </w:tcPr>
          <w:p w:rsidR="003F5D60" w:rsidRDefault="00F7031C">
            <w:pPr>
              <w:spacing w:after="120" w:line="240" w:lineRule="auto"/>
              <w:rPr>
                <w:rFonts w:ascii="Times New Roman" w:hAnsi="Times New Roman" w:cs="Times New Roman"/>
                <w:noProof/>
                <w:sz w:val="18"/>
                <w:szCs w:val="18"/>
                <w:lang w:val="bg-BG" w:eastAsia="bg-BG" w:bidi="bg-BG"/>
              </w:rPr>
            </w:pPr>
            <w:r>
              <w:rPr>
                <w:rFonts w:ascii="Times New Roman" w:hAnsi="Times New Roman"/>
                <w:noProof/>
                <w:sz w:val="18"/>
                <w:lang w:val="bg-BG" w:eastAsia="bg-BG" w:bidi="bg-BG"/>
              </w:rPr>
              <w:t>Измененията на законодателството от пакета „Платежоспособност II“ относно инфраструктурните проекти и ЕФДИ влязоха в сила през април 2016 г.</w:t>
            </w:r>
          </w:p>
          <w:p w:rsidR="003F5D60" w:rsidRDefault="00F7031C">
            <w:pPr>
              <w:spacing w:after="120" w:line="240" w:lineRule="auto"/>
              <w:rPr>
                <w:rFonts w:ascii="Times New Roman" w:hAnsi="Times New Roman" w:cs="Times New Roman"/>
                <w:noProof/>
                <w:sz w:val="18"/>
                <w:szCs w:val="18"/>
                <w:lang w:val="bg-BG" w:eastAsia="bg-BG" w:bidi="bg-BG"/>
              </w:rPr>
            </w:pPr>
            <w:r>
              <w:rPr>
                <w:rFonts w:ascii="Times New Roman" w:hAnsi="Times New Roman"/>
                <w:noProof/>
                <w:sz w:val="18"/>
                <w:lang w:val="bg-BG" w:eastAsia="bg-BG" w:bidi="bg-BG"/>
              </w:rPr>
              <w:t>Продължава извършването на оценка на инфраструктурните предприятия.</w:t>
            </w:r>
          </w:p>
        </w:tc>
      </w:tr>
      <w:tr w:rsidR="003F5D60" w:rsidRPr="00F7031C">
        <w:trPr>
          <w:trHeight w:hRule="exact" w:val="80"/>
          <w:jc w:val="center"/>
        </w:trPr>
        <w:tc>
          <w:tcPr>
            <w:tcW w:w="906" w:type="pct"/>
            <w:vMerge/>
            <w:tcBorders>
              <w:top w:val="single" w:sz="8" w:space="0" w:color="000000"/>
              <w:left w:val="single" w:sz="12" w:space="0" w:color="000000"/>
              <w:right w:val="single" w:sz="4" w:space="0" w:color="auto"/>
            </w:tcBorders>
            <w:shd w:val="clear" w:color="auto" w:fill="auto"/>
            <w:vAlign w:val="center"/>
          </w:tcPr>
          <w:p w:rsidR="003F5D60" w:rsidRDefault="003F5D60">
            <w:pPr>
              <w:spacing w:after="120" w:line="240" w:lineRule="auto"/>
              <w:rPr>
                <w:rFonts w:ascii="Times New Roman" w:hAnsi="Times New Roman"/>
                <w:b/>
                <w:noProof/>
                <w:sz w:val="18"/>
                <w:lang w:val="bg-BG" w:eastAsia="bg-BG" w:bidi="bg-BG"/>
              </w:rPr>
            </w:pPr>
          </w:p>
        </w:tc>
        <w:tc>
          <w:tcPr>
            <w:tcW w:w="1748" w:type="pct"/>
            <w:tcBorders>
              <w:top w:val="single" w:sz="4" w:space="0" w:color="000000"/>
              <w:left w:val="single" w:sz="4" w:space="0" w:color="auto"/>
              <w:bottom w:val="nil"/>
              <w:right w:val="single" w:sz="4" w:space="0" w:color="auto"/>
            </w:tcBorders>
            <w:shd w:val="clear" w:color="auto" w:fill="auto"/>
            <w:vAlign w:val="center"/>
          </w:tcPr>
          <w:p w:rsidR="003F5D60" w:rsidRDefault="00F7031C">
            <w:pPr>
              <w:spacing w:after="120" w:line="240" w:lineRule="auto"/>
              <w:ind w:left="12" w:hanging="12"/>
              <w:rPr>
                <w:rFonts w:ascii="Times New Roman" w:hAnsi="Times New Roman"/>
                <w:noProof/>
                <w:sz w:val="18"/>
                <w:lang w:val="bg-BG" w:eastAsia="bg-BG" w:bidi="bg-BG"/>
              </w:rPr>
            </w:pPr>
            <w:r>
              <w:rPr>
                <w:rFonts w:ascii="Times New Roman" w:hAnsi="Times New Roman"/>
                <w:noProof/>
                <w:sz w:val="18"/>
                <w:lang w:val="bg-BG" w:eastAsia="bg-BG" w:bidi="bg-BG"/>
              </w:rPr>
              <w:t>„Калибриране“, ако е целесъобразно (в ход)</w:t>
            </w:r>
          </w:p>
        </w:tc>
        <w:tc>
          <w:tcPr>
            <w:tcW w:w="2346" w:type="pct"/>
            <w:tcBorders>
              <w:top w:val="single" w:sz="4" w:space="0" w:color="000000"/>
              <w:left w:val="single" w:sz="4" w:space="0" w:color="auto"/>
              <w:bottom w:val="nil"/>
              <w:right w:val="single" w:sz="4" w:space="0" w:color="auto"/>
            </w:tcBorders>
            <w:shd w:val="clear" w:color="auto" w:fill="auto"/>
            <w:vAlign w:val="center"/>
          </w:tcPr>
          <w:p w:rsidR="003F5D60" w:rsidRDefault="003F5D60">
            <w:pPr>
              <w:spacing w:after="120" w:line="240" w:lineRule="auto"/>
              <w:ind w:left="12" w:hanging="12"/>
              <w:rPr>
                <w:rFonts w:ascii="Times New Roman" w:hAnsi="Times New Roman"/>
                <w:noProof/>
                <w:sz w:val="18"/>
                <w:lang w:val="bg-BG" w:eastAsia="bg-BG" w:bidi="bg-BG"/>
              </w:rPr>
            </w:pPr>
          </w:p>
        </w:tc>
      </w:tr>
      <w:tr w:rsidR="003F5D60" w:rsidRPr="00F7031C">
        <w:trPr>
          <w:trHeight w:hRule="exact" w:val="592"/>
          <w:jc w:val="center"/>
        </w:trPr>
        <w:tc>
          <w:tcPr>
            <w:tcW w:w="906" w:type="pct"/>
            <w:vMerge/>
            <w:tcBorders>
              <w:left w:val="single" w:sz="12" w:space="0" w:color="000000"/>
              <w:bottom w:val="single" w:sz="12" w:space="0" w:color="auto"/>
              <w:right w:val="single" w:sz="4" w:space="0" w:color="auto"/>
            </w:tcBorders>
            <w:shd w:val="clear" w:color="auto" w:fill="auto"/>
            <w:vAlign w:val="center"/>
          </w:tcPr>
          <w:p w:rsidR="003F5D60" w:rsidRDefault="003F5D60">
            <w:pPr>
              <w:spacing w:after="120" w:line="240" w:lineRule="auto"/>
              <w:rPr>
                <w:rFonts w:ascii="Times New Roman" w:hAnsi="Times New Roman"/>
                <w:b/>
                <w:noProof/>
                <w:sz w:val="18"/>
                <w:lang w:val="bg-BG" w:eastAsia="bg-BG" w:bidi="bg-BG"/>
              </w:rPr>
            </w:pPr>
          </w:p>
        </w:tc>
        <w:tc>
          <w:tcPr>
            <w:tcW w:w="1748" w:type="pct"/>
            <w:tcBorders>
              <w:top w:val="nil"/>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ind w:left="12" w:hanging="12"/>
              <w:rPr>
                <w:rFonts w:ascii="Times New Roman" w:hAnsi="Times New Roman"/>
                <w:b/>
                <w:i/>
                <w:noProof/>
                <w:sz w:val="18"/>
                <w:lang w:val="bg-BG" w:eastAsia="bg-BG" w:bidi="bg-BG"/>
              </w:rPr>
            </w:pPr>
            <w:r>
              <w:rPr>
                <w:rFonts w:ascii="Times New Roman" w:hAnsi="Times New Roman"/>
                <w:b/>
                <w:i/>
                <w:noProof/>
                <w:sz w:val="18"/>
                <w:lang w:val="bg-BG" w:eastAsia="bg-BG" w:bidi="bg-BG"/>
              </w:rPr>
              <w:t>Преглед на РКИ, промени в калибрирането във връзка с инфраструктура</w:t>
            </w:r>
          </w:p>
          <w:p w:rsidR="003F5D60" w:rsidRDefault="003F5D60">
            <w:pPr>
              <w:spacing w:after="120" w:line="240" w:lineRule="auto"/>
              <w:rPr>
                <w:rFonts w:ascii="Times New Roman" w:hAnsi="Times New Roman"/>
                <w:noProof/>
                <w:sz w:val="18"/>
                <w:lang w:val="bg-BG" w:eastAsia="bg-BG" w:bidi="bg-BG"/>
              </w:rPr>
            </w:pPr>
          </w:p>
        </w:tc>
        <w:tc>
          <w:tcPr>
            <w:tcW w:w="2346" w:type="pct"/>
            <w:tcBorders>
              <w:top w:val="nil"/>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ind w:left="12" w:hanging="12"/>
              <w:rPr>
                <w:rFonts w:ascii="Times New Roman" w:hAnsi="Times New Roman" w:cs="Times New Roman"/>
                <w:noProof/>
                <w:sz w:val="18"/>
                <w:szCs w:val="18"/>
                <w:lang w:val="bg-BG" w:eastAsia="bg-BG" w:bidi="bg-BG"/>
              </w:rPr>
            </w:pPr>
            <w:r>
              <w:rPr>
                <w:rFonts w:ascii="Times New Roman" w:hAnsi="Times New Roman"/>
                <w:noProof/>
                <w:sz w:val="18"/>
                <w:lang w:val="bg-BG" w:eastAsia="bg-BG" w:bidi="bg-BG"/>
              </w:rPr>
              <w:t>В контекста на предстоящия преглед на РКИ/ДКИ.</w:t>
            </w:r>
          </w:p>
          <w:p w:rsidR="003F5D60" w:rsidRDefault="003F5D60">
            <w:pPr>
              <w:spacing w:after="120" w:line="240" w:lineRule="auto"/>
              <w:rPr>
                <w:rFonts w:ascii="Times New Roman" w:hAnsi="Times New Roman"/>
                <w:noProof/>
                <w:sz w:val="18"/>
                <w:lang w:val="bg-BG" w:eastAsia="bg-BG" w:bidi="bg-BG"/>
              </w:rPr>
            </w:pPr>
          </w:p>
        </w:tc>
      </w:tr>
      <w:tr w:rsidR="003F5D60" w:rsidRPr="00F7031C">
        <w:trPr>
          <w:trHeight w:hRule="exact" w:val="1241"/>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Осигуряване на съгласуваност в правилника на финансовите услуги в ЕС</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ind w:left="11" w:hanging="11"/>
              <w:rPr>
                <w:rFonts w:ascii="Times New Roman" w:hAnsi="Times New Roman"/>
                <w:b/>
                <w:i/>
                <w:noProof/>
                <w:sz w:val="18"/>
                <w:lang w:val="bg-BG" w:eastAsia="bg-BG" w:bidi="bg-BG"/>
              </w:rPr>
            </w:pPr>
            <w:r>
              <w:rPr>
                <w:rFonts w:ascii="Times New Roman" w:hAnsi="Times New Roman"/>
                <w:b/>
                <w:i/>
                <w:noProof/>
                <w:sz w:val="18"/>
                <w:lang w:val="bg-BG" w:eastAsia="bg-BG" w:bidi="bg-BG"/>
              </w:rPr>
              <w:t xml:space="preserve">Покана за представяне на доказателства относно кумулативното въздействие на финансовата реформа </w:t>
            </w:r>
          </w:p>
          <w:p w:rsidR="003F5D60" w:rsidRDefault="003F5D60">
            <w:pPr>
              <w:spacing w:after="120" w:line="240" w:lineRule="auto"/>
              <w:rPr>
                <w:rFonts w:ascii="Times New Roman" w:hAnsi="Times New Roman"/>
                <w:noProof/>
                <w:sz w:val="18"/>
                <w:lang w:val="bg-BG" w:eastAsia="bg-BG" w:bidi="bg-BG"/>
              </w:rPr>
            </w:pP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cs="Times New Roman"/>
                <w:noProof/>
                <w:sz w:val="18"/>
                <w:szCs w:val="18"/>
                <w:lang w:val="bg-BG" w:eastAsia="bg-BG" w:bidi="bg-BG"/>
              </w:rPr>
            </w:pPr>
            <w:r>
              <w:rPr>
                <w:rFonts w:ascii="Times New Roman" w:hAnsi="Times New Roman"/>
                <w:noProof/>
                <w:sz w:val="18"/>
                <w:lang w:val="bg-BG" w:eastAsia="bg-BG" w:bidi="bg-BG"/>
              </w:rPr>
              <w:t xml:space="preserve">През май 2016 г. бе проведено публично изслушване. Получените мнения бяха публикувани през месец май. </w:t>
            </w:r>
          </w:p>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Последващите действия ще бъдат обявени през третото три</w:t>
            </w:r>
            <w:r>
              <w:rPr>
                <w:rFonts w:ascii="Times New Roman" w:hAnsi="Times New Roman"/>
                <w:noProof/>
                <w:sz w:val="18"/>
                <w:lang w:val="bg-BG" w:eastAsia="bg-BG" w:bidi="bg-BG"/>
              </w:rPr>
              <w:t>месечие на 2016 г.</w:t>
            </w:r>
          </w:p>
        </w:tc>
      </w:tr>
    </w:tbl>
    <w:p w:rsidR="003F5D60" w:rsidRDefault="003F5D60">
      <w:pPr>
        <w:spacing w:after="120" w:line="240" w:lineRule="auto"/>
        <w:rPr>
          <w:rFonts w:ascii="Times New Roman" w:hAnsi="Times New Roman"/>
          <w:noProof/>
          <w:sz w:val="18"/>
          <w:lang w:val="bg-BG" w:eastAsia="bg-BG" w:bidi="bg-BG"/>
        </w:rPr>
      </w:pPr>
    </w:p>
    <w:tbl>
      <w:tblPr>
        <w:tblW w:w="4665" w:type="pct"/>
        <w:jc w:val="center"/>
        <w:tblInd w:w="-16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4"/>
        <w:gridCol w:w="2978"/>
        <w:gridCol w:w="4014"/>
      </w:tblGrid>
      <w:tr w:rsidR="003F5D60" w:rsidRPr="00F7031C">
        <w:trPr>
          <w:jc w:val="center"/>
        </w:trPr>
        <w:tc>
          <w:tcPr>
            <w:tcW w:w="5000" w:type="pct"/>
            <w:gridSpan w:val="3"/>
            <w:tcBorders>
              <w:top w:val="nil"/>
              <w:left w:val="single" w:sz="12" w:space="0" w:color="auto"/>
              <w:bottom w:val="nil"/>
              <w:right w:val="single" w:sz="12" w:space="0" w:color="000000"/>
            </w:tcBorders>
            <w:shd w:val="clear" w:color="auto" w:fill="002060"/>
            <w:vAlign w:val="center"/>
            <w:hideMark/>
          </w:tcPr>
          <w:p w:rsidR="003F5D60" w:rsidRDefault="00F7031C">
            <w:pPr>
              <w:spacing w:after="120" w:line="240" w:lineRule="auto"/>
              <w:jc w:val="center"/>
              <w:rPr>
                <w:rFonts w:ascii="Times New Roman" w:hAnsi="Times New Roman"/>
                <w:b/>
                <w:noProof/>
                <w:sz w:val="18"/>
                <w:lang w:val="bg-BG" w:eastAsia="bg-BG" w:bidi="bg-BG"/>
              </w:rPr>
            </w:pPr>
            <w:r>
              <w:rPr>
                <w:rFonts w:ascii="Times New Roman" w:hAnsi="Times New Roman"/>
                <w:b/>
                <w:noProof/>
                <w:sz w:val="18"/>
                <w:lang w:val="bg-BG" w:eastAsia="bg-BG" w:bidi="bg-BG"/>
              </w:rPr>
              <w:t>Насърчаване на инвестициите на дребно и институционалните инвестиции</w:t>
            </w:r>
          </w:p>
        </w:tc>
      </w:tr>
      <w:tr w:rsidR="003F5D60">
        <w:trPr>
          <w:trHeight w:val="243"/>
          <w:jc w:val="center"/>
        </w:trPr>
        <w:tc>
          <w:tcPr>
            <w:tcW w:w="906" w:type="pct"/>
            <w:tcBorders>
              <w:top w:val="nil"/>
              <w:left w:val="single" w:sz="12" w:space="0" w:color="000000"/>
              <w:bottom w:val="single" w:sz="12" w:space="0" w:color="auto"/>
              <w:right w:val="nil"/>
            </w:tcBorders>
            <w:shd w:val="clear" w:color="auto" w:fill="auto"/>
            <w:vAlign w:val="center"/>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Действие</w:t>
            </w:r>
          </w:p>
        </w:tc>
        <w:tc>
          <w:tcPr>
            <w:tcW w:w="1748" w:type="pct"/>
            <w:tcBorders>
              <w:top w:val="nil"/>
              <w:left w:val="nil"/>
              <w:bottom w:val="single" w:sz="12" w:space="0" w:color="auto"/>
              <w:right w:val="single" w:sz="4" w:space="0" w:color="auto"/>
            </w:tcBorders>
            <w:shd w:val="clear" w:color="auto" w:fill="auto"/>
            <w:vAlign w:val="center"/>
          </w:tcPr>
          <w:p w:rsidR="003F5D60" w:rsidRDefault="003F5D60">
            <w:pPr>
              <w:spacing w:after="120" w:line="240" w:lineRule="auto"/>
              <w:rPr>
                <w:rFonts w:ascii="Times New Roman" w:hAnsi="Times New Roman"/>
                <w:b/>
                <w:noProof/>
                <w:sz w:val="18"/>
                <w:lang w:val="bg-BG" w:eastAsia="bg-BG" w:bidi="bg-BG"/>
              </w:rPr>
            </w:pPr>
          </w:p>
        </w:tc>
        <w:tc>
          <w:tcPr>
            <w:tcW w:w="2346" w:type="pct"/>
            <w:tcBorders>
              <w:top w:val="nil"/>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ind w:left="2" w:hanging="2"/>
              <w:rPr>
                <w:rFonts w:ascii="Times New Roman" w:hAnsi="Times New Roman"/>
                <w:b/>
                <w:noProof/>
                <w:sz w:val="18"/>
                <w:lang w:val="bg-BG" w:eastAsia="bg-BG" w:bidi="bg-BG"/>
              </w:rPr>
            </w:pPr>
            <w:r>
              <w:rPr>
                <w:rFonts w:ascii="Times New Roman" w:hAnsi="Times New Roman"/>
                <w:b/>
                <w:noProof/>
                <w:sz w:val="18"/>
                <w:lang w:val="bg-BG" w:eastAsia="bg-BG" w:bidi="bg-BG"/>
              </w:rPr>
              <w:t>Напредък и следващи стъпки</w:t>
            </w:r>
          </w:p>
        </w:tc>
      </w:tr>
      <w:tr w:rsidR="003F5D60" w:rsidRPr="00F7031C">
        <w:trPr>
          <w:trHeight w:val="909"/>
          <w:jc w:val="center"/>
        </w:trPr>
        <w:tc>
          <w:tcPr>
            <w:tcW w:w="906" w:type="pct"/>
            <w:tcBorders>
              <w:top w:val="nil"/>
              <w:left w:val="single" w:sz="12" w:space="0" w:color="000000"/>
              <w:bottom w:val="single" w:sz="12" w:space="0" w:color="auto"/>
              <w:right w:val="single" w:sz="4" w:space="0" w:color="auto"/>
            </w:tcBorders>
            <w:shd w:val="clear" w:color="auto" w:fill="auto"/>
            <w:vAlign w:val="center"/>
            <w:hideMark/>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Разширяване на избора и конкуренцията при потребителите на дребно</w:t>
            </w:r>
          </w:p>
        </w:tc>
        <w:tc>
          <w:tcPr>
            <w:tcW w:w="1748" w:type="pct"/>
            <w:tcBorders>
              <w:top w:val="nil"/>
              <w:left w:val="single" w:sz="4" w:space="0" w:color="auto"/>
              <w:bottom w:val="single" w:sz="12" w:space="0" w:color="auto"/>
              <w:right w:val="single" w:sz="4" w:space="0" w:color="auto"/>
            </w:tcBorders>
            <w:shd w:val="clear" w:color="auto" w:fill="auto"/>
            <w:vAlign w:val="center"/>
            <w:hideMark/>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b/>
                <w:i/>
                <w:noProof/>
                <w:sz w:val="18"/>
                <w:lang w:val="bg-BG" w:eastAsia="bg-BG" w:bidi="bg-BG"/>
              </w:rPr>
              <w:t>Зелена книга за финансовите услуги на дребно и застраховането</w:t>
            </w:r>
          </w:p>
        </w:tc>
        <w:tc>
          <w:tcPr>
            <w:tcW w:w="2346" w:type="pct"/>
            <w:tcBorders>
              <w:top w:val="nil"/>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Предстои изготвянето на план за действие.</w:t>
            </w:r>
          </w:p>
        </w:tc>
      </w:tr>
      <w:tr w:rsidR="003F5D60" w:rsidRPr="00F7031C">
        <w:trPr>
          <w:trHeight w:val="781"/>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Помощ за инвеститорите на дребно, за да могат да извличат максимална полза</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b/>
                <w:i/>
                <w:noProof/>
                <w:sz w:val="18"/>
                <w:lang w:val="bg-BG" w:eastAsia="bg-BG" w:bidi="bg-BG"/>
              </w:rPr>
              <w:t>Оценка на пазарите на ЕС за инвестиционни продукти на дребно</w:t>
            </w: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 xml:space="preserve">До края на 2016 г. ще започне проучване относно „Системи за разпространение </w:t>
            </w:r>
            <w:r>
              <w:rPr>
                <w:rFonts w:ascii="Times New Roman" w:hAnsi="Times New Roman"/>
                <w:noProof/>
                <w:sz w:val="18"/>
                <w:lang w:val="bg-BG" w:eastAsia="bg-BG" w:bidi="bg-BG"/>
              </w:rPr>
              <w:t>на инвестиционни продукти на дребно в Европейския съюз“.</w:t>
            </w:r>
          </w:p>
        </w:tc>
      </w:tr>
      <w:tr w:rsidR="003F5D60" w:rsidRPr="00F7031C">
        <w:trPr>
          <w:trHeight w:hRule="exact" w:val="1306"/>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Подкрепа за пенсионно спестяване</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b/>
                <w:i/>
                <w:noProof/>
                <w:sz w:val="18"/>
                <w:lang w:val="bg-BG" w:eastAsia="bg-BG" w:bidi="bg-BG"/>
              </w:rPr>
            </w:pPr>
            <w:r>
              <w:rPr>
                <w:rFonts w:ascii="Times New Roman" w:hAnsi="Times New Roman"/>
                <w:b/>
                <w:i/>
                <w:noProof/>
                <w:sz w:val="18"/>
                <w:lang w:val="bg-BG" w:eastAsia="bg-BG" w:bidi="bg-BG"/>
              </w:rPr>
              <w:t>Оценка на възможността за политическата рамка за въвеждане на европейски индивидуални пенсии</w:t>
            </w: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cs="Times New Roman"/>
                <w:noProof/>
                <w:sz w:val="18"/>
                <w:szCs w:val="18"/>
                <w:lang w:val="bg-BG" w:eastAsia="bg-BG" w:bidi="bg-BG"/>
              </w:rPr>
            </w:pPr>
            <w:r>
              <w:rPr>
                <w:rFonts w:ascii="Times New Roman" w:hAnsi="Times New Roman"/>
                <w:noProof/>
                <w:sz w:val="18"/>
                <w:lang w:val="bg-BG" w:eastAsia="bg-BG" w:bidi="bg-BG"/>
              </w:rPr>
              <w:t>През юли 2016 г. започна обществена консултация, която ще приключи на 31</w:t>
            </w:r>
            <w:r>
              <w:rPr>
                <w:rFonts w:ascii="Times New Roman" w:hAnsi="Times New Roman"/>
                <w:noProof/>
                <w:sz w:val="18"/>
                <w:lang w:val="bg-BG" w:eastAsia="bg-BG" w:bidi="bg-BG"/>
              </w:rPr>
              <w:t xml:space="preserve"> октомври 2016 г.</w:t>
            </w:r>
          </w:p>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През юни 2016 г. бе публикувана покана за подаване на оферти.</w:t>
            </w:r>
          </w:p>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През юли 2016 г. бе получено становището на EIOPA.</w:t>
            </w:r>
          </w:p>
          <w:p w:rsidR="003F5D60" w:rsidRDefault="003F5D60">
            <w:pPr>
              <w:spacing w:after="120" w:line="240" w:lineRule="auto"/>
              <w:rPr>
                <w:rFonts w:ascii="Times New Roman" w:hAnsi="Times New Roman"/>
                <w:noProof/>
                <w:sz w:val="18"/>
                <w:highlight w:val="yellow"/>
                <w:lang w:val="bg-BG" w:eastAsia="bg-BG" w:bidi="bg-BG"/>
              </w:rPr>
            </w:pPr>
          </w:p>
        </w:tc>
      </w:tr>
      <w:tr w:rsidR="003F5D60" w:rsidRPr="00F7031C">
        <w:trPr>
          <w:trHeight w:val="784"/>
          <w:jc w:val="center"/>
        </w:trPr>
        <w:tc>
          <w:tcPr>
            <w:tcW w:w="906" w:type="pct"/>
            <w:vMerge w:val="restart"/>
            <w:tcBorders>
              <w:top w:val="single" w:sz="12" w:space="0" w:color="auto"/>
              <w:left w:val="single" w:sz="12" w:space="0" w:color="000000"/>
              <w:right w:val="single" w:sz="4" w:space="0" w:color="auto"/>
            </w:tcBorders>
            <w:shd w:val="clear" w:color="auto" w:fill="auto"/>
            <w:vAlign w:val="center"/>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Разширяване на възможностите за институционални инвеститори и лица, управляващи фондове</w:t>
            </w:r>
          </w:p>
        </w:tc>
        <w:tc>
          <w:tcPr>
            <w:tcW w:w="1748" w:type="pct"/>
            <w:tcBorders>
              <w:top w:val="single" w:sz="12" w:space="0" w:color="auto"/>
              <w:left w:val="single" w:sz="4" w:space="0" w:color="auto"/>
              <w:bottom w:val="single" w:sz="4" w:space="0" w:color="000000"/>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b/>
                <w:i/>
                <w:noProof/>
                <w:sz w:val="18"/>
                <w:lang w:val="bg-BG" w:eastAsia="bg-BG" w:bidi="bg-BG"/>
              </w:rPr>
              <w:t xml:space="preserve">Оценка на пруденциалното третиране </w:t>
            </w:r>
            <w:r>
              <w:rPr>
                <w:rFonts w:ascii="Times New Roman" w:hAnsi="Times New Roman"/>
                <w:b/>
                <w:i/>
                <w:noProof/>
                <w:sz w:val="18"/>
                <w:lang w:val="bg-BG" w:eastAsia="bg-BG" w:bidi="bg-BG"/>
              </w:rPr>
              <w:t>на частното дялово финансиране и частно пласирания дълг в директивата „Платежоспособност II“</w:t>
            </w:r>
          </w:p>
        </w:tc>
        <w:tc>
          <w:tcPr>
            <w:tcW w:w="2346" w:type="pct"/>
            <w:tcBorders>
              <w:top w:val="single" w:sz="12" w:space="0" w:color="auto"/>
              <w:left w:val="single" w:sz="4" w:space="0" w:color="auto"/>
              <w:bottom w:val="single" w:sz="4" w:space="0" w:color="000000"/>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Подготвителната работа е в ход.</w:t>
            </w:r>
          </w:p>
        </w:tc>
      </w:tr>
      <w:tr w:rsidR="003F5D60" w:rsidRPr="00F7031C">
        <w:trPr>
          <w:trHeight w:val="784"/>
          <w:jc w:val="center"/>
        </w:trPr>
        <w:tc>
          <w:tcPr>
            <w:tcW w:w="906" w:type="pct"/>
            <w:vMerge/>
            <w:tcBorders>
              <w:left w:val="single" w:sz="12" w:space="0" w:color="000000"/>
              <w:bottom w:val="single" w:sz="12" w:space="0" w:color="auto"/>
              <w:right w:val="single" w:sz="4" w:space="0" w:color="auto"/>
            </w:tcBorders>
            <w:shd w:val="clear" w:color="auto" w:fill="auto"/>
            <w:hideMark/>
          </w:tcPr>
          <w:p w:rsidR="003F5D60" w:rsidRDefault="003F5D60">
            <w:pPr>
              <w:spacing w:after="120" w:line="240" w:lineRule="auto"/>
              <w:rPr>
                <w:rFonts w:ascii="Times New Roman" w:hAnsi="Times New Roman"/>
                <w:b/>
                <w:noProof/>
                <w:sz w:val="18"/>
                <w:lang w:val="bg-BG" w:eastAsia="bg-BG" w:bidi="bg-BG"/>
              </w:rPr>
            </w:pPr>
          </w:p>
        </w:tc>
        <w:tc>
          <w:tcPr>
            <w:tcW w:w="1748" w:type="pct"/>
            <w:tcBorders>
              <w:top w:val="single" w:sz="4" w:space="0" w:color="000000"/>
              <w:left w:val="single" w:sz="4" w:space="0" w:color="auto"/>
              <w:bottom w:val="single" w:sz="12" w:space="0" w:color="auto"/>
              <w:right w:val="single" w:sz="4" w:space="0" w:color="000000"/>
            </w:tcBorders>
            <w:shd w:val="clear" w:color="auto" w:fill="auto"/>
            <w:vAlign w:val="center"/>
            <w:hideMark/>
          </w:tcPr>
          <w:p w:rsidR="003F5D60" w:rsidRDefault="00F7031C">
            <w:pPr>
              <w:spacing w:after="120" w:line="240" w:lineRule="auto"/>
              <w:rPr>
                <w:noProof/>
                <w:lang w:val="bg-BG" w:eastAsia="bg-BG" w:bidi="bg-BG"/>
              </w:rPr>
            </w:pPr>
            <w:r>
              <w:rPr>
                <w:rFonts w:ascii="Times New Roman" w:hAnsi="Times New Roman"/>
                <w:b/>
                <w:i/>
                <w:noProof/>
                <w:sz w:val="18"/>
                <w:lang w:val="bg-BG" w:eastAsia="bg-BG" w:bidi="bg-BG"/>
              </w:rPr>
              <w:t>Консултация за основните пречки пред трансграничното предоставяне на инвестиционни фондове</w:t>
            </w:r>
          </w:p>
        </w:tc>
        <w:tc>
          <w:tcPr>
            <w:tcW w:w="2346" w:type="pct"/>
            <w:tcBorders>
              <w:top w:val="single" w:sz="4" w:space="0" w:color="000000"/>
              <w:left w:val="single" w:sz="4" w:space="0" w:color="000000"/>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 xml:space="preserve">На 2 юни 2016 г. започна обществена </w:t>
            </w:r>
            <w:r>
              <w:rPr>
                <w:rFonts w:ascii="Times New Roman" w:hAnsi="Times New Roman"/>
                <w:noProof/>
                <w:sz w:val="18"/>
                <w:lang w:val="bg-BG" w:eastAsia="bg-BG" w:bidi="bg-BG"/>
              </w:rPr>
              <w:t>консултация, която ще приключи на 2 октомври.</w:t>
            </w:r>
          </w:p>
        </w:tc>
      </w:tr>
    </w:tbl>
    <w:p w:rsidR="003F5D60" w:rsidRDefault="003F5D60">
      <w:pPr>
        <w:spacing w:after="120" w:line="240" w:lineRule="auto"/>
        <w:rPr>
          <w:rFonts w:ascii="Times New Roman" w:hAnsi="Times New Roman"/>
          <w:noProof/>
          <w:sz w:val="18"/>
          <w:lang w:val="bg-BG" w:eastAsia="bg-BG" w:bidi="bg-BG"/>
        </w:rPr>
      </w:pPr>
    </w:p>
    <w:tbl>
      <w:tblPr>
        <w:tblW w:w="4665" w:type="pct"/>
        <w:jc w:val="center"/>
        <w:tblInd w:w="-16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53"/>
        <w:gridCol w:w="2838"/>
        <w:gridCol w:w="3875"/>
      </w:tblGrid>
      <w:tr w:rsidR="003F5D60" w:rsidRPr="00F7031C">
        <w:trPr>
          <w:trHeight w:val="331"/>
          <w:jc w:val="center"/>
        </w:trPr>
        <w:tc>
          <w:tcPr>
            <w:tcW w:w="5000" w:type="pct"/>
            <w:gridSpan w:val="3"/>
            <w:tcBorders>
              <w:top w:val="nil"/>
              <w:left w:val="single" w:sz="12" w:space="0" w:color="auto"/>
              <w:bottom w:val="nil"/>
              <w:right w:val="single" w:sz="12" w:space="0" w:color="000000"/>
            </w:tcBorders>
            <w:shd w:val="clear" w:color="auto" w:fill="002060"/>
            <w:vAlign w:val="center"/>
            <w:hideMark/>
          </w:tcPr>
          <w:p w:rsidR="003F5D60" w:rsidRDefault="00F7031C">
            <w:pPr>
              <w:spacing w:after="120" w:line="240" w:lineRule="auto"/>
              <w:jc w:val="center"/>
              <w:rPr>
                <w:rFonts w:ascii="Times New Roman" w:hAnsi="Times New Roman"/>
                <w:b/>
                <w:noProof/>
                <w:sz w:val="18"/>
                <w:lang w:val="bg-BG" w:eastAsia="bg-BG" w:bidi="bg-BG"/>
              </w:rPr>
            </w:pPr>
            <w:r>
              <w:rPr>
                <w:rFonts w:ascii="Times New Roman" w:hAnsi="Times New Roman"/>
                <w:b/>
                <w:noProof/>
                <w:sz w:val="18"/>
                <w:lang w:val="bg-BG" w:eastAsia="bg-BG" w:bidi="bg-BG"/>
              </w:rPr>
              <w:t>Привличане на банков капацитет в подкрепа на икономиката</w:t>
            </w:r>
          </w:p>
        </w:tc>
      </w:tr>
      <w:tr w:rsidR="003F5D60">
        <w:trPr>
          <w:trHeight w:hRule="exact" w:val="323"/>
          <w:jc w:val="center"/>
        </w:trPr>
        <w:tc>
          <w:tcPr>
            <w:tcW w:w="906" w:type="pct"/>
            <w:tcBorders>
              <w:top w:val="nil"/>
              <w:left w:val="single" w:sz="12" w:space="0" w:color="000000"/>
              <w:bottom w:val="single" w:sz="12" w:space="0" w:color="auto"/>
              <w:right w:val="nil"/>
            </w:tcBorders>
            <w:shd w:val="clear" w:color="auto" w:fill="auto"/>
            <w:vAlign w:val="center"/>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Действие</w:t>
            </w:r>
          </w:p>
        </w:tc>
        <w:tc>
          <w:tcPr>
            <w:tcW w:w="1748" w:type="pct"/>
            <w:tcBorders>
              <w:top w:val="nil"/>
              <w:left w:val="nil"/>
              <w:bottom w:val="single" w:sz="12" w:space="0" w:color="auto"/>
              <w:right w:val="single" w:sz="4" w:space="0" w:color="auto"/>
            </w:tcBorders>
            <w:shd w:val="clear" w:color="auto" w:fill="auto"/>
            <w:vAlign w:val="center"/>
          </w:tcPr>
          <w:p w:rsidR="003F5D60" w:rsidRDefault="003F5D60">
            <w:pPr>
              <w:spacing w:after="120" w:line="240" w:lineRule="auto"/>
              <w:rPr>
                <w:rFonts w:ascii="Times New Roman" w:hAnsi="Times New Roman"/>
                <w:b/>
                <w:noProof/>
                <w:sz w:val="18"/>
                <w:lang w:val="bg-BG" w:eastAsia="bg-BG" w:bidi="bg-BG"/>
              </w:rPr>
            </w:pPr>
          </w:p>
        </w:tc>
        <w:tc>
          <w:tcPr>
            <w:tcW w:w="2346" w:type="pct"/>
            <w:tcBorders>
              <w:top w:val="nil"/>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ind w:left="2" w:hanging="2"/>
              <w:rPr>
                <w:rFonts w:ascii="Times New Roman" w:hAnsi="Times New Roman"/>
                <w:b/>
                <w:noProof/>
                <w:sz w:val="18"/>
                <w:lang w:val="bg-BG" w:eastAsia="bg-BG" w:bidi="bg-BG"/>
              </w:rPr>
            </w:pPr>
            <w:r>
              <w:rPr>
                <w:rFonts w:ascii="Times New Roman" w:hAnsi="Times New Roman"/>
                <w:b/>
                <w:noProof/>
                <w:sz w:val="18"/>
                <w:lang w:val="bg-BG" w:eastAsia="bg-BG" w:bidi="bg-BG"/>
              </w:rPr>
              <w:t>Напредък и следващи стъпки</w:t>
            </w:r>
          </w:p>
        </w:tc>
      </w:tr>
      <w:tr w:rsidR="003F5D60" w:rsidRPr="00F7031C">
        <w:trPr>
          <w:trHeight w:hRule="exact" w:val="1033"/>
          <w:jc w:val="center"/>
        </w:trPr>
        <w:tc>
          <w:tcPr>
            <w:tcW w:w="906" w:type="pct"/>
            <w:tcBorders>
              <w:top w:val="nil"/>
              <w:left w:val="single" w:sz="12" w:space="0" w:color="000000"/>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 xml:space="preserve">Укрепване на местните мрежи за финансиране </w:t>
            </w:r>
          </w:p>
        </w:tc>
        <w:tc>
          <w:tcPr>
            <w:tcW w:w="1748" w:type="pct"/>
            <w:tcBorders>
              <w:top w:val="nil"/>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b/>
                <w:i/>
                <w:noProof/>
                <w:sz w:val="18"/>
                <w:lang w:val="bg-BG" w:eastAsia="bg-BG" w:bidi="bg-BG"/>
              </w:rPr>
              <w:t xml:space="preserve">Разширяване на възможността държавите членки да разрешават кредитни </w:t>
            </w:r>
            <w:r>
              <w:rPr>
                <w:rFonts w:ascii="Times New Roman" w:hAnsi="Times New Roman"/>
                <w:b/>
                <w:i/>
                <w:noProof/>
                <w:sz w:val="18"/>
                <w:lang w:val="bg-BG" w:eastAsia="bg-BG" w:bidi="bg-BG"/>
              </w:rPr>
              <w:t>съюзи извън обхвата на ДКИ/РКИ</w:t>
            </w:r>
          </w:p>
        </w:tc>
        <w:tc>
          <w:tcPr>
            <w:tcW w:w="2346" w:type="pct"/>
            <w:tcBorders>
              <w:top w:val="nil"/>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Ще бъде проучена възможността за изменение на РКИ като част от преразглеждането на ДКИ/РКИ.</w:t>
            </w:r>
          </w:p>
        </w:tc>
      </w:tr>
      <w:tr w:rsidR="003F5D60" w:rsidRPr="00F7031C">
        <w:trPr>
          <w:trHeight w:hRule="exact" w:val="1337"/>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Изграждане на секюритизационните пазари на ЕС</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b/>
                <w:i/>
                <w:noProof/>
                <w:sz w:val="18"/>
                <w:lang w:val="bg-BG" w:eastAsia="bg-BG" w:bidi="bg-BG"/>
              </w:rPr>
            </w:pPr>
            <w:r>
              <w:rPr>
                <w:rFonts w:ascii="Times New Roman" w:hAnsi="Times New Roman"/>
                <w:b/>
                <w:i/>
                <w:noProof/>
                <w:sz w:val="18"/>
                <w:lang w:val="bg-BG" w:eastAsia="bg-BG" w:bidi="bg-BG"/>
              </w:rPr>
              <w:t xml:space="preserve">Предложение за опростени, прозрачни и стандартизирани секюритизации и преразглеждане </w:t>
            </w:r>
            <w:r>
              <w:rPr>
                <w:rFonts w:ascii="Times New Roman" w:hAnsi="Times New Roman"/>
                <w:b/>
                <w:i/>
                <w:noProof/>
                <w:sz w:val="18"/>
                <w:lang w:val="bg-BG" w:eastAsia="bg-BG" w:bidi="bg-BG"/>
              </w:rPr>
              <w:t>на калибрирането на капитала за банките</w:t>
            </w:r>
          </w:p>
          <w:p w:rsidR="003F5D60" w:rsidRDefault="003F5D60">
            <w:pPr>
              <w:spacing w:after="120" w:line="240" w:lineRule="auto"/>
              <w:rPr>
                <w:rFonts w:ascii="Times New Roman" w:hAnsi="Times New Roman"/>
                <w:i/>
                <w:noProof/>
                <w:sz w:val="18"/>
                <w:lang w:val="bg-BG" w:eastAsia="bg-BG" w:bidi="bg-BG"/>
              </w:rPr>
            </w:pP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Общ подход в Съвета; в процес на контрол от страна на Европейския парламент. Очаква се да бъде гласувано в комисията ECON през ноември 2016 г.</w:t>
            </w:r>
          </w:p>
        </w:tc>
      </w:tr>
      <w:tr w:rsidR="003F5D60" w:rsidRPr="00F7031C">
        <w:trPr>
          <w:trHeight w:hRule="exact" w:val="847"/>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Подкрепа на банковото финансиране на икономиката като цяло</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i/>
                <w:noProof/>
                <w:sz w:val="18"/>
                <w:lang w:val="bg-BG" w:eastAsia="bg-BG" w:bidi="bg-BG"/>
              </w:rPr>
            </w:pPr>
            <w:r>
              <w:rPr>
                <w:rFonts w:ascii="Times New Roman" w:hAnsi="Times New Roman"/>
                <w:b/>
                <w:i/>
                <w:noProof/>
                <w:sz w:val="18"/>
                <w:lang w:val="bg-BG" w:eastAsia="bg-BG" w:bidi="bg-BG"/>
              </w:rPr>
              <w:t xml:space="preserve">Консултация </w:t>
            </w:r>
            <w:r>
              <w:rPr>
                <w:rFonts w:ascii="Times New Roman" w:hAnsi="Times New Roman"/>
                <w:b/>
                <w:i/>
                <w:noProof/>
                <w:sz w:val="18"/>
                <w:lang w:val="bg-BG" w:eastAsia="bg-BG" w:bidi="bg-BG"/>
              </w:rPr>
              <w:t>във връзка с рамка на ЕС за обезпечените облигации и подобни структури за заеми за МСП</w:t>
            </w: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Консултацията приключи, предприето е проучване.</w:t>
            </w:r>
          </w:p>
          <w:p w:rsidR="003F5D60" w:rsidRDefault="003F5D60">
            <w:pPr>
              <w:spacing w:after="120" w:line="240" w:lineRule="auto"/>
              <w:rPr>
                <w:rFonts w:ascii="Times New Roman" w:hAnsi="Times New Roman"/>
                <w:noProof/>
                <w:sz w:val="18"/>
                <w:lang w:val="bg-BG" w:eastAsia="bg-BG" w:bidi="bg-BG"/>
              </w:rPr>
            </w:pPr>
          </w:p>
        </w:tc>
      </w:tr>
    </w:tbl>
    <w:p w:rsidR="003F5D60" w:rsidRDefault="003F5D60">
      <w:pPr>
        <w:spacing w:after="120" w:line="240" w:lineRule="auto"/>
        <w:rPr>
          <w:rFonts w:ascii="Times New Roman" w:hAnsi="Times New Roman"/>
          <w:noProof/>
          <w:sz w:val="18"/>
          <w:lang w:val="bg-BG" w:eastAsia="bg-BG" w:bidi="bg-BG"/>
        </w:rPr>
      </w:pPr>
    </w:p>
    <w:p w:rsidR="003F5D60" w:rsidRDefault="003F5D60">
      <w:pPr>
        <w:spacing w:after="120" w:line="240" w:lineRule="auto"/>
        <w:rPr>
          <w:rFonts w:ascii="Times New Roman" w:hAnsi="Times New Roman"/>
          <w:noProof/>
          <w:sz w:val="18"/>
          <w:lang w:val="bg-BG" w:eastAsia="bg-BG" w:bidi="bg-BG"/>
        </w:rPr>
      </w:pPr>
    </w:p>
    <w:tbl>
      <w:tblPr>
        <w:tblW w:w="4665" w:type="pct"/>
        <w:jc w:val="center"/>
        <w:tblInd w:w="-16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35"/>
        <w:gridCol w:w="2997"/>
        <w:gridCol w:w="4034"/>
      </w:tblGrid>
      <w:tr w:rsidR="003F5D60">
        <w:trPr>
          <w:jc w:val="center"/>
        </w:trPr>
        <w:tc>
          <w:tcPr>
            <w:tcW w:w="5000" w:type="pct"/>
            <w:gridSpan w:val="3"/>
            <w:tcBorders>
              <w:top w:val="nil"/>
              <w:left w:val="single" w:sz="12" w:space="0" w:color="auto"/>
              <w:bottom w:val="nil"/>
              <w:right w:val="single" w:sz="12" w:space="0" w:color="000000"/>
            </w:tcBorders>
            <w:shd w:val="clear" w:color="auto" w:fill="002060"/>
            <w:vAlign w:val="center"/>
            <w:hideMark/>
          </w:tcPr>
          <w:p w:rsidR="003F5D60" w:rsidRDefault="00F7031C">
            <w:pPr>
              <w:spacing w:after="120" w:line="240" w:lineRule="auto"/>
              <w:jc w:val="center"/>
              <w:rPr>
                <w:rFonts w:ascii="Times New Roman" w:hAnsi="Times New Roman"/>
                <w:b/>
                <w:noProof/>
                <w:sz w:val="18"/>
                <w:lang w:val="bg-BG" w:eastAsia="bg-BG" w:bidi="bg-BG"/>
              </w:rPr>
            </w:pPr>
            <w:r>
              <w:rPr>
                <w:rFonts w:ascii="Times New Roman" w:hAnsi="Times New Roman"/>
                <w:b/>
                <w:noProof/>
                <w:sz w:val="18"/>
                <w:lang w:val="bg-BG" w:eastAsia="bg-BG" w:bidi="bg-BG"/>
              </w:rPr>
              <w:t>Улесняване на трансграничните инвестиции</w:t>
            </w:r>
          </w:p>
        </w:tc>
      </w:tr>
      <w:tr w:rsidR="003F5D60">
        <w:trPr>
          <w:trHeight w:val="270"/>
          <w:jc w:val="center"/>
        </w:trPr>
        <w:tc>
          <w:tcPr>
            <w:tcW w:w="906" w:type="pct"/>
            <w:tcBorders>
              <w:top w:val="nil"/>
              <w:left w:val="single" w:sz="12" w:space="0" w:color="000000"/>
              <w:bottom w:val="single" w:sz="12" w:space="0" w:color="auto"/>
              <w:right w:val="nil"/>
            </w:tcBorders>
            <w:shd w:val="clear" w:color="auto" w:fill="auto"/>
            <w:vAlign w:val="center"/>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Действие</w:t>
            </w:r>
          </w:p>
        </w:tc>
        <w:tc>
          <w:tcPr>
            <w:tcW w:w="1748" w:type="pct"/>
            <w:tcBorders>
              <w:top w:val="nil"/>
              <w:left w:val="nil"/>
              <w:bottom w:val="single" w:sz="12" w:space="0" w:color="auto"/>
              <w:right w:val="single" w:sz="4" w:space="0" w:color="auto"/>
            </w:tcBorders>
            <w:shd w:val="clear" w:color="auto" w:fill="auto"/>
            <w:vAlign w:val="center"/>
          </w:tcPr>
          <w:p w:rsidR="003F5D60" w:rsidRDefault="003F5D60">
            <w:pPr>
              <w:spacing w:after="120" w:line="240" w:lineRule="auto"/>
              <w:rPr>
                <w:rFonts w:ascii="Times New Roman" w:hAnsi="Times New Roman"/>
                <w:b/>
                <w:noProof/>
                <w:sz w:val="18"/>
                <w:lang w:val="bg-BG" w:eastAsia="bg-BG" w:bidi="bg-BG"/>
              </w:rPr>
            </w:pPr>
          </w:p>
        </w:tc>
        <w:tc>
          <w:tcPr>
            <w:tcW w:w="2346" w:type="pct"/>
            <w:tcBorders>
              <w:top w:val="nil"/>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ind w:left="2" w:hanging="2"/>
              <w:rPr>
                <w:rFonts w:ascii="Times New Roman" w:hAnsi="Times New Roman"/>
                <w:b/>
                <w:noProof/>
                <w:sz w:val="18"/>
                <w:lang w:val="bg-BG" w:eastAsia="bg-BG" w:bidi="bg-BG"/>
              </w:rPr>
            </w:pPr>
            <w:r>
              <w:rPr>
                <w:rFonts w:ascii="Times New Roman" w:hAnsi="Times New Roman"/>
                <w:b/>
                <w:noProof/>
                <w:sz w:val="18"/>
                <w:lang w:val="bg-BG" w:eastAsia="bg-BG" w:bidi="bg-BG"/>
              </w:rPr>
              <w:t>Напредък и следващи стъпки</w:t>
            </w:r>
          </w:p>
        </w:tc>
      </w:tr>
      <w:tr w:rsidR="003F5D60" w:rsidRPr="00F7031C">
        <w:trPr>
          <w:trHeight w:val="785"/>
          <w:jc w:val="center"/>
        </w:trPr>
        <w:tc>
          <w:tcPr>
            <w:tcW w:w="906" w:type="pct"/>
            <w:tcBorders>
              <w:top w:val="nil"/>
              <w:left w:val="single" w:sz="12" w:space="0" w:color="000000"/>
              <w:bottom w:val="single" w:sz="12" w:space="0" w:color="auto"/>
              <w:right w:val="single" w:sz="4" w:space="0" w:color="auto"/>
            </w:tcBorders>
            <w:shd w:val="clear" w:color="auto" w:fill="auto"/>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 xml:space="preserve">Премахване на националните пречки </w:t>
            </w:r>
            <w:r>
              <w:rPr>
                <w:rFonts w:ascii="Times New Roman" w:hAnsi="Times New Roman"/>
                <w:b/>
                <w:noProof/>
                <w:sz w:val="18"/>
                <w:lang w:val="bg-BG" w:eastAsia="bg-BG" w:bidi="bg-BG"/>
              </w:rPr>
              <w:t>пред трансграничните инвестиции</w:t>
            </w:r>
          </w:p>
        </w:tc>
        <w:tc>
          <w:tcPr>
            <w:tcW w:w="1748" w:type="pct"/>
            <w:tcBorders>
              <w:top w:val="nil"/>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b/>
                <w:i/>
                <w:noProof/>
                <w:sz w:val="18"/>
                <w:lang w:val="bg-BG" w:eastAsia="bg-BG" w:bidi="bg-BG"/>
              </w:rPr>
              <w:t>Доклад относно националните пречки пред свободното движение на капитали</w:t>
            </w:r>
          </w:p>
        </w:tc>
        <w:tc>
          <w:tcPr>
            <w:tcW w:w="2346" w:type="pct"/>
            <w:tcBorders>
              <w:top w:val="nil"/>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Провеждат се заседания на експертната група от представители на държавите членки.</w:t>
            </w:r>
          </w:p>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До края на 2016 г. ще бъде прието съобщение по въпроса.</w:t>
            </w:r>
          </w:p>
        </w:tc>
      </w:tr>
      <w:tr w:rsidR="003F5D60" w:rsidRPr="00F7031C">
        <w:trPr>
          <w:trHeight w:val="717"/>
          <w:jc w:val="center"/>
        </w:trPr>
        <w:tc>
          <w:tcPr>
            <w:tcW w:w="906" w:type="pct"/>
            <w:vMerge w:val="restart"/>
            <w:tcBorders>
              <w:top w:val="single" w:sz="12" w:space="0" w:color="auto"/>
              <w:left w:val="single" w:sz="12" w:space="0" w:color="000000"/>
              <w:right w:val="single" w:sz="4" w:space="0" w:color="auto"/>
            </w:tcBorders>
            <w:shd w:val="clear" w:color="auto" w:fill="auto"/>
            <w:vAlign w:val="center"/>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 xml:space="preserve">Подобряване </w:t>
            </w:r>
            <w:r>
              <w:rPr>
                <w:rFonts w:ascii="Times New Roman" w:hAnsi="Times New Roman"/>
                <w:b/>
                <w:noProof/>
                <w:sz w:val="18"/>
                <w:lang w:val="bg-BG" w:eastAsia="bg-BG" w:bidi="bg-BG"/>
              </w:rPr>
              <w:t>на пазарната инфраструктура за трансгранични инвестиции</w:t>
            </w:r>
          </w:p>
        </w:tc>
        <w:tc>
          <w:tcPr>
            <w:tcW w:w="1748" w:type="pct"/>
            <w:tcBorders>
              <w:top w:val="single" w:sz="12" w:space="0" w:color="auto"/>
              <w:left w:val="single" w:sz="4" w:space="0" w:color="auto"/>
              <w:bottom w:val="single" w:sz="4" w:space="0" w:color="000000"/>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b/>
                <w:i/>
                <w:noProof/>
                <w:sz w:val="18"/>
                <w:lang w:val="bg-BG" w:eastAsia="bg-BG" w:bidi="bg-BG"/>
              </w:rPr>
              <w:t>Целенасочени действия по отношение на правилата за притежавана на ценни книжа и свързаните с трети лица правни последици при прехвърлянето на вземания</w:t>
            </w:r>
          </w:p>
        </w:tc>
        <w:tc>
          <w:tcPr>
            <w:tcW w:w="2346" w:type="pct"/>
            <w:tcBorders>
              <w:top w:val="single" w:sz="12" w:space="0" w:color="auto"/>
              <w:left w:val="single" w:sz="4" w:space="0" w:color="auto"/>
              <w:bottom w:val="single" w:sz="4" w:space="0" w:color="000000"/>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През август 2016 г. бе публикувана покана за пода</w:t>
            </w:r>
            <w:r>
              <w:rPr>
                <w:rFonts w:ascii="Times New Roman" w:hAnsi="Times New Roman"/>
                <w:noProof/>
                <w:sz w:val="18"/>
                <w:lang w:val="bg-BG" w:eastAsia="bg-BG" w:bidi="bg-BG"/>
              </w:rPr>
              <w:t>ване на оферти.</w:t>
            </w:r>
          </w:p>
        </w:tc>
      </w:tr>
      <w:tr w:rsidR="003F5D60" w:rsidRPr="00F7031C">
        <w:trPr>
          <w:trHeight w:val="533"/>
          <w:jc w:val="center"/>
        </w:trPr>
        <w:tc>
          <w:tcPr>
            <w:tcW w:w="906" w:type="pct"/>
            <w:vMerge/>
            <w:tcBorders>
              <w:left w:val="single" w:sz="12" w:space="0" w:color="000000"/>
              <w:right w:val="single" w:sz="4" w:space="0" w:color="auto"/>
            </w:tcBorders>
            <w:shd w:val="clear" w:color="auto" w:fill="auto"/>
            <w:vAlign w:val="center"/>
          </w:tcPr>
          <w:p w:rsidR="003F5D60" w:rsidRDefault="003F5D60">
            <w:pPr>
              <w:spacing w:after="120" w:line="240" w:lineRule="auto"/>
              <w:rPr>
                <w:rFonts w:ascii="Times New Roman" w:hAnsi="Times New Roman"/>
                <w:b/>
                <w:noProof/>
                <w:sz w:val="18"/>
                <w:lang w:val="bg-BG" w:eastAsia="bg-BG" w:bidi="bg-BG"/>
              </w:rPr>
            </w:pPr>
          </w:p>
        </w:tc>
        <w:tc>
          <w:tcPr>
            <w:tcW w:w="1748" w:type="pct"/>
            <w:tcBorders>
              <w:top w:val="single" w:sz="4" w:space="0" w:color="000000"/>
              <w:left w:val="single" w:sz="4" w:space="0" w:color="auto"/>
              <w:bottom w:val="nil"/>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b/>
                <w:i/>
                <w:noProof/>
                <w:sz w:val="18"/>
                <w:lang w:val="bg-BG" w:eastAsia="bg-BG" w:bidi="bg-BG"/>
              </w:rPr>
              <w:t>Преглед на напредъка в премахването на пречките, изброени в доклада „Джованини“</w:t>
            </w:r>
          </w:p>
        </w:tc>
        <w:tc>
          <w:tcPr>
            <w:tcW w:w="2346" w:type="pct"/>
            <w:tcBorders>
              <w:top w:val="single" w:sz="4" w:space="0" w:color="000000"/>
              <w:left w:val="single" w:sz="4" w:space="0" w:color="auto"/>
              <w:bottom w:val="nil"/>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В началото на 2017 г. експертната група ще приключи работа, след което Комисията ще започне консултация.</w:t>
            </w:r>
          </w:p>
        </w:tc>
      </w:tr>
      <w:tr w:rsidR="003F5D60" w:rsidRPr="00F7031C">
        <w:trPr>
          <w:trHeight w:val="329"/>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hideMark/>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 xml:space="preserve">Насърчаване на сближаването в областта на </w:t>
            </w:r>
            <w:r>
              <w:rPr>
                <w:rFonts w:ascii="Times New Roman" w:hAnsi="Times New Roman"/>
                <w:b/>
                <w:noProof/>
                <w:sz w:val="18"/>
                <w:lang w:val="bg-BG" w:eastAsia="bg-BG" w:bidi="bg-BG"/>
              </w:rPr>
              <w:t>производствата по несъстоятелност</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3F5D60" w:rsidRDefault="00F7031C">
            <w:pPr>
              <w:spacing w:after="120" w:line="240" w:lineRule="auto"/>
              <w:rPr>
                <w:noProof/>
                <w:lang w:val="bg-BG" w:eastAsia="bg-BG" w:bidi="bg-BG"/>
              </w:rPr>
            </w:pPr>
            <w:r>
              <w:rPr>
                <w:rFonts w:ascii="Times New Roman" w:hAnsi="Times New Roman"/>
                <w:b/>
                <w:i/>
                <w:noProof/>
                <w:sz w:val="18"/>
                <w:lang w:val="bg-BG" w:eastAsia="bg-BG" w:bidi="bg-BG"/>
              </w:rPr>
              <w:t>Законодателен акт относно несъстоятелността</w:t>
            </w: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cs="Times New Roman"/>
                <w:noProof/>
                <w:sz w:val="18"/>
                <w:szCs w:val="18"/>
                <w:lang w:val="bg-BG" w:eastAsia="bg-BG" w:bidi="bg-BG"/>
              </w:rPr>
            </w:pPr>
            <w:r>
              <w:rPr>
                <w:rFonts w:ascii="Times New Roman" w:hAnsi="Times New Roman"/>
                <w:noProof/>
                <w:sz w:val="18"/>
                <w:lang w:val="bg-BG" w:eastAsia="bg-BG" w:bidi="bg-BG"/>
              </w:rPr>
              <w:t>През есента на 2016 г. ще бъде представено законодателно предложение относно преструктурирането на предприятия и „втория шанс“.</w:t>
            </w:r>
          </w:p>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Сравнителен анализ на схемите за принудително изпъ</w:t>
            </w:r>
            <w:r>
              <w:rPr>
                <w:rFonts w:ascii="Times New Roman" w:hAnsi="Times New Roman"/>
                <w:noProof/>
                <w:sz w:val="18"/>
                <w:lang w:val="bg-BG" w:eastAsia="bg-BG" w:bidi="bg-BG"/>
              </w:rPr>
              <w:t>лнение по заеми (включително при несъстоятелност).</w:t>
            </w:r>
          </w:p>
        </w:tc>
      </w:tr>
      <w:tr w:rsidR="003F5D60" w:rsidRPr="00F7031C">
        <w:trPr>
          <w:jc w:val="center"/>
        </w:trPr>
        <w:tc>
          <w:tcPr>
            <w:tcW w:w="906" w:type="pct"/>
            <w:vMerge w:val="restart"/>
            <w:tcBorders>
              <w:top w:val="single" w:sz="12" w:space="0" w:color="auto"/>
              <w:left w:val="single" w:sz="12" w:space="0" w:color="000000"/>
              <w:right w:val="single" w:sz="4" w:space="0" w:color="auto"/>
            </w:tcBorders>
            <w:shd w:val="clear" w:color="auto" w:fill="auto"/>
            <w:vAlign w:val="center"/>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Премахване на трансграничните данъчни пречки</w:t>
            </w:r>
          </w:p>
        </w:tc>
        <w:tc>
          <w:tcPr>
            <w:tcW w:w="1748" w:type="pct"/>
            <w:tcBorders>
              <w:top w:val="single" w:sz="12" w:space="0" w:color="auto"/>
              <w:left w:val="single" w:sz="4" w:space="0" w:color="auto"/>
              <w:bottom w:val="single" w:sz="4" w:space="0" w:color="000000"/>
              <w:right w:val="single" w:sz="4" w:space="0" w:color="auto"/>
            </w:tcBorders>
            <w:shd w:val="clear" w:color="auto" w:fill="auto"/>
            <w:vAlign w:val="center"/>
          </w:tcPr>
          <w:p w:rsidR="003F5D60" w:rsidRDefault="00F7031C">
            <w:pPr>
              <w:spacing w:after="120" w:line="240" w:lineRule="auto"/>
              <w:rPr>
                <w:rFonts w:ascii="Times New Roman" w:hAnsi="Times New Roman"/>
                <w:b/>
                <w:i/>
                <w:noProof/>
                <w:sz w:val="18"/>
                <w:lang w:val="bg-BG" w:eastAsia="bg-BG" w:bidi="bg-BG"/>
              </w:rPr>
            </w:pPr>
            <w:r>
              <w:rPr>
                <w:rFonts w:ascii="Times New Roman" w:hAnsi="Times New Roman"/>
                <w:b/>
                <w:i/>
                <w:noProof/>
                <w:sz w:val="18"/>
                <w:lang w:val="bg-BG" w:eastAsia="bg-BG" w:bidi="bg-BG"/>
              </w:rPr>
              <w:t>Най-добри практики и кодекс на поведение за процедурите за освобождаване от данъка, удържан при източника</w:t>
            </w:r>
          </w:p>
          <w:p w:rsidR="003F5D60" w:rsidRDefault="003F5D60">
            <w:pPr>
              <w:spacing w:after="120" w:line="240" w:lineRule="auto"/>
              <w:ind w:left="360"/>
              <w:contextualSpacing/>
              <w:rPr>
                <w:rFonts w:ascii="Times New Roman" w:hAnsi="Times New Roman"/>
                <w:noProof/>
                <w:sz w:val="18"/>
                <w:lang w:val="bg-BG" w:eastAsia="bg-BG" w:bidi="bg-BG"/>
              </w:rPr>
            </w:pPr>
          </w:p>
        </w:tc>
        <w:tc>
          <w:tcPr>
            <w:tcW w:w="2346" w:type="pct"/>
            <w:tcBorders>
              <w:top w:val="single" w:sz="12" w:space="0" w:color="auto"/>
              <w:left w:val="single" w:sz="4" w:space="0" w:color="auto"/>
              <w:bottom w:val="single" w:sz="4" w:space="0" w:color="000000"/>
              <w:right w:val="single" w:sz="4" w:space="0" w:color="auto"/>
            </w:tcBorders>
            <w:shd w:val="clear" w:color="auto" w:fill="auto"/>
            <w:vAlign w:val="center"/>
          </w:tcPr>
          <w:p w:rsidR="003F5D60" w:rsidRDefault="00F7031C">
            <w:pPr>
              <w:spacing w:after="120" w:line="240" w:lineRule="auto"/>
              <w:rPr>
                <w:rFonts w:ascii="Times New Roman" w:hAnsi="Times New Roman" w:cs="Times New Roman"/>
                <w:noProof/>
                <w:sz w:val="18"/>
                <w:szCs w:val="18"/>
                <w:lang w:val="bg-BG" w:eastAsia="bg-BG" w:bidi="bg-BG"/>
              </w:rPr>
            </w:pPr>
            <w:r>
              <w:rPr>
                <w:rFonts w:ascii="Times New Roman" w:hAnsi="Times New Roman"/>
                <w:noProof/>
                <w:sz w:val="18"/>
                <w:lang w:val="bg-BG" w:eastAsia="bg-BG" w:bidi="bg-BG"/>
              </w:rPr>
              <w:t xml:space="preserve">В рамките на експертната група бяха обменени най-добри практики относно пречките пред свободното движение на капитали. </w:t>
            </w:r>
          </w:p>
          <w:p w:rsidR="003F5D60" w:rsidRDefault="00F7031C">
            <w:pPr>
              <w:spacing w:after="120" w:line="240" w:lineRule="auto"/>
              <w:rPr>
                <w:rFonts w:ascii="Times New Roman" w:hAnsi="Times New Roman" w:cs="Times New Roman"/>
                <w:noProof/>
                <w:sz w:val="18"/>
                <w:szCs w:val="18"/>
                <w:lang w:val="bg-BG" w:eastAsia="bg-BG" w:bidi="bg-BG"/>
              </w:rPr>
            </w:pPr>
            <w:r>
              <w:rPr>
                <w:rFonts w:ascii="Times New Roman" w:hAnsi="Times New Roman"/>
                <w:noProof/>
                <w:sz w:val="18"/>
                <w:lang w:val="bg-BG" w:eastAsia="bg-BG" w:bidi="bg-BG"/>
              </w:rPr>
              <w:t xml:space="preserve">Резултати от координационната група по хармонизиране на Т2-ЦК (ЕЦБ) </w:t>
            </w:r>
          </w:p>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 xml:space="preserve">Следва да се договорят следващите стъпки в съобщение относно </w:t>
            </w:r>
            <w:r>
              <w:rPr>
                <w:rFonts w:ascii="Times New Roman" w:hAnsi="Times New Roman"/>
                <w:noProof/>
                <w:sz w:val="18"/>
                <w:lang w:val="bg-BG" w:eastAsia="bg-BG" w:bidi="bg-BG"/>
              </w:rPr>
              <w:t>пречките пред капиталите.</w:t>
            </w:r>
          </w:p>
        </w:tc>
      </w:tr>
      <w:tr w:rsidR="003F5D60" w:rsidRPr="00F7031C">
        <w:trPr>
          <w:jc w:val="center"/>
        </w:trPr>
        <w:tc>
          <w:tcPr>
            <w:tcW w:w="906" w:type="pct"/>
            <w:vMerge/>
            <w:tcBorders>
              <w:left w:val="single" w:sz="12" w:space="0" w:color="000000"/>
              <w:bottom w:val="single" w:sz="12" w:space="0" w:color="000000"/>
              <w:right w:val="single" w:sz="4" w:space="0" w:color="auto"/>
            </w:tcBorders>
            <w:shd w:val="clear" w:color="auto" w:fill="auto"/>
            <w:vAlign w:val="center"/>
          </w:tcPr>
          <w:p w:rsidR="003F5D60" w:rsidRDefault="003F5D60">
            <w:pPr>
              <w:spacing w:after="120" w:line="240" w:lineRule="auto"/>
              <w:rPr>
                <w:rFonts w:ascii="Times New Roman" w:hAnsi="Times New Roman"/>
                <w:b/>
                <w:noProof/>
                <w:sz w:val="18"/>
                <w:lang w:val="bg-BG" w:eastAsia="bg-BG" w:bidi="bg-BG"/>
              </w:rPr>
            </w:pPr>
          </w:p>
        </w:tc>
        <w:tc>
          <w:tcPr>
            <w:tcW w:w="1748" w:type="pct"/>
            <w:tcBorders>
              <w:top w:val="single" w:sz="4" w:space="0" w:color="000000"/>
              <w:left w:val="single" w:sz="4" w:space="0" w:color="auto"/>
              <w:bottom w:val="single" w:sz="12" w:space="0" w:color="000000"/>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b/>
                <w:i/>
                <w:noProof/>
                <w:sz w:val="18"/>
                <w:lang w:val="bg-BG" w:eastAsia="bg-BG" w:bidi="bg-BG"/>
              </w:rPr>
              <w:t>Проучване относно дискриминационни данъчни пречки пред трансграничните инвестиции на пенсионните фондове и животозастрахователните предприятия</w:t>
            </w:r>
          </w:p>
        </w:tc>
        <w:tc>
          <w:tcPr>
            <w:tcW w:w="2346" w:type="pct"/>
            <w:tcBorders>
              <w:top w:val="single" w:sz="4" w:space="0" w:color="000000"/>
              <w:left w:val="single" w:sz="4" w:space="0" w:color="auto"/>
              <w:bottom w:val="single" w:sz="12" w:space="0" w:color="000000"/>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Работи се по изготвянето на заданието.</w:t>
            </w:r>
          </w:p>
        </w:tc>
      </w:tr>
      <w:tr w:rsidR="003F5D60" w:rsidRPr="00F7031C">
        <w:trPr>
          <w:trHeight w:hRule="exact" w:val="1606"/>
          <w:jc w:val="center"/>
        </w:trPr>
        <w:tc>
          <w:tcPr>
            <w:tcW w:w="906" w:type="pct"/>
            <w:vMerge w:val="restart"/>
            <w:tcBorders>
              <w:top w:val="single" w:sz="12" w:space="0" w:color="000000"/>
              <w:left w:val="single" w:sz="12" w:space="0" w:color="000000"/>
              <w:right w:val="single" w:sz="4" w:space="0" w:color="auto"/>
            </w:tcBorders>
            <w:shd w:val="clear" w:color="auto" w:fill="auto"/>
            <w:vAlign w:val="center"/>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 xml:space="preserve">Засилване на сближаването на надзорните </w:t>
            </w:r>
            <w:r>
              <w:rPr>
                <w:rFonts w:ascii="Times New Roman" w:hAnsi="Times New Roman"/>
                <w:b/>
                <w:noProof/>
                <w:sz w:val="18"/>
                <w:lang w:val="bg-BG" w:eastAsia="bg-BG" w:bidi="bg-BG"/>
              </w:rPr>
              <w:t>практики и на капацитета за изграждането на капиталовия пазар</w:t>
            </w:r>
          </w:p>
        </w:tc>
        <w:tc>
          <w:tcPr>
            <w:tcW w:w="1748" w:type="pct"/>
            <w:tcBorders>
              <w:top w:val="single" w:sz="12" w:space="0" w:color="000000"/>
              <w:left w:val="single" w:sz="4" w:space="0" w:color="auto"/>
              <w:bottom w:val="single" w:sz="4" w:space="0" w:color="auto"/>
              <w:right w:val="single" w:sz="4" w:space="0" w:color="auto"/>
            </w:tcBorders>
            <w:shd w:val="clear" w:color="auto" w:fill="auto"/>
            <w:vAlign w:val="center"/>
          </w:tcPr>
          <w:p w:rsidR="003F5D60" w:rsidRDefault="00F7031C">
            <w:pPr>
              <w:spacing w:after="120" w:line="240" w:lineRule="auto"/>
              <w:rPr>
                <w:rFonts w:ascii="Times New Roman" w:hAnsi="Times New Roman"/>
                <w:b/>
                <w:i/>
                <w:noProof/>
                <w:sz w:val="18"/>
                <w:lang w:val="bg-BG" w:eastAsia="bg-BG" w:bidi="bg-BG"/>
              </w:rPr>
            </w:pPr>
            <w:r>
              <w:rPr>
                <w:rFonts w:ascii="Times New Roman" w:hAnsi="Times New Roman"/>
                <w:b/>
                <w:i/>
                <w:noProof/>
                <w:sz w:val="18"/>
                <w:lang w:val="bg-BG" w:eastAsia="bg-BG" w:bidi="bg-BG"/>
              </w:rPr>
              <w:t>Стратегия относно сближаването на надзорните практики за подобряване на функционирането на единния пазар на капитали</w:t>
            </w:r>
          </w:p>
          <w:p w:rsidR="003F5D60" w:rsidRDefault="003F5D60">
            <w:pPr>
              <w:spacing w:after="120" w:line="240" w:lineRule="auto"/>
              <w:ind w:left="360"/>
              <w:contextualSpacing/>
              <w:rPr>
                <w:rFonts w:ascii="Times New Roman" w:hAnsi="Times New Roman"/>
                <w:noProof/>
                <w:sz w:val="18"/>
                <w:lang w:val="bg-BG" w:eastAsia="bg-BG" w:bidi="bg-BG"/>
              </w:rPr>
            </w:pPr>
          </w:p>
        </w:tc>
        <w:tc>
          <w:tcPr>
            <w:tcW w:w="2346" w:type="pct"/>
            <w:tcBorders>
              <w:top w:val="single" w:sz="12" w:space="0" w:color="000000"/>
              <w:left w:val="single" w:sz="4" w:space="0" w:color="auto"/>
              <w:bottom w:val="single" w:sz="4" w:space="0" w:color="auto"/>
              <w:right w:val="single" w:sz="4" w:space="0" w:color="auto"/>
            </w:tcBorders>
            <w:shd w:val="clear" w:color="auto" w:fill="auto"/>
            <w:vAlign w:val="center"/>
          </w:tcPr>
          <w:p w:rsidR="003F5D60" w:rsidRDefault="00F7031C">
            <w:pPr>
              <w:spacing w:after="120" w:line="240" w:lineRule="auto"/>
              <w:rPr>
                <w:rFonts w:ascii="Times New Roman" w:hAnsi="Times New Roman" w:cs="Times New Roman"/>
                <w:noProof/>
                <w:sz w:val="18"/>
                <w:szCs w:val="18"/>
                <w:lang w:val="bg-BG" w:eastAsia="bg-BG" w:bidi="bg-BG"/>
              </w:rPr>
            </w:pPr>
            <w:r>
              <w:rPr>
                <w:rFonts w:ascii="Times New Roman" w:hAnsi="Times New Roman"/>
                <w:noProof/>
                <w:sz w:val="18"/>
                <w:lang w:val="bg-BG" w:eastAsia="bg-BG" w:bidi="bg-BG"/>
              </w:rPr>
              <w:t>В ход е изпълнението на първата годишна работна програма на ESMA за сближава</w:t>
            </w:r>
            <w:r>
              <w:rPr>
                <w:rFonts w:ascii="Times New Roman" w:hAnsi="Times New Roman"/>
                <w:noProof/>
                <w:sz w:val="18"/>
                <w:lang w:val="bg-BG" w:eastAsia="bg-BG" w:bidi="bg-BG"/>
              </w:rPr>
              <w:t>не в областта на надзора.</w:t>
            </w:r>
          </w:p>
          <w:p w:rsidR="003F5D60" w:rsidRDefault="00F7031C">
            <w:pPr>
              <w:spacing w:after="120" w:line="240" w:lineRule="auto"/>
              <w:rPr>
                <w:noProof/>
                <w:sz w:val="18"/>
                <w:lang w:val="bg-BG" w:eastAsia="bg-BG" w:bidi="bg-BG"/>
              </w:rPr>
            </w:pPr>
            <w:r>
              <w:rPr>
                <w:rFonts w:ascii="Times New Roman" w:hAnsi="Times New Roman"/>
                <w:noProof/>
                <w:sz w:val="18"/>
                <w:lang w:val="bg-BG" w:eastAsia="bg-BG" w:bidi="bg-BG"/>
              </w:rPr>
              <w:t xml:space="preserve">Текат обсъждания относно подготовката на работната програма за сближаването на надзорните практики за 2017 г. </w:t>
            </w:r>
          </w:p>
        </w:tc>
      </w:tr>
      <w:tr w:rsidR="003F5D60" w:rsidRPr="00F7031C">
        <w:trPr>
          <w:trHeight w:hRule="exact" w:val="629"/>
          <w:jc w:val="center"/>
        </w:trPr>
        <w:tc>
          <w:tcPr>
            <w:tcW w:w="906" w:type="pct"/>
            <w:vMerge/>
            <w:tcBorders>
              <w:left w:val="single" w:sz="12" w:space="0" w:color="000000"/>
              <w:right w:val="single" w:sz="4" w:space="0" w:color="auto"/>
            </w:tcBorders>
            <w:shd w:val="clear" w:color="auto" w:fill="auto"/>
            <w:vAlign w:val="center"/>
          </w:tcPr>
          <w:p w:rsidR="003F5D60" w:rsidRDefault="003F5D60">
            <w:pPr>
              <w:spacing w:after="120" w:line="240" w:lineRule="auto"/>
              <w:rPr>
                <w:rFonts w:ascii="Times New Roman" w:hAnsi="Times New Roman"/>
                <w:b/>
                <w:noProof/>
                <w:sz w:val="18"/>
                <w:lang w:val="bg-BG" w:eastAsia="bg-BG" w:bidi="bg-BG"/>
              </w:rPr>
            </w:pPr>
          </w:p>
        </w:tc>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rsidR="003F5D60" w:rsidRDefault="00F7031C">
            <w:pPr>
              <w:spacing w:after="120" w:line="240" w:lineRule="auto"/>
              <w:rPr>
                <w:rFonts w:ascii="Times New Roman" w:hAnsi="Times New Roman"/>
                <w:b/>
                <w:i/>
                <w:noProof/>
                <w:sz w:val="18"/>
                <w:lang w:val="bg-BG" w:eastAsia="bg-BG" w:bidi="bg-BG"/>
              </w:rPr>
            </w:pPr>
            <w:r>
              <w:rPr>
                <w:rFonts w:ascii="Times New Roman" w:hAnsi="Times New Roman"/>
                <w:b/>
                <w:i/>
                <w:noProof/>
                <w:sz w:val="18"/>
                <w:lang w:val="bg-BG" w:eastAsia="bg-BG" w:bidi="bg-BG"/>
              </w:rPr>
              <w:t>Бяла книга за финансиране и управление на европейските надзорни органи</w:t>
            </w:r>
          </w:p>
          <w:p w:rsidR="003F5D60" w:rsidRDefault="003F5D60">
            <w:pPr>
              <w:spacing w:after="120" w:line="240" w:lineRule="auto"/>
              <w:rPr>
                <w:noProof/>
                <w:lang w:val="bg-BG" w:eastAsia="bg-BG" w:bidi="bg-BG"/>
              </w:rPr>
            </w:pPr>
          </w:p>
        </w:tc>
        <w:tc>
          <w:tcPr>
            <w:tcW w:w="2346" w:type="pct"/>
            <w:tcBorders>
              <w:top w:val="single" w:sz="4" w:space="0" w:color="auto"/>
              <w:left w:val="single" w:sz="4" w:space="0" w:color="auto"/>
              <w:bottom w:val="single" w:sz="4"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 xml:space="preserve">В ход е подготвителната работа с оглед на </w:t>
            </w:r>
            <w:r>
              <w:rPr>
                <w:rFonts w:ascii="Times New Roman" w:hAnsi="Times New Roman"/>
                <w:noProof/>
                <w:sz w:val="18"/>
                <w:lang w:val="bg-BG" w:eastAsia="bg-BG" w:bidi="bg-BG"/>
              </w:rPr>
              <w:t>приемането на бяла книга.</w:t>
            </w:r>
          </w:p>
        </w:tc>
      </w:tr>
      <w:tr w:rsidR="003F5D60" w:rsidRPr="00F7031C">
        <w:trPr>
          <w:trHeight w:hRule="exact" w:val="1193"/>
          <w:jc w:val="center"/>
        </w:trPr>
        <w:tc>
          <w:tcPr>
            <w:tcW w:w="906" w:type="pct"/>
            <w:vMerge/>
            <w:tcBorders>
              <w:left w:val="single" w:sz="12" w:space="0" w:color="000000"/>
              <w:bottom w:val="single" w:sz="12" w:space="0" w:color="auto"/>
              <w:right w:val="single" w:sz="4" w:space="0" w:color="auto"/>
            </w:tcBorders>
            <w:shd w:val="clear" w:color="auto" w:fill="auto"/>
            <w:vAlign w:val="center"/>
          </w:tcPr>
          <w:p w:rsidR="003F5D60" w:rsidRDefault="003F5D60">
            <w:pPr>
              <w:spacing w:after="120" w:line="240" w:lineRule="auto"/>
              <w:rPr>
                <w:rFonts w:ascii="Times New Roman" w:hAnsi="Times New Roman"/>
                <w:b/>
                <w:noProof/>
                <w:sz w:val="18"/>
                <w:lang w:val="bg-BG" w:eastAsia="bg-BG" w:bidi="bg-BG"/>
              </w:rPr>
            </w:pPr>
          </w:p>
        </w:tc>
        <w:tc>
          <w:tcPr>
            <w:tcW w:w="1748" w:type="pct"/>
            <w:tcBorders>
              <w:top w:val="single" w:sz="4"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b/>
                <w:i/>
                <w:noProof/>
                <w:sz w:val="18"/>
                <w:lang w:val="bg-BG" w:eastAsia="bg-BG" w:bidi="bg-BG"/>
              </w:rPr>
              <w:t>Техническо съдействие на държавите членки за подобряване на капацитета на капиталовите пазари</w:t>
            </w:r>
          </w:p>
        </w:tc>
        <w:tc>
          <w:tcPr>
            <w:tcW w:w="2346" w:type="pct"/>
            <w:tcBorders>
              <w:top w:val="single" w:sz="4"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Европейският парламент и Съветът ще приемат регламента за ППСР.</w:t>
            </w:r>
          </w:p>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Работи се съвместно с държавите членки по набелязването на приоритетни</w:t>
            </w:r>
            <w:r>
              <w:rPr>
                <w:rFonts w:ascii="Times New Roman" w:hAnsi="Times New Roman"/>
                <w:noProof/>
                <w:sz w:val="18"/>
                <w:lang w:val="bg-BG" w:eastAsia="bg-BG" w:bidi="bg-BG"/>
              </w:rPr>
              <w:t xml:space="preserve"> области за техническа помощ.</w:t>
            </w:r>
          </w:p>
        </w:tc>
      </w:tr>
      <w:tr w:rsidR="003F5D60" w:rsidRPr="00F7031C">
        <w:trPr>
          <w:trHeight w:hRule="exact" w:val="809"/>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hideMark/>
          </w:tcPr>
          <w:p w:rsidR="003F5D60" w:rsidRDefault="00F7031C">
            <w:pPr>
              <w:spacing w:after="120" w:line="240" w:lineRule="auto"/>
              <w:rPr>
                <w:rFonts w:ascii="Times New Roman" w:hAnsi="Times New Roman"/>
                <w:b/>
                <w:noProof/>
                <w:sz w:val="18"/>
                <w:lang w:val="bg-BG" w:eastAsia="bg-BG" w:bidi="bg-BG"/>
              </w:rPr>
            </w:pPr>
            <w:r>
              <w:rPr>
                <w:rFonts w:ascii="Times New Roman" w:hAnsi="Times New Roman"/>
                <w:b/>
                <w:noProof/>
                <w:sz w:val="18"/>
                <w:lang w:val="bg-BG" w:eastAsia="bg-BG" w:bidi="bg-BG"/>
              </w:rPr>
              <w:t>Финансова стабилност</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b/>
                <w:i/>
                <w:noProof/>
                <w:sz w:val="18"/>
                <w:lang w:val="bg-BG" w:eastAsia="bg-BG" w:bidi="bg-BG"/>
              </w:rPr>
              <w:t>Преглед на макропруденциалната рамка на ЕС</w:t>
            </w: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3F5D60" w:rsidRDefault="00F7031C">
            <w:pPr>
              <w:spacing w:after="120" w:line="240" w:lineRule="auto"/>
              <w:rPr>
                <w:rFonts w:ascii="Times New Roman" w:hAnsi="Times New Roman"/>
                <w:noProof/>
                <w:sz w:val="18"/>
                <w:lang w:val="bg-BG" w:eastAsia="bg-BG" w:bidi="bg-BG"/>
              </w:rPr>
            </w:pPr>
            <w:r>
              <w:rPr>
                <w:rFonts w:ascii="Times New Roman" w:hAnsi="Times New Roman"/>
                <w:noProof/>
                <w:sz w:val="18"/>
                <w:lang w:val="bg-BG" w:eastAsia="bg-BG" w:bidi="bg-BG"/>
              </w:rPr>
              <w:t>Обществена консултация, започнала на 1 август 2016 г.; резултатите ще бъдат използвани като основа за законодателно предложение.</w:t>
            </w:r>
          </w:p>
        </w:tc>
      </w:tr>
    </w:tbl>
    <w:p w:rsidR="003F5D60" w:rsidRDefault="003F5D60">
      <w:pPr>
        <w:spacing w:line="240" w:lineRule="auto"/>
        <w:jc w:val="both"/>
        <w:rPr>
          <w:rFonts w:ascii="Times New Roman" w:hAnsi="Times New Roman" w:cs="Times New Roman"/>
          <w:noProof/>
          <w:sz w:val="24"/>
          <w:szCs w:val="24"/>
          <w:lang w:val="bg-BG"/>
        </w:rPr>
      </w:pPr>
    </w:p>
    <w:sectPr w:rsidR="003F5D60">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D60" w:rsidRDefault="00F7031C">
      <w:pPr>
        <w:spacing w:after="0" w:line="240" w:lineRule="auto"/>
      </w:pPr>
      <w:r>
        <w:separator/>
      </w:r>
    </w:p>
  </w:endnote>
  <w:endnote w:type="continuationSeparator" w:id="0">
    <w:p w:rsidR="003F5D60" w:rsidRDefault="00F7031C">
      <w:pPr>
        <w:spacing w:after="0" w:line="240" w:lineRule="auto"/>
      </w:pPr>
      <w:r>
        <w:continuationSeparator/>
      </w:r>
    </w:p>
  </w:endnote>
  <w:endnote w:type="continuationNotice" w:id="1">
    <w:p w:rsidR="003F5D60" w:rsidRDefault="003F5D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1C" w:rsidRPr="00F7031C" w:rsidRDefault="00F7031C" w:rsidP="00F703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1C" w:rsidRPr="00F7031C" w:rsidRDefault="00F7031C" w:rsidP="00F7031C">
    <w:pPr>
      <w:pStyle w:val="FooterCoverPage"/>
      <w:rPr>
        <w:rFonts w:ascii="Arial" w:hAnsi="Arial" w:cs="Arial"/>
        <w:b/>
        <w:sz w:val="48"/>
      </w:rPr>
    </w:pPr>
    <w:r w:rsidRPr="00F7031C">
      <w:rPr>
        <w:rFonts w:ascii="Arial" w:hAnsi="Arial" w:cs="Arial"/>
        <w:b/>
        <w:sz w:val="48"/>
      </w:rPr>
      <w:t>BG</w:t>
    </w:r>
    <w:r w:rsidRPr="00F7031C">
      <w:rPr>
        <w:rFonts w:ascii="Arial" w:hAnsi="Arial" w:cs="Arial"/>
        <w:b/>
        <w:sz w:val="48"/>
      </w:rPr>
      <w:tab/>
    </w:r>
    <w:r w:rsidRPr="00F7031C">
      <w:rPr>
        <w:rFonts w:ascii="Arial" w:hAnsi="Arial" w:cs="Arial"/>
        <w:b/>
        <w:sz w:val="48"/>
      </w:rPr>
      <w:tab/>
    </w:r>
    <w:fldSimple w:instr=" DOCVARIABLE &quot;LW_Confidence&quot; \* MERGEFORMAT ">
      <w:r>
        <w:t xml:space="preserve"> </w:t>
      </w:r>
    </w:fldSimple>
    <w:r w:rsidRPr="00F7031C">
      <w:tab/>
    </w:r>
    <w:r w:rsidRPr="00F7031C">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1C" w:rsidRPr="00F7031C" w:rsidRDefault="00F7031C" w:rsidP="00F7031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60" w:rsidRDefault="003F5D6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70826"/>
      <w:docPartObj>
        <w:docPartGallery w:val="Page Numbers (Bottom of Page)"/>
        <w:docPartUnique/>
      </w:docPartObj>
    </w:sdtPr>
    <w:sdtEndPr>
      <w:rPr>
        <w:rFonts w:ascii="Times New Roman" w:hAnsi="Times New Roman" w:cs="Times New Roman"/>
        <w:noProof/>
      </w:rPr>
    </w:sdtEndPr>
    <w:sdtContent>
      <w:p w:rsidR="003F5D60" w:rsidRDefault="00F7031C">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rsidR="003F5D60" w:rsidRDefault="003F5D6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60" w:rsidRDefault="003F5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D60" w:rsidRDefault="00F7031C">
      <w:pPr>
        <w:spacing w:after="0" w:line="240" w:lineRule="auto"/>
      </w:pPr>
      <w:r>
        <w:separator/>
      </w:r>
    </w:p>
  </w:footnote>
  <w:footnote w:type="continuationSeparator" w:id="0">
    <w:p w:rsidR="003F5D60" w:rsidRDefault="00F7031C">
      <w:pPr>
        <w:spacing w:after="0" w:line="240" w:lineRule="auto"/>
      </w:pPr>
      <w:r>
        <w:continuationSeparator/>
      </w:r>
    </w:p>
  </w:footnote>
  <w:footnote w:type="continuationNotice" w:id="1">
    <w:p w:rsidR="003F5D60" w:rsidRDefault="003F5D60">
      <w:pPr>
        <w:spacing w:after="0" w:line="240" w:lineRule="auto"/>
      </w:pPr>
    </w:p>
  </w:footnote>
  <w:footnote w:id="2">
    <w:p w:rsidR="003F5D60" w:rsidRDefault="00F7031C">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План за действие за изграждане на съюз на капиталовите пазари (COM(2015)468 final, 30.9.2015 г.). </w:t>
      </w:r>
    </w:p>
  </w:footnote>
  <w:footnote w:id="3">
    <w:p w:rsidR="003F5D60" w:rsidRDefault="00F7031C">
      <w:pPr>
        <w:pStyle w:val="FootnoteText"/>
        <w:tabs>
          <w:tab w:val="left" w:pos="426"/>
        </w:tabs>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Съобщение от 1 юни 2016 г. относно „Изпълнение на програмата за работни места, растеж и инвестиции в рамките на единния пазар“, </w:t>
      </w:r>
      <w:r>
        <w:rPr>
          <w:rFonts w:ascii="Times New Roman" w:hAnsi="Times New Roman"/>
        </w:rPr>
        <w:t>COM(2016)361.</w:t>
      </w:r>
    </w:p>
  </w:footnote>
  <w:footnote w:id="4">
    <w:p w:rsidR="003F5D60" w:rsidRDefault="00F7031C">
      <w:pPr>
        <w:pStyle w:val="FootnoteText"/>
        <w:tabs>
          <w:tab w:val="left" w:pos="426"/>
        </w:tabs>
        <w:ind w:left="426" w:hanging="426"/>
        <w:jc w:val="both"/>
      </w:pPr>
      <w:r>
        <w:rPr>
          <w:rStyle w:val="FootnoteReference"/>
        </w:rPr>
        <w:footnoteRef/>
      </w:r>
      <w:r>
        <w:t xml:space="preserve"> </w:t>
      </w:r>
      <w:r>
        <w:tab/>
      </w:r>
      <w:r>
        <w:rPr>
          <w:rFonts w:ascii="Times New Roman" w:hAnsi="Times New Roman"/>
        </w:rPr>
        <w:t>Заключения на Европейския съвет, EUCO 26/16, 28 юни 2016 г.</w:t>
      </w:r>
    </w:p>
  </w:footnote>
  <w:footnote w:id="5">
    <w:p w:rsidR="003F5D60" w:rsidRDefault="00F7031C">
      <w:pPr>
        <w:pStyle w:val="FootnoteText"/>
        <w:tabs>
          <w:tab w:val="left" w:pos="426"/>
        </w:tabs>
        <w:ind w:left="426" w:hanging="426"/>
        <w:jc w:val="both"/>
      </w:pPr>
      <w:r>
        <w:rPr>
          <w:rStyle w:val="FootnoteReference"/>
        </w:rPr>
        <w:footnoteRef/>
      </w:r>
      <w:r>
        <w:t xml:space="preserve"> </w:t>
      </w:r>
      <w:r>
        <w:tab/>
      </w:r>
      <w:r>
        <w:rPr>
          <w:rFonts w:ascii="Times New Roman" w:hAnsi="Times New Roman"/>
        </w:rPr>
        <w:t>Предложение за Регламент за определяне на общите правила за секюритизациите и въвеждане на европейска нормативна уредба на опростени, прозрачни и стандартизирани секюритизации,</w:t>
      </w:r>
      <w:r>
        <w:rPr>
          <w:rFonts w:ascii="Times New Roman" w:hAnsi="Times New Roman"/>
        </w:rPr>
        <w:t xml:space="preserve"> COM(2015)472 final, 30.9.2015 г.; Предложение за Регламент за изменение на Регламент (ЕС) № 575/2013 относно пруденциалните изисквания за кредитните институции и инвестиционните посредници, COM(2015)473 final, 30.9.2015 г.</w:t>
      </w:r>
    </w:p>
  </w:footnote>
  <w:footnote w:id="6">
    <w:p w:rsidR="003F5D60" w:rsidRDefault="00F7031C">
      <w:pPr>
        <w:pStyle w:val="FootnoteText"/>
        <w:tabs>
          <w:tab w:val="left" w:pos="426"/>
        </w:tabs>
        <w:ind w:left="426" w:hanging="426"/>
        <w:jc w:val="both"/>
      </w:pPr>
      <w:r>
        <w:rPr>
          <w:rStyle w:val="FootnoteReference"/>
        </w:rPr>
        <w:footnoteRef/>
      </w:r>
      <w:r>
        <w:t xml:space="preserve"> </w:t>
      </w:r>
      <w:r>
        <w:tab/>
      </w:r>
      <w:r>
        <w:rPr>
          <w:rFonts w:ascii="Times New Roman" w:hAnsi="Times New Roman"/>
        </w:rPr>
        <w:t>Предложение за Регламент отно</w:t>
      </w:r>
      <w:r>
        <w:rPr>
          <w:rFonts w:ascii="Times New Roman" w:hAnsi="Times New Roman"/>
        </w:rPr>
        <w:t>сно проспекта, който следва да се публикува при публично предлагане или допускане на ценни книжа до търгуване, COM(2015)583 final, 30.11.2015 г.</w:t>
      </w:r>
    </w:p>
  </w:footnote>
  <w:footnote w:id="7">
    <w:p w:rsidR="003F5D60" w:rsidRDefault="00F7031C">
      <w:pPr>
        <w:pStyle w:val="FootnoteText"/>
        <w:tabs>
          <w:tab w:val="left" w:pos="426"/>
        </w:tabs>
        <w:ind w:left="426" w:hanging="426"/>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Предложение за Регламент за създаването на Програмата за подкрепа на структурните реформи за периода 2017—20</w:t>
      </w:r>
      <w:r>
        <w:rPr>
          <w:rFonts w:ascii="Times New Roman" w:hAnsi="Times New Roman"/>
        </w:rPr>
        <w:t>20 г., COM(2015)701 final, 26.11.2015 г</w:t>
      </w:r>
    </w:p>
  </w:footnote>
  <w:footnote w:id="8">
    <w:p w:rsidR="003F5D60" w:rsidRDefault="00F7031C">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Предложението за обща основа за облагане с корпоративен данък ще засили сближаването при определянето на националните данъчни основи. То ще бъде придружено от отделно предложение за обща консолидирана основа за об</w:t>
      </w:r>
      <w:r>
        <w:rPr>
          <w:rFonts w:ascii="Times New Roman" w:hAnsi="Times New Roman"/>
        </w:rPr>
        <w:t>лагане с корпоративен данък (ОКООКД) с цел да се установи общ подход за „консолидация“ на корпоративния данък, дължим от дружествата, които извършват дейност в две или повече държави членки.</w:t>
      </w:r>
    </w:p>
  </w:footnote>
  <w:footnote w:id="9">
    <w:p w:rsidR="003F5D60" w:rsidRDefault="00F7031C">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Личните пенсионни продукти са лични спестовни продукти, свърза</w:t>
      </w:r>
      <w:r>
        <w:rPr>
          <w:rFonts w:ascii="Times New Roman" w:hAnsi="Times New Roman"/>
        </w:rPr>
        <w:t>ни с пенсионирането, които допълват, но са отделни от държавните или професионалните пенсионни схеми. Усилията за разработване на тези пазари ще допълнят пенсионното осигуряване от държавни или професионални пенсионни схеми.</w:t>
      </w:r>
    </w:p>
  </w:footnote>
  <w:footnote w:id="10">
    <w:p w:rsidR="003F5D60" w:rsidRDefault="00F7031C">
      <w:pPr>
        <w:pStyle w:val="FootnoteText"/>
        <w:tabs>
          <w:tab w:val="left" w:pos="426"/>
        </w:tabs>
        <w:ind w:left="426" w:hanging="426"/>
        <w:jc w:val="both"/>
      </w:pPr>
      <w:r>
        <w:rPr>
          <w:rStyle w:val="FootnoteReference"/>
        </w:rPr>
        <w:footnoteRef/>
      </w:r>
      <w:r>
        <w:t xml:space="preserve"> </w:t>
      </w:r>
      <w:r>
        <w:tab/>
      </w:r>
      <w:r>
        <w:rPr>
          <w:rFonts w:ascii="Times New Roman" w:hAnsi="Times New Roman"/>
        </w:rPr>
        <w:t>Консултация относно съюза на</w:t>
      </w:r>
      <w:r>
        <w:rPr>
          <w:rFonts w:ascii="Times New Roman" w:hAnsi="Times New Roman"/>
        </w:rPr>
        <w:t xml:space="preserve"> капиталовите пазари: Действие във връзка с евентуална рамка на ЕС за индивидуалните пенсионни продукти, 27.7.2016 г. </w:t>
      </w:r>
    </w:p>
  </w:footnote>
  <w:footnote w:id="11">
    <w:p w:rsidR="003F5D60" w:rsidRDefault="00F7031C">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Заедно с ангажиментите на ЕС в рамките на Програмата до 2030 г. за устойчиво развитие и целите на ЕС за 2020 и 2030 г. в областта на к</w:t>
      </w:r>
      <w:r>
        <w:rPr>
          <w:rFonts w:ascii="Times New Roman" w:hAnsi="Times New Roman"/>
        </w:rPr>
        <w:t>лимата и енергетиката.</w:t>
      </w:r>
    </w:p>
  </w:footnote>
  <w:footnote w:id="12">
    <w:p w:rsidR="003F5D60" w:rsidRDefault="00F7031C">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Съобщение „Затваряне на цикъла — план за действие на ЕС за кръговата икономика“, COM(2015)614 final, 2.12.2015 г.</w:t>
      </w:r>
    </w:p>
  </w:footnote>
  <w:footnote w:id="13">
    <w:p w:rsidR="003F5D60" w:rsidRDefault="00F7031C">
      <w:pPr>
        <w:tabs>
          <w:tab w:val="left" w:pos="426"/>
        </w:tabs>
        <w:spacing w:after="0" w:line="240" w:lineRule="auto"/>
        <w:ind w:left="426" w:hanging="426"/>
        <w:jc w:val="both"/>
        <w:rPr>
          <w:i/>
          <w:iCs/>
          <w:color w:val="1F497D"/>
        </w:rPr>
      </w:pPr>
      <w:r>
        <w:rPr>
          <w:rStyle w:val="FootnoteReference"/>
        </w:rPr>
        <w:footnoteRef/>
      </w:r>
      <w:r>
        <w:t xml:space="preserve"> </w:t>
      </w:r>
      <w:r>
        <w:tab/>
      </w:r>
      <w:r>
        <w:rPr>
          <w:rFonts w:ascii="Times New Roman" w:hAnsi="Times New Roman"/>
          <w:sz w:val="20"/>
        </w:rPr>
        <w:t>В комюникето от срещата на върха на Г-20 в Ханджоу (4—5 септември) се приветства докладът относно „Насърчаване на</w:t>
      </w:r>
      <w:r>
        <w:rPr>
          <w:rFonts w:ascii="Times New Roman" w:hAnsi="Times New Roman"/>
          <w:sz w:val="20"/>
        </w:rPr>
        <w:t xml:space="preserve"> ефективно и прозрачно предоставяне и мобилизиране на финансиране в областта на климата за повишаване на амбицията за предприемане на действия за смекчаване на последиците и адаптиране към тях“, изготвен от проучвателната група на Г-20 за финансирането на </w:t>
      </w:r>
      <w:r>
        <w:rPr>
          <w:rFonts w:ascii="Times New Roman" w:hAnsi="Times New Roman"/>
          <w:sz w:val="20"/>
        </w:rPr>
        <w:t>борбата с изменението на климата.</w:t>
      </w:r>
    </w:p>
    <w:p w:rsidR="003F5D60" w:rsidRDefault="003F5D60">
      <w:pPr>
        <w:pStyle w:val="FootnoteText"/>
      </w:pPr>
    </w:p>
  </w:footnote>
  <w:footnote w:id="14">
    <w:p w:rsidR="003F5D60" w:rsidRDefault="00F7031C">
      <w:pPr>
        <w:pStyle w:val="FootnoteText"/>
        <w:tabs>
          <w:tab w:val="left" w:pos="426"/>
        </w:tabs>
        <w:ind w:left="426" w:hanging="426"/>
        <w:jc w:val="both"/>
        <w:rPr>
          <w:rFonts w:ascii="Times New Roman" w:hAnsi="Times New Roman" w:cs="Times New Roman"/>
        </w:rPr>
      </w:pPr>
      <w:r>
        <w:rPr>
          <w:rStyle w:val="FootnoteReference"/>
        </w:rPr>
        <w:footnoteRef/>
      </w:r>
      <w:r>
        <w:t xml:space="preserve"> </w:t>
      </w:r>
      <w:r>
        <w:tab/>
      </w:r>
      <w:r>
        <w:rPr>
          <w:rFonts w:ascii="Times New Roman" w:hAnsi="Times New Roman"/>
        </w:rPr>
        <w:t>Консултация относно действията по линия на СКП за трансгранично предоставяне на фондове (ПКИПЦК, АИФ, ЕФДИ, ЕФРК и ЕФСП) в рамките на ЕС, 2.6.2016 г.</w:t>
      </w:r>
    </w:p>
  </w:footnote>
  <w:footnote w:id="15">
    <w:p w:rsidR="003F5D60" w:rsidRDefault="00F7031C">
      <w:pPr>
        <w:pStyle w:val="FootnoteText"/>
        <w:tabs>
          <w:tab w:val="left" w:pos="426"/>
        </w:tabs>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първия доклад на групата „Джованини“ (2001 г.): „Cross-border c</w:t>
      </w:r>
      <w:r>
        <w:rPr>
          <w:rFonts w:ascii="Times New Roman" w:hAnsi="Times New Roman"/>
        </w:rPr>
        <w:t>learing and settlement arrangements in the European Union“ (Споразумения за трансграничен клиринг и сетълмент в Европейския съюз) бяха отбелязани 15 пречки, които възпрепятстват ефикасния трансграничен клиринг и сетълмент на ценни книжа в ЕС.</w:t>
      </w:r>
    </w:p>
  </w:footnote>
  <w:footnote w:id="16">
    <w:p w:rsidR="003F5D60" w:rsidRDefault="00F7031C">
      <w:pPr>
        <w:pStyle w:val="FootnoteText"/>
        <w:tabs>
          <w:tab w:val="left" w:pos="426"/>
        </w:tabs>
        <w:ind w:left="426" w:hanging="426"/>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Работна пр</w:t>
      </w:r>
      <w:r>
        <w:rPr>
          <w:rFonts w:ascii="Times New Roman" w:hAnsi="Times New Roman"/>
        </w:rPr>
        <w:t>ограма на ESMA от 2016 г. относно сближаването в областта на надзора, ESMA/2016/203, 11.2.2016 г.</w:t>
      </w:r>
    </w:p>
  </w:footnote>
  <w:footnote w:id="17">
    <w:p w:rsidR="003F5D60" w:rsidRDefault="00F7031C">
      <w:pPr>
        <w:pStyle w:val="FootnoteText"/>
        <w:tabs>
          <w:tab w:val="left" w:pos="426"/>
        </w:tabs>
        <w:ind w:left="426" w:hanging="426"/>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Консултация относно преразглеждането на макропруденциалната рамка на политиката в ЕС, 1.8.2016 г. </w:t>
      </w:r>
    </w:p>
    <w:p w:rsidR="003F5D60" w:rsidRDefault="003F5D60">
      <w:pPr>
        <w:pStyle w:val="FootnoteText"/>
        <w:rPr>
          <w:rFonts w:ascii="Times New Roman" w:hAnsi="Times New Roman" w:cs="Times New Roman"/>
        </w:rPr>
      </w:pPr>
    </w:p>
  </w:footnote>
  <w:footnote w:id="18">
    <w:p w:rsidR="003F5D60" w:rsidRDefault="00F7031C">
      <w:pPr>
        <w:pStyle w:val="FootnoteText"/>
        <w:tabs>
          <w:tab w:val="left" w:pos="426"/>
        </w:tabs>
        <w:ind w:left="426" w:hanging="426"/>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Работен документ на службите на Комисията Capital </w:t>
      </w:r>
      <w:r>
        <w:rPr>
          <w:rFonts w:ascii="Times New Roman" w:hAnsi="Times New Roman"/>
        </w:rPr>
        <w:t>Markets Union: First Status Report („Съюз на капиталовите пазари: Първи доклад за състоянието“, SWD(2016)147 final, 25.4.2016 г., публикуван на адрес:</w:t>
      </w:r>
      <w:hyperlink r:id="rId1">
        <w:r>
          <w:rPr>
            <w:rStyle w:val="Hyperlink"/>
            <w:rFonts w:ascii="Times New Roman" w:hAnsi="Times New Roman"/>
          </w:rPr>
          <w:t xml:space="preserve"> </w:t>
        </w:r>
        <w:r>
          <w:rPr>
            <w:rStyle w:val="Hyperlink"/>
            <w:rFonts w:ascii="Times New Roman" w:hAnsi="Times New Roman"/>
          </w:rPr>
          <w:t>http://ec.europa.eu/finance/capital-markets-union/docs/cmu-first-status-report_en.pdf</w:t>
        </w:r>
      </w:hyperlink>
    </w:p>
    <w:p w:rsidR="003F5D60" w:rsidRDefault="003F5D60">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1C" w:rsidRPr="00F7031C" w:rsidRDefault="00F7031C" w:rsidP="00F703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1C" w:rsidRPr="00F7031C" w:rsidRDefault="00F7031C" w:rsidP="00F7031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1C" w:rsidRPr="00F7031C" w:rsidRDefault="00F7031C" w:rsidP="00F7031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60" w:rsidRDefault="003F5D6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60" w:rsidRDefault="003F5D6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60" w:rsidRDefault="003F5D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94D1A"/>
    <w:multiLevelType w:val="hybridMultilevel"/>
    <w:tmpl w:val="452AE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hyphenationZone w:val="425"/>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1BEA5BA4E792405C850FA6A813280D7B"/>
    <w:docVar w:name="LW_CROSSREFERENCE" w:val="&lt;UNUSED&gt;"/>
    <w:docVar w:name="LW_DocType" w:val="NORMAL"/>
    <w:docVar w:name="LW_EMISSION" w:val="14.9.2016"/>
    <w:docVar w:name="LW_EMISSION_ISODATE" w:val="2016-09-14"/>
    <w:docVar w:name="LW_EMISSION_LOCATION" w:val="BRX"/>
    <w:docVar w:name="LW_EMISSION_PREFIX" w:val="\u1041?\u1088?\u1102?\u1082?\u1089?\u1077?\u1083?, "/>
    <w:docVar w:name="LW_EMISSION_SUFFIX" w:val=" \u1075?."/>
    <w:docVar w:name="LW_ID_DOCTYPE_NONLW" w:val="CP-009"/>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601"/>
    <w:docVar w:name="LW_REF.INTERNE" w:val="&lt;UNUSED&gt;"/>
    <w:docVar w:name="LW_SOUS.TITRE.OBJ.CP" w:val="&lt;UNUSED&gt;"/>
    <w:docVar w:name="LW_SUPERTITRE" w:val="&lt;UNUSED&gt;"/>
    <w:docVar w:name="LW_TITRE.OBJ.CP" w:val="\u1057?\u1098?\u1102?\u1079? \u1085?\u1072? \u1082?\u1072?\u1087?\u1080?\u1090?\u1072?\u1083?\u1086?\u1074?\u1080?\u1090?\u1077? \u1087?\u1072?\u1079?\u1072?\u1088?\u1080? \u8212? \u1091?\u1089?\u1082?\u1086?\u1088?\u1103?\u1074?\u1072?\u1085?\u1077? \u1085?\u1072? \u1088?\u1077?\u1092?\u1086?\u1088?\u1084?\u1072?\u1090?\u1072?"/>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57?\u1066?\u1042?\u1045?\u1058?\u1040?, \u1045?\u1042?\u1056?\u1054?\u1055?\u1045?\u1049?\u1057?\u1050?\u1040?\u1058?\u1040? \u1062?\u1045?\u1053?\u1058?\u1056?\u1040?\u1051?\u1053?\u1040? \u1041?\u1040?\u1053?\u1050?\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w:rsids>
    <w:rsidRoot w:val="003F5D60"/>
    <w:rsid w:val="003F5D60"/>
    <w:rsid w:val="00F703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571523">
      <w:bodyDiv w:val="1"/>
      <w:marLeft w:val="0"/>
      <w:marRight w:val="0"/>
      <w:marTop w:val="0"/>
      <w:marBottom w:val="0"/>
      <w:divBdr>
        <w:top w:val="none" w:sz="0" w:space="0" w:color="auto"/>
        <w:left w:val="none" w:sz="0" w:space="0" w:color="auto"/>
        <w:bottom w:val="none" w:sz="0" w:space="0" w:color="auto"/>
        <w:right w:val="none" w:sz="0" w:space="0" w:color="auto"/>
      </w:divBdr>
    </w:div>
    <w:div w:id="11064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inance/capital-markets-union/docs/cmu-first-status-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B9568-F73A-46DD-B139-A9EE4AA0EA69}">
  <ds:schemaRefs>
    <ds:schemaRef ds:uri="http://schemas.openxmlformats.org/officeDocument/2006/bibliography"/>
  </ds:schemaRefs>
</ds:datastoreItem>
</file>

<file path=customXml/itemProps2.xml><?xml version="1.0" encoding="utf-8"?>
<ds:datastoreItem xmlns:ds="http://schemas.openxmlformats.org/officeDocument/2006/customXml" ds:itemID="{CCF5102D-EB32-4DB6-9AC0-14B430FB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4609</Words>
  <Characters>27810</Characters>
  <Application>Microsoft Office Word</Application>
  <DocSecurity>0</DocSecurity>
  <Lines>734</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2016-09-13T18:34:00Z</dcterms:created>
  <dcterms:modified xsi:type="dcterms:W3CDTF">2016-09-15T08:41:00Z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