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119" w:rsidRDefault="00505082">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5E31864A7B446139207DCF3EB4FC57C" style="width:450.75pt;height:306.75pt">
            <v:imagedata r:id="rId9" o:title=""/>
          </v:shape>
        </w:pict>
      </w:r>
    </w:p>
    <w:bookmarkEnd w:id="0"/>
    <w:p w:rsidR="00AE7119" w:rsidRDefault="00AE7119">
      <w:pPr>
        <w:pStyle w:val="Pagedecouverture"/>
        <w:rPr>
          <w:noProof/>
          <w:lang w:val="bg-BG"/>
        </w:rPr>
        <w:sectPr w:rsidR="00AE711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AE7119" w:rsidRDefault="00505082">
      <w:pPr>
        <w:keepNext/>
        <w:tabs>
          <w:tab w:val="left" w:pos="567"/>
        </w:tabs>
        <w:spacing w:after="240" w:line="240" w:lineRule="auto"/>
        <w:jc w:val="both"/>
        <w:outlineLvl w:val="0"/>
        <w:rPr>
          <w:rFonts w:ascii="Times New Roman" w:eastAsia="Times New Roman" w:hAnsi="Times New Roman"/>
          <w:b/>
          <w:smallCaps/>
          <w:noProof/>
          <w:sz w:val="24"/>
          <w:szCs w:val="24"/>
          <w:lang w:val="bg-BG"/>
        </w:rPr>
      </w:pPr>
      <w:r>
        <w:rPr>
          <w:rFonts w:ascii="Times New Roman" w:eastAsia="Times New Roman" w:hAnsi="Times New Roman"/>
          <w:b/>
          <w:smallCaps/>
          <w:noProof/>
          <w:sz w:val="24"/>
          <w:szCs w:val="24"/>
          <w:lang w:val="bg-BG"/>
        </w:rPr>
        <w:lastRenderedPageBreak/>
        <w:t>1.</w:t>
      </w:r>
      <w:r>
        <w:rPr>
          <w:rFonts w:ascii="Times New Roman" w:eastAsia="Times New Roman" w:hAnsi="Times New Roman"/>
          <w:b/>
          <w:smallCaps/>
          <w:noProof/>
          <w:sz w:val="24"/>
          <w:szCs w:val="24"/>
          <w:lang w:val="bg-BG"/>
        </w:rPr>
        <w:tab/>
        <w:t>Въведение</w:t>
      </w:r>
    </w:p>
    <w:p w:rsidR="00AE7119" w:rsidRDefault="00505082">
      <w:pPr>
        <w:keepNext/>
        <w:tabs>
          <w:tab w:val="left" w:pos="850"/>
        </w:tabs>
        <w:spacing w:after="240" w:line="240" w:lineRule="auto"/>
        <w:ind w:left="567" w:hanging="567"/>
        <w:jc w:val="both"/>
        <w:outlineLvl w:val="1"/>
        <w:rPr>
          <w:rFonts w:ascii="Times New Roman" w:eastAsia="Times New Roman" w:hAnsi="Times New Roman"/>
          <w:b/>
          <w:noProof/>
          <w:sz w:val="24"/>
          <w:szCs w:val="24"/>
          <w:lang w:val="bg-BG"/>
        </w:rPr>
      </w:pPr>
      <w:r>
        <w:rPr>
          <w:rFonts w:ascii="Times New Roman" w:eastAsia="Times New Roman" w:hAnsi="Times New Roman"/>
          <w:b/>
          <w:noProof/>
          <w:sz w:val="24"/>
          <w:szCs w:val="24"/>
          <w:lang w:val="bg-BG"/>
        </w:rPr>
        <w:t>1.1.</w:t>
      </w:r>
      <w:r>
        <w:rPr>
          <w:rFonts w:ascii="Times New Roman" w:eastAsia="Times New Roman" w:hAnsi="Times New Roman"/>
          <w:b/>
          <w:noProof/>
          <w:sz w:val="24"/>
          <w:szCs w:val="24"/>
          <w:lang w:val="bg-BG"/>
        </w:rPr>
        <w:tab/>
        <w:t>Контекст</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В Регламент (ЕС) № 181/2011</w:t>
      </w:r>
      <w:r>
        <w:rPr>
          <w:rStyle w:val="FootnoteReference"/>
          <w:noProof/>
          <w:lang w:val="bg-BG"/>
        </w:rPr>
        <w:footnoteReference w:id="2"/>
      </w:r>
      <w:r>
        <w:rPr>
          <w:rFonts w:ascii="Times New Roman" w:eastAsia="Times New Roman" w:hAnsi="Times New Roman"/>
          <w:noProof/>
          <w:sz w:val="24"/>
          <w:szCs w:val="24"/>
          <w:lang w:val="bg-BG"/>
        </w:rPr>
        <w:t xml:space="preserve"> (</w:t>
      </w:r>
      <w:r>
        <w:rPr>
          <w:rFonts w:ascii="Times New Roman" w:hAnsi="Times New Roman"/>
          <w:noProof/>
          <w:sz w:val="24"/>
          <w:szCs w:val="24"/>
          <w:lang w:val="bg-BG"/>
        </w:rPr>
        <w:t>наричан по-нататък</w:t>
      </w:r>
      <w:r>
        <w:rPr>
          <w:rFonts w:ascii="Times New Roman" w:eastAsia="Times New Roman" w:hAnsi="Times New Roman"/>
          <w:noProof/>
          <w:sz w:val="24"/>
          <w:szCs w:val="24"/>
          <w:lang w:val="bg-BG"/>
        </w:rPr>
        <w:t xml:space="preserve"> „регламентът“) се определя набор от права на пътниците, които пътуват с автобус в Европейския съюз. Той започна да се прилага от 1 март 2013 г.</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 xml:space="preserve">Комисията представя настоящия доклад съгласно член 32 от регламента, в който се изисква тя да докладва на </w:t>
      </w:r>
      <w:r>
        <w:rPr>
          <w:rFonts w:ascii="Times New Roman" w:eastAsia="Times New Roman" w:hAnsi="Times New Roman"/>
          <w:noProof/>
          <w:sz w:val="24"/>
          <w:szCs w:val="24"/>
          <w:lang w:val="bg-BG"/>
        </w:rPr>
        <w:t>Европейския парламент и на Съвета относно функционирането и въздействието на регламента и при необходимост да отправя предложения за законодателство с цел по-точното изпълнение на разпоредбите на регламента или за изменението му.</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Докладът е изготвен въз ос</w:t>
      </w:r>
      <w:r>
        <w:rPr>
          <w:rFonts w:ascii="Times New Roman" w:eastAsia="Times New Roman" w:hAnsi="Times New Roman"/>
          <w:noProof/>
          <w:sz w:val="24"/>
          <w:szCs w:val="24"/>
          <w:lang w:val="bg-BG"/>
        </w:rPr>
        <w:t>нова на: данни за изпълнението и прилагането на регламента, събрани пряко от Комисията; доклади на националните органи относно прилагането на регламента</w:t>
      </w:r>
      <w:r>
        <w:rPr>
          <w:rStyle w:val="FootnoteReference"/>
          <w:noProof/>
          <w:lang w:val="bg-BG"/>
        </w:rPr>
        <w:footnoteReference w:id="3"/>
      </w:r>
      <w:r>
        <w:rPr>
          <w:rFonts w:ascii="Times New Roman" w:eastAsia="Times New Roman" w:hAnsi="Times New Roman"/>
          <w:noProof/>
          <w:sz w:val="24"/>
          <w:szCs w:val="24"/>
          <w:lang w:val="bg-BG"/>
        </w:rPr>
        <w:t>; консултации, проведени с органи, представляващи пътниците и отрасъла на европейско равнище</w:t>
      </w:r>
      <w:r>
        <w:rPr>
          <w:rStyle w:val="FootnoteReference"/>
          <w:noProof/>
          <w:lang w:val="bg-BG"/>
        </w:rPr>
        <w:footnoteReference w:id="4"/>
      </w:r>
      <w:r>
        <w:rPr>
          <w:rFonts w:ascii="Times New Roman" w:eastAsia="Times New Roman" w:hAnsi="Times New Roman"/>
          <w:noProof/>
          <w:sz w:val="24"/>
          <w:szCs w:val="24"/>
          <w:lang w:val="bg-BG"/>
        </w:rPr>
        <w:t>; и „Всеоб</w:t>
      </w:r>
      <w:r>
        <w:rPr>
          <w:rFonts w:ascii="Times New Roman" w:eastAsia="Times New Roman" w:hAnsi="Times New Roman"/>
          <w:noProof/>
          <w:sz w:val="24"/>
          <w:szCs w:val="24"/>
          <w:lang w:val="bg-BG"/>
        </w:rPr>
        <w:t>хватното проучване относно превоза с туристически автобуси на пътници в Европа“ — външно проучване, проведено по поръчка на Комисията през 2015 и 2016 г.</w:t>
      </w:r>
      <w:r>
        <w:rPr>
          <w:rStyle w:val="FootnoteReference"/>
          <w:rFonts w:ascii="Times New Roman" w:eastAsia="Times New Roman" w:hAnsi="Times New Roman"/>
          <w:noProof/>
          <w:sz w:val="24"/>
          <w:szCs w:val="24"/>
          <w:lang w:val="bg-BG"/>
        </w:rPr>
        <w:footnoteReference w:id="5"/>
      </w:r>
    </w:p>
    <w:p w:rsidR="00AE7119" w:rsidRDefault="00505082">
      <w:pPr>
        <w:keepNext/>
        <w:spacing w:after="240" w:line="240" w:lineRule="auto"/>
        <w:ind w:left="567" w:hanging="567"/>
        <w:jc w:val="both"/>
        <w:outlineLvl w:val="1"/>
        <w:rPr>
          <w:rFonts w:ascii="Times New Roman" w:eastAsia="Times New Roman" w:hAnsi="Times New Roman"/>
          <w:b/>
          <w:noProof/>
          <w:sz w:val="24"/>
          <w:szCs w:val="24"/>
          <w:lang w:val="bg-BG"/>
        </w:rPr>
      </w:pPr>
      <w:r>
        <w:rPr>
          <w:rFonts w:ascii="Times New Roman" w:eastAsia="Times New Roman" w:hAnsi="Times New Roman"/>
          <w:b/>
          <w:noProof/>
          <w:sz w:val="24"/>
          <w:szCs w:val="24"/>
          <w:lang w:val="bg-BG"/>
        </w:rPr>
        <w:t xml:space="preserve">1.2. </w:t>
      </w:r>
      <w:r>
        <w:rPr>
          <w:rFonts w:ascii="Times New Roman" w:eastAsia="Times New Roman" w:hAnsi="Times New Roman"/>
          <w:b/>
          <w:noProof/>
          <w:sz w:val="24"/>
          <w:szCs w:val="24"/>
          <w:lang w:val="bg-BG"/>
        </w:rPr>
        <w:tab/>
        <w:t>Значение и характеристики на сектора на автобусния транспорт в ЕС</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 xml:space="preserve">Автобусите са гъвкав вид </w:t>
      </w:r>
      <w:r>
        <w:rPr>
          <w:rFonts w:ascii="Times New Roman" w:eastAsia="Times New Roman" w:hAnsi="Times New Roman"/>
          <w:noProof/>
          <w:sz w:val="24"/>
          <w:szCs w:val="24"/>
          <w:lang w:val="bg-BG"/>
        </w:rPr>
        <w:t>транспорт и за разлика от влаковете или самолетите като цяло са в състояние да вземат и оставят пътници навсякъде по маршрута при наличието на минимална постоянна инфраструктура.</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Изразен в пътникокилометри, на автобусните превози се пада дял от 9,2 % от це</w:t>
      </w:r>
      <w:r>
        <w:rPr>
          <w:rFonts w:ascii="Times New Roman" w:eastAsia="Times New Roman" w:hAnsi="Times New Roman"/>
          <w:noProof/>
          <w:sz w:val="24"/>
          <w:szCs w:val="24"/>
          <w:lang w:val="bg-BG"/>
        </w:rPr>
        <w:t xml:space="preserve">лия сухопътен пътнически транспорт в ЕС и те са най-важното средство за сухопътен </w:t>
      </w:r>
      <w:r>
        <w:rPr>
          <w:rFonts w:ascii="Times New Roman" w:eastAsia="Times New Roman" w:hAnsi="Times New Roman"/>
          <w:noProof/>
          <w:sz w:val="24"/>
          <w:szCs w:val="24"/>
          <w:lang w:val="bg-BG"/>
        </w:rPr>
        <w:lastRenderedPageBreak/>
        <w:t>пътнически транспорт след личните автомобили (81,7 %)</w:t>
      </w:r>
      <w:r>
        <w:rPr>
          <w:rStyle w:val="FootnoteReference"/>
          <w:rFonts w:ascii="Times New Roman" w:eastAsia="Times New Roman" w:hAnsi="Times New Roman"/>
          <w:noProof/>
          <w:sz w:val="24"/>
          <w:szCs w:val="24"/>
          <w:lang w:val="bg-BG"/>
        </w:rPr>
        <w:footnoteReference w:id="6"/>
      </w:r>
      <w:r>
        <w:rPr>
          <w:rFonts w:ascii="Times New Roman" w:eastAsia="Times New Roman" w:hAnsi="Times New Roman"/>
          <w:noProof/>
          <w:sz w:val="24"/>
          <w:szCs w:val="24"/>
          <w:lang w:val="bg-BG"/>
        </w:rPr>
        <w:t>. Либерализацията на международния пазар на автобусните превози с туристически автобуси преди повече от десетилетие</w:t>
      </w:r>
      <w:r>
        <w:rPr>
          <w:rStyle w:val="FootnoteReference"/>
          <w:rFonts w:ascii="Times New Roman" w:eastAsia="Times New Roman" w:hAnsi="Times New Roman"/>
          <w:noProof/>
          <w:sz w:val="24"/>
          <w:szCs w:val="24"/>
          <w:lang w:val="bg-BG"/>
        </w:rPr>
        <w:footnoteReference w:id="7"/>
      </w:r>
      <w:r>
        <w:rPr>
          <w:rFonts w:ascii="Times New Roman" w:eastAsia="Times New Roman" w:hAnsi="Times New Roman"/>
          <w:noProof/>
          <w:sz w:val="24"/>
          <w:szCs w:val="24"/>
          <w:lang w:val="bg-BG"/>
        </w:rPr>
        <w:t xml:space="preserve"> и н</w:t>
      </w:r>
      <w:r>
        <w:rPr>
          <w:rFonts w:ascii="Times New Roman" w:eastAsia="Times New Roman" w:hAnsi="Times New Roman"/>
          <w:noProof/>
          <w:sz w:val="24"/>
          <w:szCs w:val="24"/>
          <w:lang w:val="bg-BG"/>
        </w:rPr>
        <w:t>еотдавнашната либерализация на вътрешните пазари на автобусни превози с туристически автобуси в няколко държави членки (включително Германия и Франция</w:t>
      </w:r>
      <w:r>
        <w:rPr>
          <w:rStyle w:val="FootnoteReference"/>
          <w:rFonts w:ascii="Times New Roman" w:eastAsia="Times New Roman" w:hAnsi="Times New Roman"/>
          <w:noProof/>
          <w:sz w:val="24"/>
          <w:szCs w:val="24"/>
          <w:lang w:val="bg-BG"/>
        </w:rPr>
        <w:footnoteReference w:id="8"/>
      </w:r>
      <w:r>
        <w:rPr>
          <w:rFonts w:ascii="Times New Roman" w:eastAsia="Times New Roman" w:hAnsi="Times New Roman"/>
          <w:noProof/>
          <w:sz w:val="24"/>
          <w:szCs w:val="24"/>
          <w:lang w:val="bg-BG"/>
        </w:rPr>
        <w:t xml:space="preserve">) доведе до стабилен растеж в сектора на автобусния транспорт с туристически автобуси. </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Автобусният транс</w:t>
      </w:r>
      <w:r>
        <w:rPr>
          <w:rFonts w:ascii="Times New Roman" w:eastAsia="Times New Roman" w:hAnsi="Times New Roman"/>
          <w:noProof/>
          <w:sz w:val="24"/>
          <w:szCs w:val="24"/>
          <w:lang w:val="bg-BG"/>
        </w:rPr>
        <w:t xml:space="preserve">порт се характеризира с редица специфични особености, които засягат както операторите, така и пътниците. </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За разлика от въздушния и железопътния транспорт секторите на автобусния транспорт се състоят предимно от малки и средни по размер предприятия, като а</w:t>
      </w:r>
      <w:r>
        <w:rPr>
          <w:rFonts w:ascii="Times New Roman" w:eastAsia="Times New Roman" w:hAnsi="Times New Roman"/>
          <w:noProof/>
          <w:sz w:val="24"/>
          <w:szCs w:val="24"/>
          <w:lang w:val="bg-BG"/>
        </w:rPr>
        <w:t>втобусите споделят пътната инфраструктура с други участници. Тези специфични характеристики са взети предвид в някои разпоредби, включени в регламента</w:t>
      </w:r>
      <w:r>
        <w:rPr>
          <w:rStyle w:val="FootnoteReference"/>
          <w:rFonts w:ascii="Times New Roman" w:eastAsia="Times New Roman" w:hAnsi="Times New Roman"/>
          <w:noProof/>
          <w:sz w:val="24"/>
          <w:szCs w:val="24"/>
          <w:lang w:val="bg-BG"/>
        </w:rPr>
        <w:footnoteReference w:id="9"/>
      </w:r>
      <w:r>
        <w:rPr>
          <w:rFonts w:ascii="Times New Roman" w:eastAsia="Times New Roman" w:hAnsi="Times New Roman"/>
          <w:noProof/>
          <w:sz w:val="24"/>
          <w:szCs w:val="24"/>
          <w:lang w:val="bg-BG"/>
        </w:rPr>
        <w:t xml:space="preserve">. </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Проучвания на национално равнище</w:t>
      </w:r>
      <w:r>
        <w:rPr>
          <w:rStyle w:val="FootnoteReference"/>
          <w:rFonts w:ascii="Times New Roman" w:eastAsia="Times New Roman" w:hAnsi="Times New Roman"/>
          <w:noProof/>
          <w:sz w:val="24"/>
          <w:szCs w:val="24"/>
          <w:lang w:val="bg-BG"/>
        </w:rPr>
        <w:footnoteReference w:id="10"/>
      </w:r>
      <w:r>
        <w:rPr>
          <w:rFonts w:ascii="Times New Roman" w:eastAsia="Times New Roman" w:hAnsi="Times New Roman"/>
          <w:noProof/>
          <w:sz w:val="24"/>
          <w:szCs w:val="24"/>
          <w:lang w:val="bg-BG"/>
        </w:rPr>
        <w:t>, проведени в няколко държави членки, показват, че пътниците, които и</w:t>
      </w:r>
      <w:r>
        <w:rPr>
          <w:rFonts w:ascii="Times New Roman" w:eastAsia="Times New Roman" w:hAnsi="Times New Roman"/>
          <w:noProof/>
          <w:sz w:val="24"/>
          <w:szCs w:val="24"/>
          <w:lang w:val="bg-BG"/>
        </w:rPr>
        <w:t>зползват този вид транспорт, обикновено са уязвими, тъй като те често са с ниски доходи (много висок процент от ползвателите на автобусен транспорт са учащи се или възрастни хора с малки пенсии) или живеят в изолирани географски райони, в които автобусният</w:t>
      </w:r>
      <w:r>
        <w:rPr>
          <w:rFonts w:ascii="Times New Roman" w:eastAsia="Times New Roman" w:hAnsi="Times New Roman"/>
          <w:noProof/>
          <w:sz w:val="24"/>
          <w:szCs w:val="24"/>
          <w:lang w:val="bg-BG"/>
        </w:rPr>
        <w:t xml:space="preserve"> транспорт е единственият наличен вид обществен транспорт. Пътниците често не притежават свидетелство за управление на моторно превозно средство или не притежават лек автомобил и поради това автобусните превози са важни за тях, за да могат да се придвижат </w:t>
      </w:r>
      <w:r>
        <w:rPr>
          <w:rFonts w:ascii="Times New Roman" w:eastAsia="Times New Roman" w:hAnsi="Times New Roman"/>
          <w:noProof/>
          <w:sz w:val="24"/>
          <w:szCs w:val="24"/>
          <w:lang w:val="bg-BG"/>
        </w:rPr>
        <w:t xml:space="preserve">до работното място или до училище, да посетят членове на семейството и приятели или да пътуват с цел отдих и туризъм. Ограниченият достъп до автобусен транспорт може сериозно да възпрепятства интеграцията им в обществото. </w:t>
      </w:r>
    </w:p>
    <w:p w:rsidR="00AE7119" w:rsidRDefault="00505082">
      <w:pPr>
        <w:keepNext/>
        <w:tabs>
          <w:tab w:val="left" w:pos="850"/>
        </w:tabs>
        <w:spacing w:after="240" w:line="240" w:lineRule="auto"/>
        <w:ind w:left="567" w:hanging="567"/>
        <w:jc w:val="both"/>
        <w:outlineLvl w:val="1"/>
        <w:rPr>
          <w:rFonts w:ascii="Times New Roman" w:eastAsia="Times New Roman" w:hAnsi="Times New Roman"/>
          <w:b/>
          <w:smallCaps/>
          <w:noProof/>
          <w:sz w:val="24"/>
          <w:szCs w:val="24"/>
          <w:lang w:val="bg-BG"/>
        </w:rPr>
      </w:pPr>
      <w:r>
        <w:rPr>
          <w:rFonts w:ascii="Times New Roman" w:eastAsia="Times New Roman" w:hAnsi="Times New Roman"/>
          <w:b/>
          <w:noProof/>
          <w:sz w:val="24"/>
          <w:szCs w:val="24"/>
          <w:lang w:val="bg-BG"/>
        </w:rPr>
        <w:t>2.</w:t>
      </w:r>
      <w:r>
        <w:rPr>
          <w:rFonts w:ascii="Times New Roman" w:eastAsia="Times New Roman" w:hAnsi="Times New Roman"/>
          <w:b/>
          <w:noProof/>
          <w:sz w:val="24"/>
          <w:szCs w:val="24"/>
          <w:lang w:val="bg-BG"/>
        </w:rPr>
        <w:tab/>
      </w:r>
      <w:r>
        <w:rPr>
          <w:rFonts w:ascii="Times New Roman" w:eastAsia="Times New Roman" w:hAnsi="Times New Roman"/>
          <w:b/>
          <w:smallCaps/>
          <w:noProof/>
          <w:sz w:val="24"/>
          <w:szCs w:val="24"/>
          <w:lang w:val="bg-BG"/>
        </w:rPr>
        <w:t>Обхват и съдържание на регламе</w:t>
      </w:r>
      <w:r>
        <w:rPr>
          <w:rFonts w:ascii="Times New Roman" w:eastAsia="Times New Roman" w:hAnsi="Times New Roman"/>
          <w:b/>
          <w:smallCaps/>
          <w:noProof/>
          <w:sz w:val="24"/>
          <w:szCs w:val="24"/>
          <w:lang w:val="bg-BG"/>
        </w:rPr>
        <w:t>нта</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ЕС прие законодателство относно правата на пътниците за всички видове транспорт (въздушен, железопътен, воден и автобусен транспорт), за да се предостави на членовете на широката общественост гарантирано минимално равнище на защита при пътуване в Европ</w:t>
      </w:r>
      <w:r>
        <w:rPr>
          <w:rFonts w:ascii="Times New Roman" w:eastAsia="Times New Roman" w:hAnsi="Times New Roman"/>
          <w:noProof/>
          <w:sz w:val="24"/>
          <w:szCs w:val="24"/>
          <w:lang w:val="bg-BG"/>
        </w:rPr>
        <w:t xml:space="preserve">а, и по този начин да се улеснят мобилността и социалната им </w:t>
      </w:r>
      <w:r>
        <w:rPr>
          <w:rFonts w:ascii="Times New Roman" w:eastAsia="Times New Roman" w:hAnsi="Times New Roman"/>
          <w:noProof/>
          <w:sz w:val="24"/>
          <w:szCs w:val="24"/>
          <w:lang w:val="bg-BG"/>
        </w:rPr>
        <w:lastRenderedPageBreak/>
        <w:t xml:space="preserve">интеграция. Наличието на общ набор от права на пътниците, гарантирани със закон за всеки от четирите вида транспорт (с разпоредби, отразяващи специфичните характеристики на всеки вид транспорт), </w:t>
      </w:r>
      <w:r>
        <w:rPr>
          <w:rFonts w:ascii="Times New Roman" w:eastAsia="Times New Roman" w:hAnsi="Times New Roman"/>
          <w:noProof/>
          <w:sz w:val="24"/>
          <w:szCs w:val="24"/>
          <w:lang w:val="bg-BG"/>
        </w:rPr>
        <w:t>също спомага за създаването на равнопоставеност между операторите в рамките на и между различните видове транспорт.</w:t>
      </w:r>
    </w:p>
    <w:p w:rsidR="00AE7119" w:rsidRDefault="00505082">
      <w:pPr>
        <w:spacing w:after="240" w:line="240" w:lineRule="auto"/>
        <w:jc w:val="both"/>
        <w:rPr>
          <w:rFonts w:ascii="Times New Roman" w:eastAsia="Times New Roman" w:hAnsi="Times New Roman"/>
          <w:i/>
          <w:noProof/>
          <w:color w:val="0D0D0D" w:themeColor="text1" w:themeTint="F2"/>
          <w:sz w:val="24"/>
          <w:szCs w:val="24"/>
          <w:lang w:val="bg-BG"/>
        </w:rPr>
      </w:pPr>
      <w:r>
        <w:rPr>
          <w:rFonts w:ascii="Times New Roman" w:eastAsia="Times New Roman" w:hAnsi="Times New Roman"/>
          <w:i/>
          <w:noProof/>
          <w:color w:val="0D0D0D" w:themeColor="text1" w:themeTint="F2"/>
          <w:sz w:val="24"/>
          <w:szCs w:val="24"/>
          <w:lang w:val="bg-BG"/>
        </w:rPr>
        <w:t>Обхват</w:t>
      </w:r>
    </w:p>
    <w:p w:rsidR="00AE7119" w:rsidRDefault="00505082">
      <w:pPr>
        <w:spacing w:after="240" w:line="240" w:lineRule="auto"/>
        <w:jc w:val="both"/>
        <w:rPr>
          <w:rFonts w:ascii="Times New Roman" w:eastAsia="Times New Roman" w:hAnsi="Times New Roman"/>
          <w:noProof/>
          <w:color w:val="0D0D0D" w:themeColor="text1" w:themeTint="F2"/>
          <w:sz w:val="24"/>
          <w:szCs w:val="24"/>
          <w:lang w:val="bg-BG"/>
        </w:rPr>
      </w:pPr>
      <w:r>
        <w:rPr>
          <w:rFonts w:ascii="Times New Roman" w:eastAsia="Times New Roman" w:hAnsi="Times New Roman"/>
          <w:noProof/>
          <w:color w:val="0D0D0D" w:themeColor="text1" w:themeTint="F2"/>
          <w:sz w:val="24"/>
          <w:szCs w:val="24"/>
          <w:lang w:val="bg-BG"/>
        </w:rPr>
        <w:t xml:space="preserve">Като цяло регламентът се прилага за „редовни превози“ (услуги, извършвани </w:t>
      </w:r>
      <w:r>
        <w:rPr>
          <w:rFonts w:ascii="Times New Roman" w:eastAsia="Times New Roman" w:hAnsi="Times New Roman"/>
          <w:noProof/>
          <w:sz w:val="24"/>
          <w:szCs w:val="24"/>
          <w:lang w:val="bg-BG"/>
        </w:rPr>
        <w:t>с определена честота по определени маршрути, като пътниците</w:t>
      </w:r>
      <w:r>
        <w:rPr>
          <w:rFonts w:ascii="Times New Roman" w:eastAsia="Times New Roman" w:hAnsi="Times New Roman"/>
          <w:noProof/>
          <w:sz w:val="24"/>
          <w:szCs w:val="24"/>
          <w:lang w:val="bg-BG"/>
        </w:rPr>
        <w:t xml:space="preserve"> се качват и слизат на предварително определени места за спиране), които не са предназначени за определени категории пътници, когато точката на качване или слизане на пътниците се намира на територията на някоя държава членка</w:t>
      </w:r>
      <w:r>
        <w:rPr>
          <w:rStyle w:val="FootnoteReference"/>
          <w:rFonts w:ascii="Times New Roman" w:eastAsia="Times New Roman" w:hAnsi="Times New Roman"/>
          <w:noProof/>
          <w:color w:val="0D0D0D" w:themeColor="text1" w:themeTint="F2"/>
          <w:sz w:val="24"/>
          <w:szCs w:val="24"/>
          <w:lang w:val="bg-BG"/>
        </w:rPr>
        <w:footnoteReference w:id="11"/>
      </w:r>
      <w:r>
        <w:rPr>
          <w:rFonts w:ascii="Times New Roman" w:eastAsia="Times New Roman" w:hAnsi="Times New Roman"/>
          <w:noProof/>
          <w:color w:val="0D0D0D" w:themeColor="text1" w:themeTint="F2"/>
          <w:sz w:val="24"/>
          <w:szCs w:val="24"/>
          <w:lang w:val="bg-BG"/>
        </w:rPr>
        <w:t>.</w:t>
      </w:r>
    </w:p>
    <w:p w:rsidR="00AE7119" w:rsidRDefault="00505082">
      <w:pPr>
        <w:spacing w:after="240" w:line="240" w:lineRule="auto"/>
        <w:jc w:val="both"/>
        <w:rPr>
          <w:rFonts w:ascii="Times New Roman" w:eastAsia="Times New Roman" w:hAnsi="Times New Roman"/>
          <w:i/>
          <w:noProof/>
          <w:color w:val="0D0D0D" w:themeColor="text1" w:themeTint="F2"/>
          <w:sz w:val="24"/>
          <w:szCs w:val="24"/>
          <w:lang w:val="bg-BG"/>
        </w:rPr>
      </w:pPr>
      <w:r>
        <w:rPr>
          <w:rFonts w:ascii="Times New Roman" w:eastAsia="Times New Roman" w:hAnsi="Times New Roman"/>
          <w:i/>
          <w:noProof/>
          <w:color w:val="0D0D0D" w:themeColor="text1" w:themeTint="F2"/>
          <w:sz w:val="24"/>
          <w:szCs w:val="24"/>
          <w:lang w:val="bg-BG"/>
        </w:rPr>
        <w:t>Съдържание</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 xml:space="preserve">Пътниците, които </w:t>
      </w:r>
      <w:r>
        <w:rPr>
          <w:rFonts w:ascii="Times New Roman" w:eastAsia="Times New Roman" w:hAnsi="Times New Roman"/>
          <w:noProof/>
          <w:sz w:val="24"/>
          <w:szCs w:val="24"/>
          <w:lang w:val="bg-BG"/>
        </w:rPr>
        <w:t>пътуват с някакъв вид редовен превоз, независимо от разстоянието на превоза по разписание, се ползват със следните основни права:</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1) недискриминиращи условия на превоз (по-специално недискриминираши тарифи);</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2) достъп до превоз за лица с увреждания или с н</w:t>
      </w:r>
      <w:r>
        <w:rPr>
          <w:rFonts w:ascii="Times New Roman" w:eastAsia="Times New Roman" w:hAnsi="Times New Roman"/>
          <w:noProof/>
          <w:sz w:val="24"/>
          <w:szCs w:val="24"/>
          <w:lang w:val="bg-BG"/>
        </w:rPr>
        <w:t>амалена подвижност без допълнителни разходи (превозвачите могат да откажат превоз на пътници с увреждания само ако превозването им е физически невъзможно предвид конструкцията на превозното средство, автобусната спирка или инфраструктурата на автогарата, и</w:t>
      </w:r>
      <w:r>
        <w:rPr>
          <w:rFonts w:ascii="Times New Roman" w:eastAsia="Times New Roman" w:hAnsi="Times New Roman"/>
          <w:noProof/>
          <w:sz w:val="24"/>
          <w:szCs w:val="24"/>
          <w:lang w:val="bg-BG"/>
        </w:rPr>
        <w:t>ли ако превозването им би нарушило изискванията за здраве и безопасност);</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3) минимално задължителни правила относно информацията за пътуването, предоставена на всички пътници преди и по време на тяхното пътуване, включително информация относно правата им;</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 xml:space="preserve">4) механизъм за разглеждане на жалби, достъп до който превозвачите трябва да предоставят на всички пътници; и </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5) независими национални правоприлагащи органи във всяка държава членка с мандат да прилагат регламента и да налагат наказания, когато е уместно.</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 xml:space="preserve">Пътниците се ползват и със следните допълнителни права, когато пътуват с редовни превози, при които разстоянието на превоза по разписание е 250 </w:t>
      </w:r>
      <w:r>
        <w:rPr>
          <w:rFonts w:ascii="Times New Roman" w:eastAsia="Times New Roman" w:hAnsi="Times New Roman"/>
          <w:noProof/>
          <w:sz w:val="24"/>
          <w:szCs w:val="24"/>
          <w:lang w:val="en-US"/>
        </w:rPr>
        <w:t>km</w:t>
      </w:r>
      <w:r>
        <w:rPr>
          <w:rFonts w:ascii="Times New Roman" w:eastAsia="Times New Roman" w:hAnsi="Times New Roman"/>
          <w:noProof/>
          <w:sz w:val="24"/>
          <w:szCs w:val="24"/>
          <w:lang w:val="bg-BG"/>
        </w:rPr>
        <w:t xml:space="preserve"> или повече:</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 xml:space="preserve">6) предоставяне на билети (електронни или хартиени) или друг документ, даващ право на превоз; </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7</w:t>
      </w:r>
      <w:r>
        <w:rPr>
          <w:rFonts w:ascii="Times New Roman" w:eastAsia="Times New Roman" w:hAnsi="Times New Roman"/>
          <w:noProof/>
          <w:sz w:val="24"/>
          <w:szCs w:val="24"/>
          <w:lang w:val="bg-BG"/>
        </w:rPr>
        <w:t>) обезщетение и помощ в случай на смърт, нараняване, загуба или повреда на багаж вследствие на злополука;</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lastRenderedPageBreak/>
        <w:t xml:space="preserve">8) информация, ако услугата за превоз е отменена или има закъснение при заминаване;  </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9) право на възстановяване на пълната цена на билета или пренасо</w:t>
      </w:r>
      <w:r>
        <w:rPr>
          <w:rFonts w:ascii="Times New Roman" w:eastAsia="Times New Roman" w:hAnsi="Times New Roman"/>
          <w:noProof/>
          <w:sz w:val="24"/>
          <w:szCs w:val="24"/>
          <w:lang w:val="bg-BG"/>
        </w:rPr>
        <w:t>чване в случай на отмяна или значително закъснение при заминаване;</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10) подходяща помощ в случай на отмяна или значително закъснение (прилага се само когато по разписание пътуването продължава повече от 3 часа);</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 xml:space="preserve">11) обезщетение в размер на 50 % от цената на билета, ако превозвачът не предложи на пътника избор между възстановяване на цената на билета и пренасочване, когато има отмяна или значително закъснение на превоза; и </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 xml:space="preserve">12) специфична помощ без допълнителни </w:t>
      </w:r>
      <w:r>
        <w:rPr>
          <w:rFonts w:ascii="Times New Roman" w:eastAsia="Times New Roman" w:hAnsi="Times New Roman"/>
          <w:noProof/>
          <w:sz w:val="24"/>
          <w:szCs w:val="24"/>
          <w:lang w:val="bg-BG"/>
        </w:rPr>
        <w:t>разходи за лицата с увреждания или с намалена подвижност както на автогарите, така и на борда на превозното средство.</w:t>
      </w:r>
    </w:p>
    <w:p w:rsidR="00AE7119" w:rsidRDefault="00505082">
      <w:pPr>
        <w:spacing w:after="240" w:line="240" w:lineRule="auto"/>
        <w:jc w:val="both"/>
        <w:rPr>
          <w:rFonts w:ascii="Times New Roman" w:eastAsia="Times New Roman" w:hAnsi="Times New Roman"/>
          <w:i/>
          <w:noProof/>
          <w:sz w:val="24"/>
          <w:szCs w:val="24"/>
          <w:lang w:val="bg-BG"/>
        </w:rPr>
      </w:pPr>
      <w:r>
        <w:rPr>
          <w:rFonts w:ascii="Times New Roman" w:eastAsia="Times New Roman" w:hAnsi="Times New Roman"/>
          <w:i/>
          <w:noProof/>
          <w:sz w:val="24"/>
          <w:szCs w:val="24"/>
          <w:lang w:val="bg-BG"/>
        </w:rPr>
        <w:t>Освобождаване от обхвата на регламента</w:t>
      </w:r>
      <w:r>
        <w:rPr>
          <w:rStyle w:val="FootnoteReference"/>
          <w:rFonts w:ascii="Times New Roman" w:eastAsia="Times New Roman" w:hAnsi="Times New Roman"/>
          <w:i/>
          <w:noProof/>
          <w:sz w:val="24"/>
          <w:szCs w:val="24"/>
          <w:lang w:val="bg-BG"/>
        </w:rPr>
        <w:footnoteReference w:id="12"/>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Държавите членки могат да предоставят освобождаване от неосновните права по отношение на редовни п</w:t>
      </w:r>
      <w:r>
        <w:rPr>
          <w:rFonts w:ascii="Times New Roman" w:eastAsia="Times New Roman" w:hAnsi="Times New Roman"/>
          <w:noProof/>
          <w:sz w:val="24"/>
          <w:szCs w:val="24"/>
          <w:lang w:val="bg-BG"/>
        </w:rPr>
        <w:t>ревози, които са изцяло вътрешни редовни превози, за срок до четири години (който изтича най-късно на 28 февруари 2017 г.), което може да бъде подновено еднократно. Такова освобождаване трябва да бъде предоставено на прозрачна и недискриминираща основа. По</w:t>
      </w:r>
      <w:r>
        <w:rPr>
          <w:rFonts w:ascii="Times New Roman" w:eastAsia="Times New Roman" w:hAnsi="Times New Roman"/>
          <w:noProof/>
          <w:sz w:val="24"/>
          <w:szCs w:val="24"/>
          <w:lang w:val="bg-BG"/>
        </w:rPr>
        <w:t xml:space="preserve">настоящем общо 12 държави членки (Хърватия, Чешката република, Естония, Гърция, Унгария, Латвия, Нидерландия, Португалия, Румъния, Словакия, Словения и Обединеното кралство) прилагат освобождавания от този вид. </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Държавите членки могат да предоставят и осво</w:t>
      </w:r>
      <w:r>
        <w:rPr>
          <w:rFonts w:ascii="Times New Roman" w:eastAsia="Times New Roman" w:hAnsi="Times New Roman"/>
          <w:noProof/>
          <w:sz w:val="24"/>
          <w:szCs w:val="24"/>
          <w:lang w:val="bg-BG"/>
        </w:rPr>
        <w:t>бождаване от прилагането на целия регламент по отношение на редовни превози, когато значителна част от превоза (включително най-малко една спирка по разписание) се извършва извън ЕС. Такова освобождаване, което трябва да бъде предоставено на прозрачна и не</w:t>
      </w:r>
      <w:r>
        <w:rPr>
          <w:rFonts w:ascii="Times New Roman" w:eastAsia="Times New Roman" w:hAnsi="Times New Roman"/>
          <w:noProof/>
          <w:sz w:val="24"/>
          <w:szCs w:val="24"/>
          <w:lang w:val="bg-BG"/>
        </w:rPr>
        <w:t>дискриминираща основа, изтича най-късно на 28 февруари 2017 г. и може да бъде подновено еднократно. Понастоящем общо 13 държави членки (Австрия, Хърватия, Естония, Финландия, Германия, Гърция, Унгария, Италия, Латвия, Нидерландия, Словакия, Словения и Обед</w:t>
      </w:r>
      <w:r>
        <w:rPr>
          <w:rFonts w:ascii="Times New Roman" w:eastAsia="Times New Roman" w:hAnsi="Times New Roman"/>
          <w:noProof/>
          <w:sz w:val="24"/>
          <w:szCs w:val="24"/>
          <w:lang w:val="bg-BG"/>
        </w:rPr>
        <w:t xml:space="preserve">иненото кралство) прилагат освобождавания от този вид. </w:t>
      </w:r>
    </w:p>
    <w:p w:rsidR="00AE7119" w:rsidRDefault="00505082">
      <w:pPr>
        <w:spacing w:after="240" w:line="240" w:lineRule="auto"/>
        <w:jc w:val="both"/>
        <w:rPr>
          <w:rFonts w:ascii="Times New Roman" w:eastAsia="Times New Roman" w:hAnsi="Times New Roman"/>
          <w:i/>
          <w:noProof/>
          <w:sz w:val="24"/>
          <w:szCs w:val="24"/>
          <w:lang w:val="bg-BG"/>
        </w:rPr>
      </w:pPr>
      <w:r>
        <w:rPr>
          <w:rFonts w:ascii="Times New Roman" w:eastAsia="Times New Roman" w:hAnsi="Times New Roman"/>
          <w:i/>
          <w:noProof/>
          <w:sz w:val="24"/>
          <w:szCs w:val="24"/>
          <w:lang w:val="bg-BG"/>
        </w:rPr>
        <w:t>Друго законодателство на ЕС, приложимо по отношение на пътниците в автобусния транспорт</w:t>
      </w:r>
    </w:p>
    <w:p w:rsidR="00AE7119" w:rsidRDefault="00505082">
      <w:pPr>
        <w:spacing w:after="240" w:line="240" w:lineRule="auto"/>
        <w:jc w:val="both"/>
        <w:rPr>
          <w:rFonts w:ascii="Times New Roman" w:eastAsia="Times New Roman" w:hAnsi="Times New Roman"/>
          <w:noProof/>
          <w:color w:val="0D0D0D" w:themeColor="text1" w:themeTint="F2"/>
          <w:sz w:val="24"/>
          <w:szCs w:val="24"/>
          <w:lang w:val="bg-BG"/>
        </w:rPr>
      </w:pPr>
      <w:r>
        <w:rPr>
          <w:rFonts w:ascii="Times New Roman" w:eastAsia="Times New Roman" w:hAnsi="Times New Roman"/>
          <w:noProof/>
          <w:color w:val="0D0D0D" w:themeColor="text1" w:themeTint="F2"/>
          <w:sz w:val="24"/>
          <w:szCs w:val="24"/>
          <w:lang w:val="bg-BG"/>
        </w:rPr>
        <w:t>Пътниците, които пътуват с автобус като част от пакетно пътуване, се ползват с допълнителни права съгласно Дирек</w:t>
      </w:r>
      <w:r>
        <w:rPr>
          <w:rFonts w:ascii="Times New Roman" w:eastAsia="Times New Roman" w:hAnsi="Times New Roman"/>
          <w:noProof/>
          <w:color w:val="0D0D0D" w:themeColor="text1" w:themeTint="F2"/>
          <w:sz w:val="24"/>
          <w:szCs w:val="24"/>
          <w:lang w:val="bg-BG"/>
        </w:rPr>
        <w:t>тива (ЕС) № 2015/2302</w:t>
      </w:r>
      <w:r>
        <w:rPr>
          <w:rStyle w:val="FootnoteReference"/>
          <w:rFonts w:ascii="Times New Roman" w:eastAsia="Times New Roman" w:hAnsi="Times New Roman"/>
          <w:noProof/>
          <w:color w:val="0D0D0D" w:themeColor="text1" w:themeTint="F2"/>
          <w:sz w:val="24"/>
          <w:szCs w:val="24"/>
          <w:lang w:val="bg-BG"/>
        </w:rPr>
        <w:footnoteReference w:id="13"/>
      </w:r>
      <w:r>
        <w:rPr>
          <w:rFonts w:ascii="Times New Roman" w:eastAsia="Times New Roman" w:hAnsi="Times New Roman"/>
          <w:noProof/>
          <w:color w:val="0D0D0D" w:themeColor="text1" w:themeTint="F2"/>
          <w:sz w:val="24"/>
          <w:szCs w:val="24"/>
          <w:lang w:val="bg-BG"/>
        </w:rPr>
        <w:t>.</w:t>
      </w:r>
    </w:p>
    <w:p w:rsidR="00AE7119" w:rsidRDefault="00505082">
      <w:pPr>
        <w:spacing w:after="240" w:line="240" w:lineRule="auto"/>
        <w:jc w:val="both"/>
        <w:rPr>
          <w:rFonts w:ascii="Times New Roman" w:eastAsia="Times New Roman" w:hAnsi="Times New Roman"/>
          <w:noProof/>
          <w:color w:val="0D0D0D" w:themeColor="text1" w:themeTint="F2"/>
          <w:sz w:val="24"/>
          <w:szCs w:val="24"/>
          <w:lang w:val="bg-BG"/>
        </w:rPr>
      </w:pPr>
      <w:r>
        <w:rPr>
          <w:rFonts w:ascii="Times New Roman" w:eastAsia="Times New Roman" w:hAnsi="Times New Roman"/>
          <w:noProof/>
          <w:color w:val="0D0D0D" w:themeColor="text1" w:themeTint="F2"/>
          <w:sz w:val="24"/>
          <w:szCs w:val="24"/>
          <w:lang w:val="bg-BG"/>
        </w:rPr>
        <w:lastRenderedPageBreak/>
        <w:t>В Регламент (ЕО) № 661/2009</w:t>
      </w:r>
      <w:r>
        <w:rPr>
          <w:rStyle w:val="FootnoteReference"/>
          <w:rFonts w:ascii="Times New Roman" w:eastAsia="Times New Roman" w:hAnsi="Times New Roman"/>
          <w:noProof/>
          <w:color w:val="0D0D0D" w:themeColor="text1" w:themeTint="F2"/>
          <w:sz w:val="24"/>
          <w:szCs w:val="24"/>
          <w:lang w:val="bg-BG"/>
        </w:rPr>
        <w:footnoteReference w:id="14"/>
      </w:r>
      <w:r>
        <w:rPr>
          <w:rFonts w:ascii="Times New Roman" w:eastAsia="Times New Roman" w:hAnsi="Times New Roman"/>
          <w:noProof/>
          <w:color w:val="0D0D0D" w:themeColor="text1" w:themeTint="F2"/>
          <w:sz w:val="24"/>
          <w:szCs w:val="24"/>
          <w:lang w:val="bg-BG"/>
        </w:rPr>
        <w:t xml:space="preserve"> се определят изискванията за достъпност, на които трябва да отговарят всички нови автобуси с оглед разрешаване на тяхната продажба, регистрация или пускане в експлоатация в ЕС. </w:t>
      </w:r>
    </w:p>
    <w:p w:rsidR="00AE7119" w:rsidRDefault="00505082">
      <w:pPr>
        <w:spacing w:after="240" w:line="240" w:lineRule="auto"/>
        <w:jc w:val="both"/>
        <w:rPr>
          <w:rFonts w:ascii="Times New Roman" w:eastAsia="Times New Roman" w:hAnsi="Times New Roman"/>
          <w:noProof/>
          <w:color w:val="0D0D0D" w:themeColor="text1" w:themeTint="F2"/>
          <w:sz w:val="24"/>
          <w:szCs w:val="24"/>
          <w:lang w:val="bg-BG"/>
        </w:rPr>
      </w:pPr>
      <w:r>
        <w:rPr>
          <w:rFonts w:ascii="Times New Roman" w:eastAsia="Times New Roman" w:hAnsi="Times New Roman"/>
          <w:noProof/>
          <w:color w:val="0D0D0D" w:themeColor="text1" w:themeTint="F2"/>
          <w:sz w:val="24"/>
          <w:szCs w:val="24"/>
          <w:lang w:val="bg-BG"/>
        </w:rPr>
        <w:t>Значителна част от автобу</w:t>
      </w:r>
      <w:r>
        <w:rPr>
          <w:rFonts w:ascii="Times New Roman" w:eastAsia="Times New Roman" w:hAnsi="Times New Roman"/>
          <w:noProof/>
          <w:color w:val="0D0D0D" w:themeColor="text1" w:themeTint="F2"/>
          <w:sz w:val="24"/>
          <w:szCs w:val="24"/>
          <w:lang w:val="bg-BG"/>
        </w:rPr>
        <w:t>сния транспорт се осъществява в рамките на Общността: пътниците пътуват или с трансгранични превози, или с вътрешни превози извън своята държава членка. С цел да се защитят интересите на тези пътници в Регламент (ЕО) № 2006/2004</w:t>
      </w:r>
      <w:r>
        <w:rPr>
          <w:rStyle w:val="FootnoteReference"/>
          <w:rFonts w:ascii="Times New Roman" w:eastAsia="Times New Roman" w:hAnsi="Times New Roman"/>
          <w:noProof/>
          <w:color w:val="0D0D0D" w:themeColor="text1" w:themeTint="F2"/>
          <w:sz w:val="24"/>
          <w:szCs w:val="24"/>
          <w:lang w:val="bg-BG"/>
        </w:rPr>
        <w:footnoteReference w:id="15"/>
      </w:r>
      <w:r>
        <w:rPr>
          <w:rFonts w:ascii="Times New Roman" w:eastAsia="Times New Roman" w:hAnsi="Times New Roman"/>
          <w:noProof/>
          <w:color w:val="0D0D0D" w:themeColor="text1" w:themeTint="F2"/>
          <w:sz w:val="24"/>
          <w:szCs w:val="24"/>
          <w:lang w:val="bg-BG"/>
        </w:rPr>
        <w:t xml:space="preserve"> се предвижда подходяща рам</w:t>
      </w:r>
      <w:r>
        <w:rPr>
          <w:rFonts w:ascii="Times New Roman" w:eastAsia="Times New Roman" w:hAnsi="Times New Roman"/>
          <w:noProof/>
          <w:color w:val="0D0D0D" w:themeColor="text1" w:themeTint="F2"/>
          <w:sz w:val="24"/>
          <w:szCs w:val="24"/>
          <w:lang w:val="bg-BG"/>
        </w:rPr>
        <w:t xml:space="preserve">ка, в чийто обхват националните </w:t>
      </w:r>
      <w:r>
        <w:rPr>
          <w:rFonts w:ascii="Times New Roman" w:eastAsia="Times New Roman" w:hAnsi="Times New Roman"/>
          <w:noProof/>
          <w:sz w:val="24"/>
          <w:szCs w:val="24"/>
          <w:lang w:val="bg-BG"/>
        </w:rPr>
        <w:t>правоприлагащи органи</w:t>
      </w:r>
      <w:r>
        <w:rPr>
          <w:rFonts w:ascii="Times New Roman" w:eastAsia="Times New Roman" w:hAnsi="Times New Roman"/>
          <w:noProof/>
          <w:color w:val="0D0D0D" w:themeColor="text1" w:themeTint="F2"/>
          <w:sz w:val="24"/>
          <w:szCs w:val="24"/>
          <w:lang w:val="bg-BG"/>
        </w:rPr>
        <w:t xml:space="preserve"> могат да си сътрудничат и да защитават колективния интерес на потребителите в трансграничен контекст. </w:t>
      </w:r>
    </w:p>
    <w:p w:rsidR="00AE7119" w:rsidRDefault="00505082">
      <w:pPr>
        <w:keepNext/>
        <w:spacing w:after="240" w:line="240" w:lineRule="auto"/>
        <w:ind w:left="567" w:hanging="567"/>
        <w:jc w:val="both"/>
        <w:outlineLvl w:val="1"/>
        <w:rPr>
          <w:rFonts w:ascii="Times New Roman" w:eastAsia="Times New Roman" w:hAnsi="Times New Roman"/>
          <w:b/>
          <w:smallCaps/>
          <w:noProof/>
          <w:sz w:val="24"/>
          <w:szCs w:val="24"/>
          <w:lang w:val="bg-BG"/>
        </w:rPr>
      </w:pPr>
      <w:r>
        <w:rPr>
          <w:rFonts w:ascii="Times New Roman" w:eastAsia="Times New Roman" w:hAnsi="Times New Roman"/>
          <w:b/>
          <w:smallCaps/>
          <w:noProof/>
          <w:sz w:val="24"/>
          <w:szCs w:val="24"/>
          <w:lang w:val="bg-BG"/>
        </w:rPr>
        <w:t>3.</w:t>
      </w:r>
      <w:r>
        <w:rPr>
          <w:rFonts w:ascii="Times New Roman" w:eastAsia="Times New Roman" w:hAnsi="Times New Roman"/>
          <w:b/>
          <w:smallCaps/>
          <w:noProof/>
          <w:sz w:val="24"/>
          <w:szCs w:val="24"/>
          <w:lang w:val="bg-BG"/>
        </w:rPr>
        <w:tab/>
        <w:t>Прилагане на регламента от държавите членки</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Регламентът изисква от държавите членки да определят</w:t>
      </w:r>
      <w:r>
        <w:rPr>
          <w:rFonts w:ascii="Times New Roman" w:eastAsia="Times New Roman" w:hAnsi="Times New Roman"/>
          <w:noProof/>
          <w:sz w:val="24"/>
          <w:szCs w:val="24"/>
          <w:lang w:val="bg-BG"/>
        </w:rPr>
        <w:t xml:space="preserve"> национални правоприлагащи органи (НППО), които да отговарят за прилагането на регламента и за определянето на ефективни, пропорционални и възпиращи наказания в своите национални законодателства за санкциониране на операторите, които нарушават регламента. </w:t>
      </w:r>
      <w:r>
        <w:rPr>
          <w:rFonts w:ascii="Times New Roman" w:eastAsia="Times New Roman" w:hAnsi="Times New Roman"/>
          <w:noProof/>
          <w:sz w:val="24"/>
          <w:szCs w:val="24"/>
          <w:lang w:val="bg-BG"/>
        </w:rPr>
        <w:t>От държавите членки също така се изисква да определят автогари, на които пътниците с увреждания или с намалена подвижност могат да получат подходяща помощ.</w:t>
      </w:r>
    </w:p>
    <w:p w:rsidR="00AE7119" w:rsidRDefault="00505082">
      <w:pPr>
        <w:spacing w:after="240" w:line="240" w:lineRule="auto"/>
        <w:jc w:val="both"/>
        <w:rPr>
          <w:rFonts w:ascii="Times New Roman" w:eastAsia="Times New Roman" w:hAnsi="Times New Roman"/>
          <w:b/>
          <w:i/>
          <w:noProof/>
          <w:sz w:val="24"/>
          <w:szCs w:val="24"/>
          <w:lang w:val="bg-BG"/>
        </w:rPr>
      </w:pPr>
      <w:r>
        <w:rPr>
          <w:rFonts w:ascii="Times New Roman" w:eastAsia="Times New Roman" w:hAnsi="Times New Roman"/>
          <w:b/>
          <w:i/>
          <w:noProof/>
          <w:sz w:val="24"/>
          <w:szCs w:val="24"/>
          <w:lang w:val="bg-BG"/>
        </w:rPr>
        <w:t>Определяне на НППО</w:t>
      </w:r>
      <w:r>
        <w:rPr>
          <w:rStyle w:val="FootnoteReference"/>
          <w:rFonts w:ascii="Times New Roman" w:eastAsia="Times New Roman" w:hAnsi="Times New Roman"/>
          <w:b/>
          <w:i/>
          <w:noProof/>
          <w:sz w:val="24"/>
          <w:szCs w:val="24"/>
          <w:lang w:val="bg-BG"/>
        </w:rPr>
        <w:footnoteReference w:id="16"/>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Повечето държави членки са определили НППО, които преди това са били отговорни з</w:t>
      </w:r>
      <w:r>
        <w:rPr>
          <w:rFonts w:ascii="Times New Roman" w:eastAsia="Times New Roman" w:hAnsi="Times New Roman"/>
          <w:noProof/>
          <w:sz w:val="24"/>
          <w:szCs w:val="24"/>
          <w:lang w:val="bg-BG"/>
        </w:rPr>
        <w:t xml:space="preserve">а правата на пътниците в други видове транспорт. НППО са или транспортни органи, или органи за защита на потребителите. Някои държави членки определят няколко НППО: даден орган за защита на потребителите често е отговорен за разглеждане на жалбите, докато </w:t>
      </w:r>
      <w:r>
        <w:rPr>
          <w:rFonts w:ascii="Times New Roman" w:eastAsia="Times New Roman" w:hAnsi="Times New Roman"/>
          <w:noProof/>
          <w:sz w:val="24"/>
          <w:szCs w:val="24"/>
          <w:lang w:val="bg-BG"/>
        </w:rPr>
        <w:t>даден транспортен орган извършва инспекции, налага санкции и следи за достъпността на превозните средства и автогарите за пътниците с увреждания. Повечето държави членки са определили правоприлагащи органи само на национално равнище, но има малък брой държ</w:t>
      </w:r>
      <w:r>
        <w:rPr>
          <w:rFonts w:ascii="Times New Roman" w:eastAsia="Times New Roman" w:hAnsi="Times New Roman"/>
          <w:noProof/>
          <w:sz w:val="24"/>
          <w:szCs w:val="24"/>
          <w:lang w:val="bg-BG"/>
        </w:rPr>
        <w:t xml:space="preserve">ави членки, в които регионалните органи също играят важна роля при прилагането на регламента. </w:t>
      </w:r>
    </w:p>
    <w:p w:rsidR="00AE7119" w:rsidRDefault="00505082">
      <w:pPr>
        <w:spacing w:after="240" w:line="240" w:lineRule="auto"/>
        <w:jc w:val="both"/>
        <w:rPr>
          <w:rFonts w:ascii="Times New Roman" w:eastAsia="Times New Roman" w:hAnsi="Times New Roman"/>
          <w:b/>
          <w:i/>
          <w:noProof/>
          <w:sz w:val="24"/>
          <w:szCs w:val="24"/>
          <w:lang w:val="bg-BG"/>
        </w:rPr>
      </w:pPr>
      <w:r>
        <w:rPr>
          <w:rFonts w:ascii="Times New Roman" w:eastAsia="Times New Roman" w:hAnsi="Times New Roman"/>
          <w:b/>
          <w:i/>
          <w:noProof/>
          <w:sz w:val="24"/>
          <w:szCs w:val="24"/>
          <w:lang w:val="bg-BG"/>
        </w:rPr>
        <w:t>Разглеждане на жалби</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Пътниците могат да подават жалби до превозвача (регламентът задължава превозвачите да поддържат механизъм за разглеждане на жалби) или до НП</w:t>
      </w:r>
      <w:r>
        <w:rPr>
          <w:rFonts w:ascii="Times New Roman" w:eastAsia="Times New Roman" w:hAnsi="Times New Roman"/>
          <w:noProof/>
          <w:sz w:val="24"/>
          <w:szCs w:val="24"/>
          <w:lang w:val="bg-BG"/>
        </w:rPr>
        <w:t xml:space="preserve">ПО за предполагаеми нарушения на регламента. </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 xml:space="preserve">Регламентът не определя хронологичен ред, по който трябва да бъдат подавани жалбите, но позволява на държавите членки да изискват от пътниците да подават своите жалби първо до превозвача, като </w:t>
      </w:r>
      <w:r>
        <w:rPr>
          <w:rFonts w:ascii="Times New Roman" w:hAnsi="Times New Roman"/>
          <w:noProof/>
          <w:sz w:val="24"/>
          <w:szCs w:val="24"/>
          <w:lang w:val="bg-BG"/>
        </w:rPr>
        <w:t xml:space="preserve">ролята на НППО е </w:t>
      </w:r>
      <w:r>
        <w:rPr>
          <w:rFonts w:ascii="Times New Roman" w:hAnsi="Times New Roman"/>
          <w:noProof/>
          <w:sz w:val="24"/>
          <w:szCs w:val="24"/>
          <w:lang w:val="bg-BG"/>
        </w:rPr>
        <w:t xml:space="preserve">само на орган, пред когото </w:t>
      </w:r>
      <w:r>
        <w:rPr>
          <w:rFonts w:ascii="Times New Roman" w:hAnsi="Times New Roman"/>
          <w:noProof/>
          <w:sz w:val="24"/>
          <w:szCs w:val="24"/>
          <w:lang w:val="bg-BG"/>
        </w:rPr>
        <w:lastRenderedPageBreak/>
        <w:t>пътниците да обжалват, ако не са удовлетворени от отговора</w:t>
      </w:r>
      <w:r>
        <w:rPr>
          <w:rFonts w:ascii="Times New Roman" w:eastAsia="Times New Roman" w:hAnsi="Times New Roman"/>
          <w:noProof/>
          <w:sz w:val="24"/>
          <w:szCs w:val="24"/>
          <w:lang w:val="bg-BG"/>
        </w:rPr>
        <w:t>. Общо 20 държави членки са избрали този вариант. Той има предимството, че НППО могат да разглеждат жалбите по-ефикасно и бързо, тъй като още от самото начало ще имат дост</w:t>
      </w:r>
      <w:r>
        <w:rPr>
          <w:rFonts w:ascii="Times New Roman" w:eastAsia="Times New Roman" w:hAnsi="Times New Roman"/>
          <w:noProof/>
          <w:sz w:val="24"/>
          <w:szCs w:val="24"/>
          <w:lang w:val="bg-BG"/>
        </w:rPr>
        <w:t xml:space="preserve">ъп до кореспонденцията между жалбоподателя и превозвача и така ще имат по-цялостен поглед върху казуса от гледна точка и на двете страни. </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Не съществуват публично достъпни данни за броя на жалбите, подадени от пътниците до превозвачите между 2013 и 2015 г.</w:t>
      </w:r>
      <w:r>
        <w:rPr>
          <w:rFonts w:ascii="Times New Roman" w:eastAsia="Times New Roman" w:hAnsi="Times New Roman"/>
          <w:noProof/>
          <w:sz w:val="24"/>
          <w:szCs w:val="24"/>
          <w:lang w:val="bg-BG"/>
        </w:rPr>
        <w:t xml:space="preserve"> </w:t>
      </w:r>
      <w:r>
        <w:rPr>
          <w:rFonts w:ascii="Times New Roman" w:hAnsi="Times New Roman"/>
          <w:noProof/>
          <w:sz w:val="24"/>
          <w:szCs w:val="24"/>
          <w:lang w:val="bg-BG"/>
        </w:rPr>
        <w:t>Въпреки че такива данни биха били полезни за оценката на функционирането на регламента</w:t>
      </w:r>
      <w:r>
        <w:rPr>
          <w:rFonts w:ascii="Times New Roman" w:eastAsia="Times New Roman" w:hAnsi="Times New Roman"/>
          <w:noProof/>
          <w:sz w:val="24"/>
          <w:szCs w:val="24"/>
          <w:lang w:val="bg-BG"/>
        </w:rPr>
        <w:t>, превозвачите не са длъжни да събират данни за жалбите или да докладват пред НППО.</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Известно е обаче, че НППО са разгледали много малък брой жалби (вж. таблицата по-долу</w:t>
      </w:r>
      <w:r>
        <w:rPr>
          <w:rFonts w:ascii="Times New Roman" w:eastAsia="Times New Roman" w:hAnsi="Times New Roman"/>
          <w:noProof/>
          <w:sz w:val="24"/>
          <w:szCs w:val="24"/>
          <w:lang w:val="bg-BG"/>
        </w:rPr>
        <w:t xml:space="preserve">). За това има различни причини: </w:t>
      </w:r>
      <w:r>
        <w:rPr>
          <w:rFonts w:ascii="Times New Roman" w:eastAsia="Times New Roman" w:hAnsi="Times New Roman"/>
          <w:noProof/>
          <w:sz w:val="24"/>
          <w:szCs w:val="24"/>
          <w:lang w:val="en-US"/>
        </w:rPr>
        <w:t>i</w:t>
      </w:r>
      <w:r>
        <w:rPr>
          <w:rFonts w:ascii="Times New Roman" w:eastAsia="Times New Roman" w:hAnsi="Times New Roman"/>
          <w:noProof/>
          <w:sz w:val="24"/>
          <w:szCs w:val="24"/>
          <w:lang w:val="bg-BG"/>
        </w:rPr>
        <w:t xml:space="preserve">) регламентът е относително нов и е </w:t>
      </w:r>
      <w:r>
        <w:rPr>
          <w:rFonts w:ascii="Times New Roman" w:hAnsi="Times New Roman"/>
          <w:noProof/>
          <w:sz w:val="24"/>
          <w:szCs w:val="24"/>
          <w:lang w:val="bg-BG"/>
        </w:rPr>
        <w:t>възможно много пътници да не са напълно запознати с правата си</w:t>
      </w:r>
      <w:r>
        <w:rPr>
          <w:rFonts w:ascii="Times New Roman" w:eastAsia="Times New Roman" w:hAnsi="Times New Roman"/>
          <w:noProof/>
          <w:sz w:val="24"/>
          <w:szCs w:val="24"/>
          <w:lang w:val="bg-BG"/>
        </w:rPr>
        <w:t xml:space="preserve">; </w:t>
      </w:r>
      <w:r>
        <w:rPr>
          <w:rFonts w:ascii="Times New Roman" w:eastAsia="Times New Roman" w:hAnsi="Times New Roman"/>
          <w:noProof/>
          <w:sz w:val="24"/>
          <w:szCs w:val="24"/>
          <w:lang w:val="en-US"/>
        </w:rPr>
        <w:t>ii</w:t>
      </w:r>
      <w:r>
        <w:rPr>
          <w:rFonts w:ascii="Times New Roman" w:eastAsia="Times New Roman" w:hAnsi="Times New Roman"/>
          <w:noProof/>
          <w:sz w:val="24"/>
          <w:szCs w:val="24"/>
          <w:lang w:val="bg-BG"/>
        </w:rPr>
        <w:t>) в повечето държави членки пътниците трябва първо да подадат жалбите си до превозвача и изглежда превозвачите са урежда</w:t>
      </w:r>
      <w:r>
        <w:rPr>
          <w:rFonts w:ascii="Times New Roman" w:eastAsia="Times New Roman" w:hAnsi="Times New Roman"/>
          <w:noProof/>
          <w:sz w:val="24"/>
          <w:szCs w:val="24"/>
          <w:lang w:val="bg-BG"/>
        </w:rPr>
        <w:t xml:space="preserve">ли по-голямата част от жалбите удовлетворително, което означава, че жалбите не са достигнали до националните правоприлагащи органи; </w:t>
      </w:r>
      <w:r>
        <w:rPr>
          <w:rFonts w:ascii="Times New Roman" w:eastAsia="Times New Roman" w:hAnsi="Times New Roman"/>
          <w:noProof/>
          <w:sz w:val="24"/>
          <w:szCs w:val="24"/>
          <w:lang w:val="en-US"/>
        </w:rPr>
        <w:t>iii</w:t>
      </w:r>
      <w:r>
        <w:rPr>
          <w:rFonts w:ascii="Times New Roman" w:eastAsia="Times New Roman" w:hAnsi="Times New Roman"/>
          <w:noProof/>
          <w:sz w:val="24"/>
          <w:szCs w:val="24"/>
          <w:lang w:val="bg-BG"/>
        </w:rPr>
        <w:t>) в някои държави членки само правораздавателните органи могат да налагат на операторите обвързващо решение и бавният и с</w:t>
      </w:r>
      <w:r>
        <w:rPr>
          <w:rFonts w:ascii="Times New Roman" w:eastAsia="Times New Roman" w:hAnsi="Times New Roman"/>
          <w:noProof/>
          <w:sz w:val="24"/>
          <w:szCs w:val="24"/>
          <w:lang w:val="bg-BG"/>
        </w:rPr>
        <w:t xml:space="preserve">къпоструващ съдебен спор обезсърчава пътниците да защитават правата си.  </w:t>
      </w:r>
    </w:p>
    <w:p w:rsidR="00AE7119" w:rsidRDefault="00505082">
      <w:pPr>
        <w:spacing w:after="240" w:line="240" w:lineRule="auto"/>
        <w:jc w:val="both"/>
        <w:rPr>
          <w:rFonts w:ascii="Times New Roman" w:eastAsia="Times New Roman" w:hAnsi="Times New Roman"/>
          <w:b/>
          <w:i/>
          <w:noProof/>
          <w:sz w:val="24"/>
          <w:szCs w:val="24"/>
          <w:lang w:val="bg-BG"/>
        </w:rPr>
      </w:pPr>
      <w:r>
        <w:rPr>
          <w:rFonts w:ascii="Times New Roman" w:eastAsia="Times New Roman" w:hAnsi="Times New Roman"/>
          <w:b/>
          <w:i/>
          <w:noProof/>
          <w:sz w:val="24"/>
          <w:szCs w:val="24"/>
          <w:lang w:val="bg-BG"/>
        </w:rPr>
        <w:t>Санкции</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В националното законодателство на повечето държави членки се предвижда система на наказания, основана единствено на глоби, но някои национални правоприлагащи органи могат същ</w:t>
      </w:r>
      <w:r>
        <w:rPr>
          <w:rFonts w:ascii="Times New Roman" w:eastAsia="Times New Roman" w:hAnsi="Times New Roman"/>
          <w:noProof/>
          <w:sz w:val="24"/>
          <w:szCs w:val="24"/>
          <w:lang w:val="bg-BG"/>
        </w:rPr>
        <w:t xml:space="preserve">о така да отнемат лиценза на оператора, ако той </w:t>
      </w:r>
      <w:r>
        <w:rPr>
          <w:rFonts w:ascii="Times New Roman" w:hAnsi="Times New Roman"/>
          <w:noProof/>
          <w:sz w:val="24"/>
          <w:szCs w:val="24"/>
          <w:lang w:val="bg-BG"/>
        </w:rPr>
        <w:t>преднамерено</w:t>
      </w:r>
      <w:r>
        <w:rPr>
          <w:noProof/>
          <w:lang w:val="bg-BG"/>
        </w:rPr>
        <w:t xml:space="preserve"> </w:t>
      </w:r>
      <w:r>
        <w:rPr>
          <w:rFonts w:ascii="Times New Roman" w:eastAsia="Times New Roman" w:hAnsi="Times New Roman"/>
          <w:noProof/>
          <w:sz w:val="24"/>
          <w:szCs w:val="24"/>
          <w:lang w:val="bg-BG"/>
        </w:rPr>
        <w:t xml:space="preserve">и систематично нарушава регламента. </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Националните правоприлагащи органи са наложили много малък брой санкции през първите две години, откакто е започнал да се прилага регламентът (вж. таблицата п</w:t>
      </w:r>
      <w:r>
        <w:rPr>
          <w:rFonts w:ascii="Times New Roman" w:eastAsia="Times New Roman" w:hAnsi="Times New Roman"/>
          <w:noProof/>
          <w:sz w:val="24"/>
          <w:szCs w:val="24"/>
          <w:lang w:val="bg-BG"/>
        </w:rPr>
        <w:t xml:space="preserve">о-долу). Според повечето от тях </w:t>
      </w:r>
      <w:r>
        <w:rPr>
          <w:rFonts w:ascii="Times New Roman" w:hAnsi="Times New Roman"/>
          <w:noProof/>
          <w:sz w:val="24"/>
          <w:szCs w:val="24"/>
          <w:lang w:val="bg-BG"/>
        </w:rPr>
        <w:t>операторите се стараят да спазват регламента и да коригират нарушенията, като решават жалбите, преди да стане необходимо налагането на наказания</w:t>
      </w:r>
      <w:r>
        <w:rPr>
          <w:rFonts w:ascii="Times New Roman" w:eastAsia="Times New Roman" w:hAnsi="Times New Roman"/>
          <w:noProof/>
          <w:sz w:val="24"/>
          <w:szCs w:val="24"/>
          <w:lang w:val="bg-BG"/>
        </w:rPr>
        <w:t xml:space="preserve">. </w:t>
      </w:r>
    </w:p>
    <w:p w:rsidR="00CF62FC" w:rsidRDefault="00CF62FC">
      <w:pPr>
        <w:spacing w:after="0" w:line="240" w:lineRule="auto"/>
        <w:rPr>
          <w:rFonts w:ascii="Times New Roman" w:hAnsi="Times New Roman"/>
          <w:b/>
          <w:noProof/>
          <w:sz w:val="24"/>
          <w:szCs w:val="24"/>
          <w:lang w:val="bg-BG"/>
        </w:rPr>
      </w:pPr>
      <w:r>
        <w:rPr>
          <w:rFonts w:ascii="Times New Roman" w:hAnsi="Times New Roman"/>
          <w:b/>
          <w:noProof/>
          <w:sz w:val="24"/>
          <w:szCs w:val="24"/>
          <w:lang w:val="bg-BG"/>
        </w:rPr>
        <w:br w:type="page"/>
      </w:r>
    </w:p>
    <w:p w:rsidR="00AE7119" w:rsidRDefault="00505082">
      <w:pPr>
        <w:spacing w:after="240"/>
        <w:jc w:val="center"/>
        <w:rPr>
          <w:rFonts w:ascii="Times New Roman" w:hAnsi="Times New Roman"/>
          <w:b/>
          <w:noProof/>
          <w:sz w:val="24"/>
          <w:szCs w:val="24"/>
          <w:lang w:val="bg-BG"/>
        </w:rPr>
      </w:pPr>
      <w:r>
        <w:rPr>
          <w:rFonts w:ascii="Times New Roman" w:hAnsi="Times New Roman"/>
          <w:b/>
          <w:noProof/>
          <w:sz w:val="24"/>
          <w:szCs w:val="24"/>
          <w:lang w:val="bg-BG"/>
        </w:rPr>
        <w:lastRenderedPageBreak/>
        <w:t>Таблица — Брой на разгледаните жалби и наложените санкции от НППО</w:t>
      </w:r>
      <w:r>
        <w:rPr>
          <w:rStyle w:val="FootnoteReference"/>
          <w:noProof/>
          <w:lang w:val="bg-BG"/>
        </w:rPr>
        <w:footnoteReference w:id="17"/>
      </w:r>
    </w:p>
    <w:tbl>
      <w:tblPr>
        <w:tblStyle w:val="TableGrid"/>
        <w:tblW w:w="8789" w:type="dxa"/>
        <w:tblInd w:w="-34" w:type="dxa"/>
        <w:tblLayout w:type="fixed"/>
        <w:tblLook w:val="04A0" w:firstRow="1" w:lastRow="0" w:firstColumn="1" w:lastColumn="0" w:noHBand="0" w:noVBand="1"/>
      </w:tblPr>
      <w:tblGrid>
        <w:gridCol w:w="2552"/>
        <w:gridCol w:w="3119"/>
        <w:gridCol w:w="3118"/>
      </w:tblGrid>
      <w:tr w:rsidR="00AE7119">
        <w:trPr>
          <w:trHeight w:val="441"/>
        </w:trPr>
        <w:tc>
          <w:tcPr>
            <w:tcW w:w="2552" w:type="dxa"/>
          </w:tcPr>
          <w:p w:rsidR="00AE7119" w:rsidRDefault="00505082">
            <w:pPr>
              <w:spacing w:after="0"/>
              <w:jc w:val="center"/>
              <w:rPr>
                <w:rFonts w:ascii="Times New Roman" w:hAnsi="Times New Roman"/>
                <w:b/>
                <w:noProof/>
                <w:sz w:val="24"/>
                <w:szCs w:val="24"/>
                <w:lang w:val="bg-BG"/>
              </w:rPr>
            </w:pPr>
            <w:r>
              <w:rPr>
                <w:rFonts w:ascii="Times New Roman" w:hAnsi="Times New Roman"/>
                <w:b/>
                <w:noProof/>
                <w:sz w:val="24"/>
                <w:szCs w:val="24"/>
                <w:lang w:val="bg-BG"/>
              </w:rPr>
              <w:t xml:space="preserve">Държава </w:t>
            </w:r>
            <w:r>
              <w:rPr>
                <w:rFonts w:ascii="Times New Roman" w:hAnsi="Times New Roman"/>
                <w:b/>
                <w:noProof/>
                <w:sz w:val="24"/>
                <w:szCs w:val="24"/>
                <w:lang w:val="bg-BG"/>
              </w:rPr>
              <w:t>членка</w:t>
            </w:r>
          </w:p>
        </w:tc>
        <w:tc>
          <w:tcPr>
            <w:tcW w:w="3119" w:type="dxa"/>
          </w:tcPr>
          <w:p w:rsidR="00AE7119" w:rsidRDefault="00505082">
            <w:pPr>
              <w:spacing w:after="0"/>
              <w:jc w:val="center"/>
              <w:rPr>
                <w:rFonts w:ascii="Times New Roman" w:hAnsi="Times New Roman"/>
                <w:b/>
                <w:noProof/>
                <w:sz w:val="24"/>
                <w:szCs w:val="24"/>
                <w:lang w:val="bg-BG"/>
              </w:rPr>
            </w:pPr>
            <w:r>
              <w:rPr>
                <w:rFonts w:ascii="Times New Roman" w:hAnsi="Times New Roman"/>
                <w:b/>
                <w:noProof/>
                <w:sz w:val="24"/>
                <w:szCs w:val="24"/>
                <w:lang w:val="bg-BG"/>
              </w:rPr>
              <w:t>Брой на разгледаните жалби</w:t>
            </w:r>
          </w:p>
        </w:tc>
        <w:tc>
          <w:tcPr>
            <w:tcW w:w="3118" w:type="dxa"/>
          </w:tcPr>
          <w:p w:rsidR="00AE7119" w:rsidRDefault="00505082">
            <w:pPr>
              <w:spacing w:after="0"/>
              <w:jc w:val="center"/>
              <w:rPr>
                <w:rFonts w:ascii="Times New Roman" w:hAnsi="Times New Roman"/>
                <w:b/>
                <w:noProof/>
                <w:sz w:val="24"/>
                <w:szCs w:val="24"/>
                <w:lang w:val="bg-BG"/>
              </w:rPr>
            </w:pPr>
            <w:r>
              <w:rPr>
                <w:rFonts w:ascii="Times New Roman" w:hAnsi="Times New Roman"/>
                <w:b/>
                <w:noProof/>
                <w:sz w:val="24"/>
                <w:szCs w:val="24"/>
                <w:lang w:val="bg-BG"/>
              </w:rPr>
              <w:t>Брой на наложените наказания</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Австрия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Не е приложимо</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Не е приложимо</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Белгия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1</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България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9</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Хърватия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Кипър</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Чешка република</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132</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9</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Дания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Естония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Финландия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12</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Франция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21</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Германия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192</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Гърция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Не</w:t>
            </w:r>
            <w:r>
              <w:rPr>
                <w:rFonts w:ascii="Times New Roman" w:hAnsi="Times New Roman"/>
                <w:noProof/>
                <w:sz w:val="24"/>
                <w:szCs w:val="24"/>
                <w:lang w:val="bg-BG"/>
              </w:rPr>
              <w:t xml:space="preserve"> е приложимо</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Не е приложимо</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Унгария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24</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16</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Ирландия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4</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Италия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Не е приложимо</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Не е приложимо</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Латвия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Литва</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Люксембург</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Не е приложимо</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Не е приложимо</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Малта</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Нидерландия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Не е приложимо</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Не е приложимо</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Полша</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Не е приложимо</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Не е приложимо</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Португалия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Не е приложимо</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Не е приложимо</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Румъния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Словакия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Словения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Испания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1194</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54</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Швеция</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2</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r>
      <w:tr w:rsidR="00AE7119">
        <w:tc>
          <w:tcPr>
            <w:tcW w:w="2552" w:type="dxa"/>
          </w:tcPr>
          <w:p w:rsidR="00AE7119" w:rsidRDefault="00505082">
            <w:pPr>
              <w:spacing w:after="0"/>
              <w:jc w:val="both"/>
              <w:rPr>
                <w:rFonts w:ascii="Times New Roman" w:hAnsi="Times New Roman"/>
                <w:noProof/>
                <w:sz w:val="24"/>
                <w:szCs w:val="24"/>
                <w:lang w:val="bg-BG"/>
              </w:rPr>
            </w:pPr>
            <w:r>
              <w:rPr>
                <w:rFonts w:ascii="Times New Roman" w:hAnsi="Times New Roman"/>
                <w:noProof/>
                <w:sz w:val="24"/>
                <w:szCs w:val="24"/>
                <w:lang w:val="bg-BG"/>
              </w:rPr>
              <w:t>Обединеното кралство</w:t>
            </w:r>
          </w:p>
        </w:tc>
        <w:tc>
          <w:tcPr>
            <w:tcW w:w="3119"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4</w:t>
            </w:r>
          </w:p>
        </w:tc>
        <w:tc>
          <w:tcPr>
            <w:tcW w:w="3118" w:type="dxa"/>
          </w:tcPr>
          <w:p w:rsidR="00AE7119" w:rsidRDefault="00505082">
            <w:pPr>
              <w:spacing w:after="0"/>
              <w:jc w:val="center"/>
              <w:rPr>
                <w:rFonts w:ascii="Times New Roman" w:hAnsi="Times New Roman"/>
                <w:noProof/>
                <w:sz w:val="24"/>
                <w:szCs w:val="24"/>
                <w:lang w:val="bg-BG"/>
              </w:rPr>
            </w:pPr>
            <w:r>
              <w:rPr>
                <w:rFonts w:ascii="Times New Roman" w:hAnsi="Times New Roman"/>
                <w:noProof/>
                <w:sz w:val="24"/>
                <w:szCs w:val="24"/>
                <w:lang w:val="bg-BG"/>
              </w:rPr>
              <w:t>0</w:t>
            </w:r>
          </w:p>
        </w:tc>
      </w:tr>
    </w:tbl>
    <w:p w:rsidR="00CF62FC" w:rsidRDefault="00CF62FC">
      <w:pPr>
        <w:spacing w:after="240" w:line="240" w:lineRule="auto"/>
        <w:jc w:val="both"/>
        <w:rPr>
          <w:rFonts w:ascii="Times New Roman" w:eastAsia="Times New Roman" w:hAnsi="Times New Roman"/>
          <w:b/>
          <w:i/>
          <w:noProof/>
          <w:sz w:val="24"/>
          <w:szCs w:val="24"/>
          <w:lang w:val="bg-BG"/>
        </w:rPr>
      </w:pPr>
    </w:p>
    <w:p w:rsidR="00CF62FC" w:rsidRDefault="00CF62FC" w:rsidP="00CF62FC">
      <w:pPr>
        <w:rPr>
          <w:noProof/>
          <w:lang w:val="bg-BG"/>
        </w:rPr>
      </w:pPr>
      <w:r>
        <w:rPr>
          <w:noProof/>
          <w:lang w:val="bg-BG"/>
        </w:rPr>
        <w:br w:type="page"/>
      </w:r>
    </w:p>
    <w:p w:rsidR="00AE7119" w:rsidRDefault="00505082">
      <w:pPr>
        <w:spacing w:after="240" w:line="240" w:lineRule="auto"/>
        <w:jc w:val="both"/>
        <w:rPr>
          <w:rFonts w:ascii="Times New Roman" w:eastAsia="Times New Roman" w:hAnsi="Times New Roman"/>
          <w:b/>
          <w:i/>
          <w:noProof/>
          <w:sz w:val="24"/>
          <w:szCs w:val="24"/>
          <w:lang w:val="bg-BG"/>
        </w:rPr>
      </w:pPr>
      <w:r>
        <w:rPr>
          <w:rFonts w:ascii="Times New Roman" w:eastAsia="Times New Roman" w:hAnsi="Times New Roman"/>
          <w:b/>
          <w:i/>
          <w:noProof/>
          <w:sz w:val="24"/>
          <w:szCs w:val="24"/>
          <w:lang w:val="bg-BG"/>
        </w:rPr>
        <w:lastRenderedPageBreak/>
        <w:t>Други дейности по прилагане и комуникационни дейности</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 xml:space="preserve">Разглеждането на жалбите и санкционирането на неспазването са </w:t>
      </w:r>
      <w:r>
        <w:rPr>
          <w:rFonts w:ascii="Times New Roman" w:eastAsia="Times New Roman" w:hAnsi="Times New Roman"/>
          <w:noProof/>
          <w:sz w:val="24"/>
          <w:szCs w:val="24"/>
          <w:lang w:val="bg-BG"/>
        </w:rPr>
        <w:t>само два от примерите, дадени в регламента за възможните мерки, които могат да бъдат използвани за прилагане на правата на използващите автобусен транспорт пътници. Много национални правоприлагащи органи са действали проактивно и са предприели допълнителни</w:t>
      </w:r>
      <w:r>
        <w:rPr>
          <w:rFonts w:ascii="Times New Roman" w:eastAsia="Times New Roman" w:hAnsi="Times New Roman"/>
          <w:noProof/>
          <w:sz w:val="24"/>
          <w:szCs w:val="24"/>
          <w:lang w:val="bg-BG"/>
        </w:rPr>
        <w:t xml:space="preserve"> действия</w:t>
      </w:r>
      <w:r>
        <w:rPr>
          <w:rStyle w:val="FootnoteReference"/>
          <w:rFonts w:ascii="Times New Roman" w:eastAsia="Times New Roman" w:hAnsi="Times New Roman"/>
          <w:noProof/>
          <w:sz w:val="24"/>
          <w:szCs w:val="24"/>
          <w:lang w:val="bg-BG"/>
        </w:rPr>
        <w:footnoteReference w:id="18"/>
      </w:r>
      <w:r>
        <w:rPr>
          <w:rFonts w:ascii="Times New Roman" w:eastAsia="Times New Roman" w:hAnsi="Times New Roman"/>
          <w:noProof/>
          <w:sz w:val="24"/>
          <w:szCs w:val="24"/>
          <w:lang w:val="bg-BG"/>
        </w:rPr>
        <w:t>.</w:t>
      </w:r>
    </w:p>
    <w:p w:rsidR="00AE7119" w:rsidRDefault="00505082">
      <w:pPr>
        <w:spacing w:after="240" w:line="240" w:lineRule="auto"/>
        <w:jc w:val="both"/>
        <w:rPr>
          <w:rFonts w:ascii="Times New Roman" w:eastAsia="Times New Roman" w:hAnsi="Times New Roman"/>
          <w:b/>
          <w:i/>
          <w:noProof/>
          <w:sz w:val="24"/>
          <w:szCs w:val="24"/>
          <w:lang w:val="bg-BG"/>
        </w:rPr>
      </w:pPr>
      <w:r>
        <w:rPr>
          <w:rFonts w:ascii="Times New Roman" w:eastAsia="Times New Roman" w:hAnsi="Times New Roman"/>
          <w:b/>
          <w:i/>
          <w:noProof/>
          <w:sz w:val="24"/>
          <w:szCs w:val="24"/>
          <w:lang w:val="bg-BG"/>
        </w:rPr>
        <w:t>Определяне на автогари, на които пътниците с увреждания и пътниците с намалена подвижност могат да получат помощ</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Регламентът изисква от държавите членки да определят автогари, разполагащи с персонал и оборудване, благодарение на които ще се осигури подходяща помощ на пътниците с увреждания или с намалена подвижност. Оказването на помощ в рамките на автогарите е от пъ</w:t>
      </w:r>
      <w:r>
        <w:rPr>
          <w:rFonts w:ascii="Times New Roman" w:eastAsia="Times New Roman" w:hAnsi="Times New Roman"/>
          <w:noProof/>
          <w:sz w:val="24"/>
          <w:szCs w:val="24"/>
          <w:lang w:val="bg-BG"/>
        </w:rPr>
        <w:t xml:space="preserve">рвостепенно значение, тъй като пътниците с увреждания или с намалена подвижност най-често се нуждаят от помощ, когато се качват на или слизат от автобус, и това изискване в повечето случай може да бъде спазено най-лесно на автогари с голям пътникопоток.  </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Държавите членки са възприели различни подходи: някои от по-големите и по-гъсто населени държави членки са определили само една или много малък брой автогари, което не отговаря нито на размера на държавата, нито на количеството пътници, превозвани с автобу</w:t>
      </w:r>
      <w:r>
        <w:rPr>
          <w:rFonts w:ascii="Times New Roman" w:eastAsia="Times New Roman" w:hAnsi="Times New Roman"/>
          <w:noProof/>
          <w:sz w:val="24"/>
          <w:szCs w:val="24"/>
          <w:lang w:val="bg-BG"/>
        </w:rPr>
        <w:t>с</w:t>
      </w:r>
      <w:r>
        <w:rPr>
          <w:rStyle w:val="FootnoteReference"/>
          <w:rFonts w:ascii="Times New Roman" w:eastAsia="Times New Roman" w:hAnsi="Times New Roman"/>
          <w:noProof/>
          <w:sz w:val="24"/>
          <w:szCs w:val="24"/>
          <w:lang w:val="bg-BG"/>
        </w:rPr>
        <w:footnoteReference w:id="19"/>
      </w:r>
      <w:r>
        <w:rPr>
          <w:rFonts w:ascii="Times New Roman" w:eastAsia="Times New Roman" w:hAnsi="Times New Roman"/>
          <w:noProof/>
          <w:sz w:val="24"/>
          <w:szCs w:val="24"/>
          <w:lang w:val="bg-BG"/>
        </w:rPr>
        <w:t>.</w:t>
      </w:r>
    </w:p>
    <w:p w:rsidR="00CF62FC"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Освен това редица други държави членки първоначално са определили автогари без необходимите персонал и съоръжения, което очевидно не отговаря на изискванията на регламента</w:t>
      </w:r>
      <w:r>
        <w:rPr>
          <w:rStyle w:val="FootnoteReference"/>
          <w:rFonts w:ascii="Times New Roman" w:eastAsia="Times New Roman" w:hAnsi="Times New Roman"/>
          <w:noProof/>
          <w:sz w:val="24"/>
          <w:szCs w:val="24"/>
          <w:lang w:val="bg-BG"/>
        </w:rPr>
        <w:footnoteReference w:id="20"/>
      </w:r>
      <w:r>
        <w:rPr>
          <w:rFonts w:ascii="Times New Roman" w:eastAsia="Times New Roman" w:hAnsi="Times New Roman"/>
          <w:noProof/>
          <w:sz w:val="24"/>
          <w:szCs w:val="24"/>
          <w:lang w:val="bg-BG"/>
        </w:rPr>
        <w:t>. След намесата на Комисията те са оттеглили така определените автогари</w:t>
      </w:r>
      <w:r>
        <w:rPr>
          <w:rStyle w:val="FootnoteReference"/>
          <w:rFonts w:ascii="Times New Roman" w:eastAsia="Times New Roman" w:hAnsi="Times New Roman"/>
          <w:noProof/>
          <w:sz w:val="24"/>
          <w:szCs w:val="24"/>
          <w:lang w:val="bg-BG"/>
        </w:rPr>
        <w:footnoteReference w:id="21"/>
      </w:r>
      <w:r>
        <w:rPr>
          <w:rFonts w:ascii="Times New Roman" w:eastAsia="Times New Roman" w:hAnsi="Times New Roman"/>
          <w:noProof/>
          <w:sz w:val="24"/>
          <w:szCs w:val="24"/>
          <w:lang w:val="bg-BG"/>
        </w:rPr>
        <w:t>.</w:t>
      </w:r>
    </w:p>
    <w:p w:rsidR="00CF62FC" w:rsidRDefault="00CF62FC" w:rsidP="00CF62FC">
      <w:pPr>
        <w:rPr>
          <w:noProof/>
          <w:lang w:val="bg-BG"/>
        </w:rPr>
      </w:pPr>
      <w:r>
        <w:rPr>
          <w:noProof/>
          <w:lang w:val="bg-BG"/>
        </w:rPr>
        <w:br w:type="page"/>
      </w:r>
    </w:p>
    <w:p w:rsidR="00AE7119" w:rsidRDefault="00AE7119">
      <w:pPr>
        <w:spacing w:after="240" w:line="240" w:lineRule="auto"/>
        <w:jc w:val="both"/>
        <w:rPr>
          <w:rFonts w:ascii="Times New Roman" w:eastAsia="Times New Roman" w:hAnsi="Times New Roman"/>
          <w:noProof/>
          <w:sz w:val="24"/>
          <w:szCs w:val="24"/>
          <w:lang w:val="bg-BG"/>
        </w:rPr>
      </w:pPr>
    </w:p>
    <w:p w:rsidR="00AE7119" w:rsidRDefault="00505082">
      <w:pPr>
        <w:keepNext/>
        <w:spacing w:after="240" w:line="240" w:lineRule="auto"/>
        <w:ind w:left="567" w:hanging="567"/>
        <w:jc w:val="both"/>
        <w:outlineLvl w:val="1"/>
        <w:rPr>
          <w:rFonts w:ascii="Times New Roman" w:eastAsia="Times New Roman" w:hAnsi="Times New Roman"/>
          <w:b/>
          <w:smallCaps/>
          <w:noProof/>
          <w:sz w:val="24"/>
          <w:szCs w:val="24"/>
          <w:lang w:val="bg-BG"/>
        </w:rPr>
      </w:pPr>
      <w:r>
        <w:rPr>
          <w:rFonts w:ascii="Times New Roman" w:eastAsia="Times New Roman" w:hAnsi="Times New Roman"/>
          <w:b/>
          <w:smallCaps/>
          <w:noProof/>
          <w:sz w:val="24"/>
          <w:szCs w:val="24"/>
          <w:lang w:val="bg-BG"/>
        </w:rPr>
        <w:t>4.</w:t>
      </w:r>
      <w:r>
        <w:rPr>
          <w:rFonts w:ascii="Times New Roman" w:eastAsia="Times New Roman" w:hAnsi="Times New Roman"/>
          <w:b/>
          <w:smallCaps/>
          <w:noProof/>
          <w:sz w:val="24"/>
          <w:szCs w:val="24"/>
          <w:lang w:val="bg-BG"/>
        </w:rPr>
        <w:tab/>
        <w:t>Фун</w:t>
      </w:r>
      <w:r>
        <w:rPr>
          <w:rFonts w:ascii="Times New Roman" w:eastAsia="Times New Roman" w:hAnsi="Times New Roman"/>
          <w:b/>
          <w:smallCaps/>
          <w:noProof/>
          <w:sz w:val="24"/>
          <w:szCs w:val="24"/>
          <w:lang w:val="bg-BG"/>
        </w:rPr>
        <w:t>кциониране на регламента и действия за подобряване</w:t>
      </w:r>
    </w:p>
    <w:p w:rsidR="00AE7119" w:rsidRDefault="00505082">
      <w:pPr>
        <w:keepNext/>
        <w:spacing w:after="240" w:line="240" w:lineRule="auto"/>
        <w:ind w:left="567" w:hanging="567"/>
        <w:jc w:val="both"/>
        <w:outlineLvl w:val="1"/>
        <w:rPr>
          <w:rFonts w:ascii="Times New Roman" w:eastAsia="Times New Roman" w:hAnsi="Times New Roman"/>
          <w:b/>
          <w:noProof/>
          <w:sz w:val="24"/>
          <w:szCs w:val="24"/>
          <w:lang w:val="bg-BG"/>
        </w:rPr>
      </w:pPr>
      <w:r>
        <w:rPr>
          <w:rFonts w:ascii="Times New Roman" w:eastAsia="Times New Roman" w:hAnsi="Times New Roman"/>
          <w:b/>
          <w:noProof/>
          <w:sz w:val="24"/>
          <w:szCs w:val="24"/>
          <w:lang w:val="bg-BG"/>
        </w:rPr>
        <w:t>4.1</w:t>
      </w:r>
      <w:r>
        <w:rPr>
          <w:rFonts w:ascii="Times New Roman" w:eastAsia="Times New Roman" w:hAnsi="Times New Roman"/>
          <w:b/>
          <w:noProof/>
          <w:sz w:val="24"/>
          <w:szCs w:val="24"/>
          <w:lang w:val="bg-BG"/>
        </w:rPr>
        <w:tab/>
        <w:t>Оценка на функционирането на регламента</w:t>
      </w:r>
    </w:p>
    <w:p w:rsidR="00AE7119" w:rsidRDefault="00505082">
      <w:pPr>
        <w:spacing w:after="240" w:line="240" w:lineRule="auto"/>
        <w:jc w:val="both"/>
        <w:rPr>
          <w:rFonts w:ascii="Times New Roman" w:eastAsia="Times New Roman" w:hAnsi="Times New Roman"/>
          <w:b/>
          <w:i/>
          <w:noProof/>
          <w:sz w:val="24"/>
          <w:szCs w:val="24"/>
          <w:lang w:val="bg-BG"/>
        </w:rPr>
      </w:pPr>
      <w:r>
        <w:rPr>
          <w:rFonts w:ascii="Times New Roman" w:eastAsia="Times New Roman" w:hAnsi="Times New Roman"/>
          <w:b/>
          <w:i/>
          <w:noProof/>
          <w:sz w:val="24"/>
          <w:szCs w:val="24"/>
          <w:lang w:val="bg-BG"/>
        </w:rPr>
        <w:t>Резултати от консултациите</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През януари 2016 г. Комисията покани различни органи, представляващи пътниците и отрасъла на равнището на ЕС, да споделят своите вижда</w:t>
      </w:r>
      <w:r>
        <w:rPr>
          <w:rFonts w:ascii="Times New Roman" w:eastAsia="Times New Roman" w:hAnsi="Times New Roman"/>
          <w:noProof/>
          <w:sz w:val="24"/>
          <w:szCs w:val="24"/>
          <w:lang w:val="bg-BG"/>
        </w:rPr>
        <w:t>ния относно функционирането на регламента</w:t>
      </w:r>
      <w:r>
        <w:rPr>
          <w:rStyle w:val="FootnoteReference"/>
          <w:rFonts w:ascii="Times New Roman" w:eastAsia="Times New Roman" w:hAnsi="Times New Roman"/>
          <w:noProof/>
          <w:sz w:val="24"/>
          <w:szCs w:val="24"/>
          <w:lang w:val="bg-BG"/>
        </w:rPr>
        <w:footnoteReference w:id="22"/>
      </w:r>
      <w:r>
        <w:rPr>
          <w:rFonts w:ascii="Times New Roman" w:eastAsia="Times New Roman" w:hAnsi="Times New Roman"/>
          <w:noProof/>
          <w:sz w:val="24"/>
          <w:szCs w:val="24"/>
          <w:lang w:val="bg-BG"/>
        </w:rPr>
        <w:t>.</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 xml:space="preserve">Всички участници се съгласиха, че два са факторите, които оказват силно въздействие върху функционирането на регламента: </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 Липсата на подходящи автогари в няколко държави членки е една от най-значителните пречки</w:t>
      </w:r>
      <w:r>
        <w:rPr>
          <w:rFonts w:ascii="Times New Roman" w:eastAsia="Times New Roman" w:hAnsi="Times New Roman"/>
          <w:noProof/>
          <w:sz w:val="24"/>
          <w:szCs w:val="24"/>
          <w:lang w:val="bg-BG"/>
        </w:rPr>
        <w:t xml:space="preserve"> за развитието на автобусния транспорт: модерни, достъпни и безопасни автогари, свързани с няколко вида транспорт, биха могли да убедят нови потребители да изберат автобусния транспорт. Автогарите също играят ключова роля при прилагането на регламента: авт</w:t>
      </w:r>
      <w:r>
        <w:rPr>
          <w:rFonts w:ascii="Times New Roman" w:eastAsia="Times New Roman" w:hAnsi="Times New Roman"/>
          <w:noProof/>
          <w:sz w:val="24"/>
          <w:szCs w:val="24"/>
          <w:lang w:val="bg-BG"/>
        </w:rPr>
        <w:t>огара с високо равнище на обслужване може да предостави на пътниците лесен достъп до информация относно превозите и правата им на автогарите, персоналът на автогарата може да предостави нужната помощ на пътниците с увреждания и може по-добре да съдейства н</w:t>
      </w:r>
      <w:r>
        <w:rPr>
          <w:rFonts w:ascii="Times New Roman" w:eastAsia="Times New Roman" w:hAnsi="Times New Roman"/>
          <w:noProof/>
          <w:sz w:val="24"/>
          <w:szCs w:val="24"/>
          <w:lang w:val="bg-BG"/>
        </w:rPr>
        <w:t xml:space="preserve">а пътниците при възникване на транспортни проблеми. </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 Регламентът не въвежда нови изисквания за достъпността на автобусите и автогарите и следователно не е допринесъл значително за подобряването на достъпността на превозните средства и на транспортната ин</w:t>
      </w:r>
      <w:r>
        <w:rPr>
          <w:rFonts w:ascii="Times New Roman" w:eastAsia="Times New Roman" w:hAnsi="Times New Roman"/>
          <w:noProof/>
          <w:sz w:val="24"/>
          <w:szCs w:val="24"/>
          <w:lang w:val="bg-BG"/>
        </w:rPr>
        <w:t xml:space="preserve">фраструктура (автобусни спирки и автогари) за пътниците с увреждания или с намалена подвижност. За да стане автобусният транспорт достъпен за тези пътници, както превозните средства, така и автогарите трябва да бъдат достъпни. Мерките, въведени от няколко </w:t>
      </w:r>
      <w:r>
        <w:rPr>
          <w:rFonts w:ascii="Times New Roman" w:eastAsia="Times New Roman" w:hAnsi="Times New Roman"/>
          <w:noProof/>
          <w:sz w:val="24"/>
          <w:szCs w:val="24"/>
          <w:lang w:val="bg-BG"/>
        </w:rPr>
        <w:t>държави членки, съгласно които в бъдеще ще се изисква от операторите да използват само превозни средства, които могат да превозват пътници с увреждания или с намалена подвижност</w:t>
      </w:r>
      <w:r>
        <w:rPr>
          <w:rStyle w:val="FootnoteReference"/>
          <w:rFonts w:ascii="Times New Roman" w:eastAsia="Times New Roman" w:hAnsi="Times New Roman"/>
          <w:noProof/>
          <w:sz w:val="24"/>
          <w:szCs w:val="24"/>
          <w:lang w:val="bg-BG"/>
        </w:rPr>
        <w:footnoteReference w:id="23"/>
      </w:r>
      <w:r>
        <w:rPr>
          <w:rFonts w:ascii="Times New Roman" w:eastAsia="Times New Roman" w:hAnsi="Times New Roman"/>
          <w:noProof/>
          <w:sz w:val="24"/>
          <w:szCs w:val="24"/>
          <w:lang w:val="bg-BG"/>
        </w:rPr>
        <w:t xml:space="preserve">, ще постигнат само ограничени резултати, ако инфраструктурата продължава да </w:t>
      </w:r>
      <w:r>
        <w:rPr>
          <w:rFonts w:ascii="Times New Roman" w:eastAsia="Times New Roman" w:hAnsi="Times New Roman"/>
          <w:noProof/>
          <w:sz w:val="24"/>
          <w:szCs w:val="24"/>
          <w:lang w:val="bg-BG"/>
        </w:rPr>
        <w:t>бъде неподходяща. При все това на Комисията също така са известни местни и регионални инициативи, при които операторите са работили в тясно сътрудничество с организации, представляващи лица с увреждания, за да им осигурят достъп до своите услуги</w:t>
      </w:r>
      <w:r>
        <w:rPr>
          <w:rStyle w:val="FootnoteReference"/>
          <w:rFonts w:ascii="Times New Roman" w:eastAsia="Times New Roman" w:hAnsi="Times New Roman"/>
          <w:noProof/>
          <w:sz w:val="24"/>
          <w:szCs w:val="24"/>
          <w:lang w:val="bg-BG"/>
        </w:rPr>
        <w:footnoteReference w:id="24"/>
      </w:r>
      <w:r>
        <w:rPr>
          <w:rFonts w:ascii="Times New Roman" w:eastAsia="Times New Roman" w:hAnsi="Times New Roman"/>
          <w:noProof/>
          <w:sz w:val="24"/>
          <w:szCs w:val="24"/>
          <w:lang w:val="bg-BG"/>
        </w:rPr>
        <w:t>.</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 xml:space="preserve">Въпреки </w:t>
      </w:r>
      <w:r>
        <w:rPr>
          <w:rFonts w:ascii="Times New Roman" w:eastAsia="Times New Roman" w:hAnsi="Times New Roman"/>
          <w:noProof/>
          <w:sz w:val="24"/>
          <w:szCs w:val="24"/>
          <w:lang w:val="bg-BG"/>
        </w:rPr>
        <w:t xml:space="preserve">че участващите в консултациите страни се съгласиха с горепосоченото, налице беше ясно разделение между организациите, представляващи отрасъла, и </w:t>
      </w:r>
      <w:r>
        <w:rPr>
          <w:rFonts w:ascii="Times New Roman" w:eastAsia="Times New Roman" w:hAnsi="Times New Roman"/>
          <w:noProof/>
          <w:sz w:val="24"/>
          <w:szCs w:val="24"/>
          <w:lang w:val="bg-BG"/>
        </w:rPr>
        <w:lastRenderedPageBreak/>
        <w:t>организациите на пътници по отношение на въздействието на регламента. Организациите, представляващи превозвачит</w:t>
      </w:r>
      <w:r>
        <w:rPr>
          <w:rFonts w:ascii="Times New Roman" w:eastAsia="Times New Roman" w:hAnsi="Times New Roman"/>
          <w:noProof/>
          <w:sz w:val="24"/>
          <w:szCs w:val="24"/>
          <w:lang w:val="bg-BG"/>
        </w:rPr>
        <w:t>е, смятат, че регламентът отразява оптималния баланс между задълженията на превозвачите и правата на пътниците, като взема предвид специфичните ограничения на сектора и осигурява необходимото равнище на гъвкавост.</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Организациите, които представляват пътници</w:t>
      </w:r>
      <w:r>
        <w:rPr>
          <w:rFonts w:ascii="Times New Roman" w:eastAsia="Times New Roman" w:hAnsi="Times New Roman"/>
          <w:noProof/>
          <w:sz w:val="24"/>
          <w:szCs w:val="24"/>
          <w:lang w:val="bg-BG"/>
        </w:rPr>
        <w:t>те (</w:t>
      </w:r>
      <w:r>
        <w:rPr>
          <w:rFonts w:ascii="Times New Roman" w:eastAsia="Times New Roman" w:hAnsi="Times New Roman"/>
          <w:noProof/>
          <w:sz w:val="24"/>
          <w:szCs w:val="24"/>
          <w:lang w:val="en-US"/>
        </w:rPr>
        <w:t>EDF</w:t>
      </w:r>
      <w:r>
        <w:rPr>
          <w:rFonts w:ascii="Times New Roman" w:eastAsia="Times New Roman" w:hAnsi="Times New Roman"/>
          <w:noProof/>
          <w:sz w:val="24"/>
          <w:szCs w:val="24"/>
          <w:lang w:val="bg-BG"/>
        </w:rPr>
        <w:t xml:space="preserve"> и </w:t>
      </w:r>
      <w:r>
        <w:rPr>
          <w:rFonts w:ascii="Times New Roman" w:eastAsia="Times New Roman" w:hAnsi="Times New Roman"/>
          <w:noProof/>
          <w:sz w:val="24"/>
          <w:szCs w:val="24"/>
          <w:lang w:val="en-US"/>
        </w:rPr>
        <w:t>EPF</w:t>
      </w:r>
      <w:r>
        <w:rPr>
          <w:rFonts w:ascii="Times New Roman" w:eastAsia="Times New Roman" w:hAnsi="Times New Roman"/>
          <w:noProof/>
          <w:sz w:val="24"/>
          <w:szCs w:val="24"/>
          <w:lang w:val="bg-BG"/>
        </w:rPr>
        <w:t xml:space="preserve">) изразиха съжаление, че по-голямата част от съдържащите се в регламента разпоредби се прилагат само за редовни превози с разстояние на превоза по разписание 250 </w:t>
      </w:r>
      <w:r>
        <w:rPr>
          <w:rFonts w:ascii="Times New Roman" w:eastAsia="Times New Roman" w:hAnsi="Times New Roman"/>
          <w:noProof/>
          <w:sz w:val="24"/>
          <w:szCs w:val="24"/>
        </w:rPr>
        <w:t>km</w:t>
      </w:r>
      <w:r>
        <w:rPr>
          <w:rFonts w:ascii="Times New Roman" w:eastAsia="Times New Roman" w:hAnsi="Times New Roman"/>
          <w:noProof/>
          <w:sz w:val="24"/>
          <w:szCs w:val="24"/>
          <w:lang w:val="bg-BG"/>
        </w:rPr>
        <w:t xml:space="preserve"> или повече. На практика това означава, че преобладаващото мнозинство от редовн</w:t>
      </w:r>
      <w:r>
        <w:rPr>
          <w:rFonts w:ascii="Times New Roman" w:eastAsia="Times New Roman" w:hAnsi="Times New Roman"/>
          <w:noProof/>
          <w:sz w:val="24"/>
          <w:szCs w:val="24"/>
          <w:lang w:val="bg-BG"/>
        </w:rPr>
        <w:t>и пътувания с автобус са обект само на основните разпоредби на регламента</w:t>
      </w:r>
      <w:r>
        <w:rPr>
          <w:rStyle w:val="FootnoteReference"/>
          <w:rFonts w:ascii="Times New Roman" w:eastAsia="Times New Roman" w:hAnsi="Times New Roman"/>
          <w:noProof/>
          <w:sz w:val="24"/>
          <w:szCs w:val="24"/>
          <w:lang w:val="bg-BG"/>
        </w:rPr>
        <w:footnoteReference w:id="25"/>
      </w:r>
      <w:r>
        <w:rPr>
          <w:rFonts w:ascii="Times New Roman" w:eastAsia="Times New Roman" w:hAnsi="Times New Roman"/>
          <w:noProof/>
          <w:sz w:val="24"/>
          <w:szCs w:val="24"/>
          <w:lang w:val="bg-BG"/>
        </w:rPr>
        <w:t>. Освен това организациите на пътниците отправиха критики към държавите членки за предоставянето на твърде много освобождавания</w:t>
      </w:r>
      <w:r>
        <w:rPr>
          <w:rStyle w:val="FootnoteReference"/>
          <w:rFonts w:ascii="Times New Roman" w:eastAsia="Times New Roman" w:hAnsi="Times New Roman"/>
          <w:noProof/>
          <w:sz w:val="24"/>
          <w:szCs w:val="24"/>
          <w:lang w:val="bg-BG"/>
        </w:rPr>
        <w:footnoteReference w:id="26"/>
      </w:r>
      <w:r>
        <w:rPr>
          <w:rFonts w:ascii="Times New Roman" w:eastAsia="Times New Roman" w:hAnsi="Times New Roman"/>
          <w:noProof/>
          <w:sz w:val="24"/>
          <w:szCs w:val="24"/>
          <w:lang w:val="bg-BG"/>
        </w:rPr>
        <w:t>. По тяхно мнение широкото използване на освобождаване</w:t>
      </w:r>
      <w:r>
        <w:rPr>
          <w:rFonts w:ascii="Times New Roman" w:eastAsia="Times New Roman" w:hAnsi="Times New Roman"/>
          <w:noProof/>
          <w:sz w:val="24"/>
          <w:szCs w:val="24"/>
          <w:lang w:val="bg-BG"/>
        </w:rPr>
        <w:t xml:space="preserve"> лишава пътниците от пълното упражняване на правата им и от правна сигурност (особено поради факта, че за пътниците е трудно да знаят кои освобождавания в кои държави членки се прилагат).</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 xml:space="preserve">Страните, които участваха в консултацията, смятат, че не е нужно да </w:t>
      </w:r>
      <w:r>
        <w:rPr>
          <w:rFonts w:ascii="Times New Roman" w:eastAsia="Times New Roman" w:hAnsi="Times New Roman"/>
          <w:noProof/>
          <w:sz w:val="24"/>
          <w:szCs w:val="24"/>
          <w:lang w:val="bg-BG"/>
        </w:rPr>
        <w:t xml:space="preserve">се изменят конкретни разпоредби на регламента, а че настоящият регламент следва да се прилага по-добре от операторите и прилагането да се следи по-стриктно от националните органи. </w:t>
      </w:r>
    </w:p>
    <w:p w:rsidR="00AE7119" w:rsidRDefault="00505082">
      <w:pPr>
        <w:spacing w:after="240" w:line="240" w:lineRule="auto"/>
        <w:jc w:val="both"/>
        <w:rPr>
          <w:rFonts w:ascii="Times New Roman" w:eastAsia="Times New Roman" w:hAnsi="Times New Roman"/>
          <w:b/>
          <w:i/>
          <w:noProof/>
          <w:sz w:val="24"/>
          <w:szCs w:val="24"/>
          <w:lang w:val="bg-BG"/>
        </w:rPr>
      </w:pPr>
      <w:r>
        <w:rPr>
          <w:rFonts w:ascii="Times New Roman" w:eastAsia="Times New Roman" w:hAnsi="Times New Roman"/>
          <w:b/>
          <w:i/>
          <w:noProof/>
          <w:sz w:val="24"/>
          <w:szCs w:val="24"/>
          <w:lang w:val="bg-BG"/>
        </w:rPr>
        <w:t>Оценка на Комисията</w:t>
      </w:r>
    </w:p>
    <w:p w:rsidR="00AE7119" w:rsidRDefault="00505082">
      <w:pPr>
        <w:spacing w:after="24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Комисията не е установила никакви умишлени или сериозни</w:t>
      </w:r>
      <w:r>
        <w:rPr>
          <w:rFonts w:ascii="Times New Roman" w:eastAsia="Times New Roman" w:hAnsi="Times New Roman"/>
          <w:noProof/>
          <w:sz w:val="24"/>
          <w:szCs w:val="24"/>
          <w:lang w:val="bg-BG"/>
        </w:rPr>
        <w:t xml:space="preserve"> нарушения на регламента. Повечето индивидуални жалби, които са известни на Комисията, са свързани с липсата на информация, помощ или обезщетения, предвидени в случай на значителни закъснения или отмяна на пътувания</w:t>
      </w:r>
      <w:r>
        <w:rPr>
          <w:rStyle w:val="FootnoteReference"/>
          <w:rFonts w:ascii="Times New Roman" w:eastAsia="Times New Roman" w:hAnsi="Times New Roman"/>
          <w:noProof/>
          <w:sz w:val="24"/>
          <w:szCs w:val="24"/>
          <w:lang w:val="bg-BG"/>
        </w:rPr>
        <w:footnoteReference w:id="27"/>
      </w:r>
      <w:r>
        <w:rPr>
          <w:rFonts w:ascii="Times New Roman" w:eastAsia="Times New Roman" w:hAnsi="Times New Roman"/>
          <w:noProof/>
          <w:sz w:val="24"/>
          <w:szCs w:val="24"/>
          <w:lang w:val="bg-BG"/>
        </w:rPr>
        <w:t>. Докладите, предоставени от националнит</w:t>
      </w:r>
      <w:r>
        <w:rPr>
          <w:rFonts w:ascii="Times New Roman" w:eastAsia="Times New Roman" w:hAnsi="Times New Roman"/>
          <w:noProof/>
          <w:sz w:val="24"/>
          <w:szCs w:val="24"/>
          <w:lang w:val="bg-BG"/>
        </w:rPr>
        <w:t>е правоприлагащи органи, показват, че много от жалбите попадат извън обхвата на регламента</w:t>
      </w:r>
      <w:r>
        <w:rPr>
          <w:rStyle w:val="FootnoteReference"/>
          <w:rFonts w:ascii="Times New Roman" w:eastAsia="Times New Roman" w:hAnsi="Times New Roman"/>
          <w:noProof/>
          <w:sz w:val="24"/>
          <w:szCs w:val="24"/>
          <w:lang w:val="bg-BG"/>
        </w:rPr>
        <w:footnoteReference w:id="28"/>
      </w:r>
      <w:r>
        <w:rPr>
          <w:rFonts w:ascii="Times New Roman" w:eastAsia="Times New Roman" w:hAnsi="Times New Roman"/>
          <w:noProof/>
          <w:sz w:val="24"/>
          <w:szCs w:val="24"/>
          <w:lang w:val="bg-BG"/>
        </w:rPr>
        <w:t>.</w:t>
      </w:r>
    </w:p>
    <w:p w:rsidR="00AE7119" w:rsidRDefault="00505082">
      <w:pPr>
        <w:spacing w:after="12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Независимо от положителната обща картина, Комисията установи редица фактори, които представляват пречка за по-ефикасното прилагане на регламента:</w:t>
      </w:r>
    </w:p>
    <w:p w:rsidR="00AE7119" w:rsidRDefault="00505082">
      <w:pPr>
        <w:spacing w:after="120" w:line="240" w:lineRule="auto"/>
        <w:ind w:left="567" w:hanging="567"/>
        <w:jc w:val="both"/>
        <w:rPr>
          <w:rFonts w:ascii="Times New Roman" w:eastAsia="Times New Roman" w:hAnsi="Times New Roman"/>
          <w:i/>
          <w:noProof/>
          <w:sz w:val="24"/>
          <w:szCs w:val="24"/>
          <w:lang w:val="bg-BG"/>
        </w:rPr>
      </w:pPr>
      <w:r>
        <w:rPr>
          <w:rFonts w:ascii="Times New Roman" w:eastAsia="Times New Roman" w:hAnsi="Times New Roman"/>
          <w:i/>
          <w:noProof/>
          <w:sz w:val="24"/>
          <w:szCs w:val="24"/>
          <w:lang w:val="bg-BG"/>
        </w:rPr>
        <w:t xml:space="preserve">a) </w:t>
      </w:r>
      <w:r>
        <w:rPr>
          <w:rFonts w:ascii="Times New Roman" w:eastAsia="Times New Roman" w:hAnsi="Times New Roman"/>
          <w:i/>
          <w:noProof/>
          <w:sz w:val="24"/>
          <w:szCs w:val="24"/>
          <w:lang w:val="bg-BG"/>
        </w:rPr>
        <w:tab/>
        <w:t xml:space="preserve">Пътниците и </w:t>
      </w:r>
      <w:r>
        <w:rPr>
          <w:rFonts w:ascii="Times New Roman" w:eastAsia="Times New Roman" w:hAnsi="Times New Roman"/>
          <w:i/>
          <w:noProof/>
          <w:sz w:val="24"/>
          <w:szCs w:val="24"/>
          <w:lang w:val="bg-BG"/>
        </w:rPr>
        <w:t>операторите не са достатъчно наясно със своите права и задължения</w:t>
      </w:r>
    </w:p>
    <w:p w:rsidR="00AE7119" w:rsidRDefault="00505082">
      <w:pPr>
        <w:spacing w:after="120" w:line="240" w:lineRule="auto"/>
        <w:ind w:left="567"/>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 xml:space="preserve">Тъй като регламентът е сравнително нов, гражданите не са достатъчно запознати с него. НППО и представители на заинтересованите страни посочиха, че </w:t>
      </w:r>
      <w:r>
        <w:rPr>
          <w:rFonts w:ascii="Times New Roman" w:hAnsi="Times New Roman"/>
          <w:noProof/>
          <w:sz w:val="24"/>
          <w:szCs w:val="24"/>
          <w:lang w:val="bg-BG"/>
        </w:rPr>
        <w:t>много оператори не са били запознати с регл</w:t>
      </w:r>
      <w:r>
        <w:rPr>
          <w:rFonts w:ascii="Times New Roman" w:hAnsi="Times New Roman"/>
          <w:noProof/>
          <w:sz w:val="24"/>
          <w:szCs w:val="24"/>
          <w:lang w:val="bg-BG"/>
        </w:rPr>
        <w:t xml:space="preserve">амента при приемането му и липсата на </w:t>
      </w:r>
      <w:r>
        <w:rPr>
          <w:rFonts w:ascii="Times New Roman" w:hAnsi="Times New Roman"/>
          <w:noProof/>
          <w:sz w:val="24"/>
          <w:szCs w:val="24"/>
          <w:lang w:val="bg-BG"/>
        </w:rPr>
        <w:lastRenderedPageBreak/>
        <w:t>осведоменост все още е проблем в някои държави членки</w:t>
      </w:r>
      <w:r>
        <w:rPr>
          <w:rFonts w:ascii="Times New Roman" w:eastAsia="Times New Roman" w:hAnsi="Times New Roman"/>
          <w:noProof/>
          <w:sz w:val="24"/>
          <w:szCs w:val="24"/>
          <w:lang w:val="bg-BG"/>
        </w:rPr>
        <w:t xml:space="preserve">. Следователно е от съществено значение националните правоприлагащи органи, представителните организации на национално равнище и на равнище ЕС и Комисията </w:t>
      </w:r>
      <w:r>
        <w:rPr>
          <w:rFonts w:ascii="Times New Roman" w:hAnsi="Times New Roman"/>
          <w:noProof/>
          <w:sz w:val="24"/>
          <w:szCs w:val="24"/>
          <w:lang w:val="bg-BG"/>
        </w:rPr>
        <w:t xml:space="preserve">да </w:t>
      </w:r>
      <w:r>
        <w:rPr>
          <w:rFonts w:ascii="Times New Roman" w:hAnsi="Times New Roman"/>
          <w:noProof/>
          <w:sz w:val="24"/>
          <w:szCs w:val="24"/>
          <w:lang w:val="bg-BG"/>
        </w:rPr>
        <w:t>продължат да разясняват на пътниците техните права, а на операторите — техните задължения</w:t>
      </w:r>
      <w:r>
        <w:rPr>
          <w:rFonts w:ascii="Times New Roman" w:eastAsia="Times New Roman" w:hAnsi="Times New Roman"/>
          <w:noProof/>
          <w:sz w:val="24"/>
          <w:szCs w:val="24"/>
          <w:lang w:val="bg-BG"/>
        </w:rPr>
        <w:t xml:space="preserve">  </w:t>
      </w:r>
    </w:p>
    <w:p w:rsidR="00AE7119" w:rsidRDefault="00505082">
      <w:pPr>
        <w:spacing w:after="120" w:line="240" w:lineRule="auto"/>
        <w:ind w:left="567" w:hanging="567"/>
        <w:jc w:val="both"/>
        <w:rPr>
          <w:rFonts w:ascii="Times New Roman" w:eastAsia="Times New Roman" w:hAnsi="Times New Roman"/>
          <w:i/>
          <w:noProof/>
          <w:sz w:val="24"/>
          <w:szCs w:val="24"/>
          <w:lang w:val="bg-BG"/>
        </w:rPr>
      </w:pPr>
      <w:r>
        <w:rPr>
          <w:rFonts w:ascii="Times New Roman" w:eastAsia="Times New Roman" w:hAnsi="Times New Roman"/>
          <w:i/>
          <w:noProof/>
          <w:sz w:val="24"/>
          <w:szCs w:val="24"/>
          <w:lang w:val="bg-BG"/>
        </w:rPr>
        <w:t xml:space="preserve">б) </w:t>
      </w:r>
      <w:r>
        <w:rPr>
          <w:rFonts w:ascii="Times New Roman" w:eastAsia="Times New Roman" w:hAnsi="Times New Roman"/>
          <w:i/>
          <w:noProof/>
          <w:sz w:val="24"/>
          <w:szCs w:val="24"/>
          <w:lang w:val="bg-BG"/>
        </w:rPr>
        <w:tab/>
        <w:t>Прилагането в някои държави членки изостава</w:t>
      </w:r>
    </w:p>
    <w:p w:rsidR="00AE7119" w:rsidRDefault="00505082">
      <w:pPr>
        <w:spacing w:after="120" w:line="240" w:lineRule="auto"/>
        <w:ind w:left="567"/>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Държавите членки закъсняват с приемането на мерки за прилагането на регламента. Към 1 март 2013 г. — датата, на коят</w:t>
      </w:r>
      <w:r>
        <w:rPr>
          <w:rFonts w:ascii="Times New Roman" w:eastAsia="Times New Roman" w:hAnsi="Times New Roman"/>
          <w:noProof/>
          <w:sz w:val="24"/>
          <w:szCs w:val="24"/>
          <w:lang w:val="bg-BG"/>
        </w:rPr>
        <w:t xml:space="preserve">о започна да се прилага регламентът, нито една от държавите членки не беше приела всички необходими национални мерки. Някои държави членки приеха необходимите мерки със закъснение от две години.  </w:t>
      </w:r>
    </w:p>
    <w:p w:rsidR="00AE7119" w:rsidRDefault="00505082">
      <w:pPr>
        <w:spacing w:after="120" w:line="240" w:lineRule="auto"/>
        <w:ind w:left="567"/>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Възприетият от националните правоприлагащи органи подход за</w:t>
      </w:r>
      <w:r>
        <w:rPr>
          <w:rFonts w:ascii="Times New Roman" w:eastAsia="Times New Roman" w:hAnsi="Times New Roman"/>
          <w:noProof/>
          <w:sz w:val="24"/>
          <w:szCs w:val="24"/>
          <w:lang w:val="bg-BG"/>
        </w:rPr>
        <w:t xml:space="preserve"> прилагане на регламента варира в широки граници. Докато някои действат проактивно при информирането на пътниците за правата им и при мониторинга на спазването на регламента, други не правят почтни нищо освен разглеждането на жалби. </w:t>
      </w:r>
    </w:p>
    <w:p w:rsidR="00AE7119" w:rsidRDefault="00505082">
      <w:pPr>
        <w:spacing w:after="120" w:line="240" w:lineRule="auto"/>
        <w:ind w:left="567"/>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Също така се наблюдава</w:t>
      </w:r>
      <w:r>
        <w:rPr>
          <w:rFonts w:ascii="Times New Roman" w:eastAsia="Times New Roman" w:hAnsi="Times New Roman"/>
          <w:noProof/>
          <w:sz w:val="24"/>
          <w:szCs w:val="24"/>
          <w:lang w:val="bg-BG"/>
        </w:rPr>
        <w:t>т значителни разлики при действителното прилагане на правата на пътниците. Някои държави членки не са въвели механизъм за алтернативно решаване на спорове</w:t>
      </w:r>
      <w:r>
        <w:rPr>
          <w:rStyle w:val="FootnoteReference"/>
          <w:rFonts w:ascii="Times New Roman" w:eastAsia="Times New Roman" w:hAnsi="Times New Roman"/>
          <w:noProof/>
          <w:sz w:val="24"/>
          <w:szCs w:val="24"/>
          <w:lang w:val="bg-BG"/>
        </w:rPr>
        <w:footnoteReference w:id="29"/>
      </w:r>
      <w:r>
        <w:rPr>
          <w:rFonts w:ascii="Times New Roman" w:eastAsia="Times New Roman" w:hAnsi="Times New Roman"/>
          <w:noProof/>
          <w:sz w:val="24"/>
          <w:szCs w:val="24"/>
          <w:lang w:val="bg-BG"/>
        </w:rPr>
        <w:t xml:space="preserve">, което означава, че </w:t>
      </w:r>
      <w:r>
        <w:rPr>
          <w:rFonts w:ascii="Times New Roman" w:hAnsi="Times New Roman"/>
          <w:noProof/>
          <w:sz w:val="24"/>
          <w:szCs w:val="24"/>
          <w:lang w:val="bg-BG"/>
        </w:rPr>
        <w:t xml:space="preserve">пътниците трябва да предявяват своите претенции по съдебен ред, което е скъпо и </w:t>
      </w:r>
      <w:r>
        <w:rPr>
          <w:rFonts w:ascii="Times New Roman" w:hAnsi="Times New Roman"/>
          <w:noProof/>
          <w:sz w:val="24"/>
          <w:szCs w:val="24"/>
          <w:lang w:val="bg-BG"/>
        </w:rPr>
        <w:t>отнема много време, и поради тази причина те се обезкуражават да защитят правата си</w:t>
      </w:r>
      <w:r>
        <w:rPr>
          <w:rFonts w:ascii="Times New Roman" w:eastAsia="Times New Roman" w:hAnsi="Times New Roman"/>
          <w:noProof/>
          <w:sz w:val="24"/>
          <w:szCs w:val="24"/>
          <w:lang w:val="bg-BG"/>
        </w:rPr>
        <w:t xml:space="preserve">.  </w:t>
      </w:r>
    </w:p>
    <w:p w:rsidR="00AE7119" w:rsidRDefault="00505082">
      <w:pPr>
        <w:spacing w:after="120" w:line="240" w:lineRule="auto"/>
        <w:ind w:left="567" w:hanging="567"/>
        <w:jc w:val="both"/>
        <w:rPr>
          <w:rFonts w:ascii="Times New Roman" w:eastAsia="Times New Roman" w:hAnsi="Times New Roman"/>
          <w:i/>
          <w:noProof/>
          <w:sz w:val="24"/>
          <w:szCs w:val="24"/>
          <w:lang w:val="bg-BG"/>
        </w:rPr>
      </w:pPr>
      <w:r>
        <w:rPr>
          <w:rFonts w:ascii="Times New Roman" w:eastAsia="Times New Roman" w:hAnsi="Times New Roman"/>
          <w:i/>
          <w:noProof/>
          <w:sz w:val="24"/>
          <w:szCs w:val="24"/>
          <w:lang w:val="bg-BG"/>
        </w:rPr>
        <w:t xml:space="preserve">в) </w:t>
      </w:r>
      <w:r>
        <w:rPr>
          <w:rFonts w:ascii="Times New Roman" w:eastAsia="Times New Roman" w:hAnsi="Times New Roman"/>
          <w:i/>
          <w:noProof/>
          <w:sz w:val="24"/>
          <w:szCs w:val="24"/>
          <w:lang w:val="bg-BG"/>
        </w:rPr>
        <w:tab/>
        <w:t>Трудности при тълкуването на определени разпоредби</w:t>
      </w:r>
    </w:p>
    <w:p w:rsidR="00AE7119" w:rsidRDefault="00505082">
      <w:pPr>
        <w:spacing w:after="120" w:line="240" w:lineRule="auto"/>
        <w:ind w:left="567"/>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Някои разпоредби в регламента се тълкуват по различен начин от различните НППО и операторите.</w:t>
      </w:r>
    </w:p>
    <w:p w:rsidR="00AE7119" w:rsidRDefault="00505082">
      <w:pPr>
        <w:spacing w:after="240" w:line="240" w:lineRule="auto"/>
        <w:ind w:left="567"/>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Представителните орг</w:t>
      </w:r>
      <w:r>
        <w:rPr>
          <w:rFonts w:ascii="Times New Roman" w:eastAsia="Times New Roman" w:hAnsi="Times New Roman"/>
          <w:noProof/>
          <w:sz w:val="24"/>
          <w:szCs w:val="24"/>
          <w:lang w:val="bg-BG"/>
        </w:rPr>
        <w:t xml:space="preserve">анизации и НППО са съгласни, </w:t>
      </w:r>
      <w:r>
        <w:rPr>
          <w:rFonts w:ascii="Times New Roman" w:hAnsi="Times New Roman"/>
          <w:noProof/>
          <w:sz w:val="24"/>
          <w:szCs w:val="24"/>
          <w:lang w:val="bg-BG"/>
        </w:rPr>
        <w:t>че не е необходимо регламентът да бъде изменян, за да се пояснят тези разпоредби, а че Комисията и НППО следва да се договорят как тези разпоредби да се прилагат на практика</w:t>
      </w:r>
      <w:r>
        <w:rPr>
          <w:rFonts w:ascii="Times New Roman" w:eastAsia="Times New Roman" w:hAnsi="Times New Roman"/>
          <w:noProof/>
          <w:sz w:val="24"/>
          <w:szCs w:val="24"/>
          <w:lang w:val="bg-BG"/>
        </w:rPr>
        <w:t>.</w:t>
      </w:r>
    </w:p>
    <w:p w:rsidR="00AE7119" w:rsidRDefault="00505082">
      <w:pPr>
        <w:keepNext/>
        <w:spacing w:after="240" w:line="240" w:lineRule="auto"/>
        <w:ind w:left="567" w:hanging="567"/>
        <w:jc w:val="both"/>
        <w:outlineLvl w:val="1"/>
        <w:rPr>
          <w:rFonts w:ascii="Times New Roman" w:eastAsia="Times New Roman" w:hAnsi="Times New Roman"/>
          <w:b/>
          <w:noProof/>
          <w:sz w:val="24"/>
          <w:szCs w:val="24"/>
          <w:lang w:val="bg-BG"/>
        </w:rPr>
      </w:pPr>
      <w:r>
        <w:rPr>
          <w:rFonts w:ascii="Times New Roman" w:eastAsia="Times New Roman" w:hAnsi="Times New Roman"/>
          <w:b/>
          <w:noProof/>
          <w:sz w:val="24"/>
          <w:szCs w:val="24"/>
          <w:lang w:val="bg-BG"/>
        </w:rPr>
        <w:t>4.2</w:t>
      </w:r>
      <w:r>
        <w:rPr>
          <w:rFonts w:ascii="Times New Roman" w:eastAsia="Times New Roman" w:hAnsi="Times New Roman"/>
          <w:b/>
          <w:noProof/>
          <w:sz w:val="24"/>
          <w:szCs w:val="24"/>
          <w:lang w:val="bg-BG"/>
        </w:rPr>
        <w:tab/>
        <w:t>Действия на Комисията за подобряване на прилаган</w:t>
      </w:r>
      <w:r>
        <w:rPr>
          <w:rFonts w:ascii="Times New Roman" w:eastAsia="Times New Roman" w:hAnsi="Times New Roman"/>
          <w:b/>
          <w:noProof/>
          <w:sz w:val="24"/>
          <w:szCs w:val="24"/>
          <w:lang w:val="bg-BG"/>
        </w:rPr>
        <w:t>ето на регламента</w:t>
      </w:r>
    </w:p>
    <w:p w:rsidR="00AE7119" w:rsidRDefault="00505082">
      <w:pPr>
        <w:spacing w:after="120" w:line="240" w:lineRule="auto"/>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Комисията предприе следните мерки за решаване на посочените по-горе проблеми:</w:t>
      </w:r>
    </w:p>
    <w:p w:rsidR="00AE7119" w:rsidRDefault="00505082">
      <w:pPr>
        <w:spacing w:after="120" w:line="240" w:lineRule="auto"/>
        <w:ind w:left="567" w:hanging="567"/>
        <w:jc w:val="both"/>
        <w:rPr>
          <w:rFonts w:ascii="Times New Roman" w:eastAsia="Times New Roman" w:hAnsi="Times New Roman"/>
          <w:i/>
          <w:noProof/>
          <w:sz w:val="24"/>
          <w:szCs w:val="24"/>
          <w:lang w:val="bg-BG"/>
        </w:rPr>
      </w:pPr>
      <w:r>
        <w:rPr>
          <w:rFonts w:ascii="Times New Roman" w:eastAsia="Times New Roman" w:hAnsi="Times New Roman"/>
          <w:i/>
          <w:noProof/>
          <w:sz w:val="24"/>
          <w:szCs w:val="24"/>
          <w:lang w:val="bg-BG"/>
        </w:rPr>
        <w:t xml:space="preserve">a) </w:t>
      </w:r>
      <w:r>
        <w:rPr>
          <w:rFonts w:ascii="Times New Roman" w:eastAsia="Times New Roman" w:hAnsi="Times New Roman"/>
          <w:i/>
          <w:noProof/>
          <w:sz w:val="24"/>
          <w:szCs w:val="24"/>
          <w:lang w:val="bg-BG"/>
        </w:rPr>
        <w:tab/>
        <w:t>Действия за повишаване на осведомеността относно правата на пътниците и задълженията на операторите</w:t>
      </w:r>
    </w:p>
    <w:p w:rsidR="00AE7119" w:rsidRDefault="00505082">
      <w:pPr>
        <w:spacing w:after="120" w:line="240" w:lineRule="auto"/>
        <w:ind w:left="567"/>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През юни 2013 г. Комисията започна двугодишна информацио</w:t>
      </w:r>
      <w:r>
        <w:rPr>
          <w:rFonts w:ascii="Times New Roman" w:eastAsia="Times New Roman" w:hAnsi="Times New Roman"/>
          <w:noProof/>
          <w:sz w:val="24"/>
          <w:szCs w:val="24"/>
          <w:lang w:val="bg-BG"/>
        </w:rPr>
        <w:t>нна кампания за правата на пътниците във всички видове транспорт, включително и автобусния транспорт. Това включваше отпечатването на плакати и брошури, които бяха разпространени в цяла Европа, използването на социалните мрежи, приложение за мобилни телефо</w:t>
      </w:r>
      <w:r>
        <w:rPr>
          <w:rFonts w:ascii="Times New Roman" w:eastAsia="Times New Roman" w:hAnsi="Times New Roman"/>
          <w:noProof/>
          <w:sz w:val="24"/>
          <w:szCs w:val="24"/>
          <w:lang w:val="bg-BG"/>
        </w:rPr>
        <w:t>ни и участие в туристически панаири.</w:t>
      </w:r>
    </w:p>
    <w:p w:rsidR="00AE7119" w:rsidRDefault="00505082">
      <w:pPr>
        <w:spacing w:after="120" w:line="240" w:lineRule="auto"/>
        <w:ind w:left="567"/>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 xml:space="preserve">Комисията публикува резюме на регламента, </w:t>
      </w:r>
      <w:r>
        <w:rPr>
          <w:rFonts w:ascii="Times New Roman" w:hAnsi="Times New Roman"/>
          <w:noProof/>
          <w:sz w:val="24"/>
          <w:szCs w:val="24"/>
          <w:lang w:val="bg-BG"/>
        </w:rPr>
        <w:t>което широко се използва от НППО и операторите, за да информират пътниците за техните права</w:t>
      </w:r>
      <w:r>
        <w:rPr>
          <w:rFonts w:ascii="Times New Roman" w:eastAsia="Times New Roman" w:hAnsi="Times New Roman"/>
          <w:noProof/>
          <w:sz w:val="24"/>
          <w:szCs w:val="24"/>
          <w:lang w:val="bg-BG"/>
        </w:rPr>
        <w:t xml:space="preserve">.  </w:t>
      </w:r>
    </w:p>
    <w:p w:rsidR="00AE7119" w:rsidRDefault="00505082">
      <w:pPr>
        <w:spacing w:after="120" w:line="240" w:lineRule="auto"/>
        <w:ind w:left="567" w:hanging="567"/>
        <w:jc w:val="both"/>
        <w:rPr>
          <w:rFonts w:ascii="Times New Roman" w:eastAsia="Times New Roman" w:hAnsi="Times New Roman"/>
          <w:i/>
          <w:noProof/>
          <w:sz w:val="24"/>
          <w:szCs w:val="24"/>
          <w:lang w:val="bg-BG"/>
        </w:rPr>
      </w:pPr>
      <w:r>
        <w:rPr>
          <w:rFonts w:ascii="Times New Roman" w:eastAsia="Times New Roman" w:hAnsi="Times New Roman"/>
          <w:i/>
          <w:noProof/>
          <w:sz w:val="24"/>
          <w:szCs w:val="24"/>
          <w:lang w:val="bg-BG"/>
        </w:rPr>
        <w:t xml:space="preserve">б) </w:t>
      </w:r>
      <w:r>
        <w:rPr>
          <w:rFonts w:ascii="Times New Roman" w:eastAsia="Times New Roman" w:hAnsi="Times New Roman"/>
          <w:i/>
          <w:noProof/>
          <w:sz w:val="24"/>
          <w:szCs w:val="24"/>
          <w:lang w:val="bg-BG"/>
        </w:rPr>
        <w:tab/>
        <w:t>Действия за подобряване на прилагането</w:t>
      </w:r>
    </w:p>
    <w:p w:rsidR="00AE7119" w:rsidRDefault="00505082">
      <w:pPr>
        <w:spacing w:after="120" w:line="240" w:lineRule="auto"/>
        <w:ind w:left="567"/>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lastRenderedPageBreak/>
        <w:t>Комисията започна процедури за нарушени</w:t>
      </w:r>
      <w:r>
        <w:rPr>
          <w:rFonts w:ascii="Times New Roman" w:eastAsia="Times New Roman" w:hAnsi="Times New Roman"/>
          <w:noProof/>
          <w:sz w:val="24"/>
          <w:szCs w:val="24"/>
          <w:lang w:val="bg-BG"/>
        </w:rPr>
        <w:t>е срещу държавите членки, които не са определили национален правоприлагащ орган, не са предвидили наказания в националното си законодателство за санкциониране на операторите, които нарушават регламента или не са определили автогари, на които пътниците с ув</w:t>
      </w:r>
      <w:r>
        <w:rPr>
          <w:rFonts w:ascii="Times New Roman" w:eastAsia="Times New Roman" w:hAnsi="Times New Roman"/>
          <w:noProof/>
          <w:sz w:val="24"/>
          <w:szCs w:val="24"/>
          <w:lang w:val="bg-BG"/>
        </w:rPr>
        <w:t>реждания или с намалена подвижност могат да получат подходяща помощ</w:t>
      </w:r>
      <w:r>
        <w:rPr>
          <w:rStyle w:val="FootnoteReference"/>
          <w:rFonts w:ascii="Times New Roman" w:eastAsia="Times New Roman" w:hAnsi="Times New Roman"/>
          <w:noProof/>
          <w:sz w:val="24"/>
          <w:szCs w:val="24"/>
          <w:lang w:val="bg-BG"/>
        </w:rPr>
        <w:footnoteReference w:id="30"/>
      </w:r>
      <w:r>
        <w:rPr>
          <w:rFonts w:ascii="Times New Roman" w:eastAsia="Times New Roman" w:hAnsi="Times New Roman"/>
          <w:noProof/>
          <w:sz w:val="24"/>
          <w:szCs w:val="24"/>
          <w:lang w:val="bg-BG"/>
        </w:rPr>
        <w:t xml:space="preserve">. До юли 2015 г. всички държави членки бяха приели необходимите мерки и процедурите за нарушение бяха прекратени. </w:t>
      </w:r>
    </w:p>
    <w:p w:rsidR="00AE7119" w:rsidRDefault="00505082">
      <w:pPr>
        <w:spacing w:after="120" w:line="240" w:lineRule="auto"/>
        <w:ind w:left="567"/>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Комисията организира годишни срещи на равнище ЕС, на които националните п</w:t>
      </w:r>
      <w:r>
        <w:rPr>
          <w:rFonts w:ascii="Times New Roman" w:eastAsia="Times New Roman" w:hAnsi="Times New Roman"/>
          <w:noProof/>
          <w:sz w:val="24"/>
          <w:szCs w:val="24"/>
          <w:lang w:val="bg-BG"/>
        </w:rPr>
        <w:t xml:space="preserve">равоприлагащи органи и заинтересованите страни </w:t>
      </w:r>
      <w:r>
        <w:rPr>
          <w:rFonts w:ascii="Times New Roman" w:hAnsi="Times New Roman"/>
          <w:noProof/>
          <w:sz w:val="24"/>
          <w:szCs w:val="24"/>
          <w:lang w:val="bg-BG"/>
        </w:rPr>
        <w:t>можаха да споделят опита си относно прилагането на регламента и да обменят информация за добри практики</w:t>
      </w:r>
      <w:r>
        <w:rPr>
          <w:rFonts w:ascii="Times New Roman" w:eastAsia="Times New Roman" w:hAnsi="Times New Roman"/>
          <w:noProof/>
          <w:sz w:val="24"/>
          <w:szCs w:val="24"/>
          <w:lang w:val="bg-BG"/>
        </w:rPr>
        <w:t>.</w:t>
      </w:r>
    </w:p>
    <w:p w:rsidR="00AE7119" w:rsidRDefault="00505082">
      <w:pPr>
        <w:spacing w:after="120" w:line="240" w:lineRule="auto"/>
        <w:ind w:left="567"/>
        <w:jc w:val="both"/>
        <w:rPr>
          <w:rFonts w:ascii="Times New Roman" w:eastAsia="Times New Roman" w:hAnsi="Times New Roman"/>
          <w:noProof/>
          <w:sz w:val="24"/>
          <w:szCs w:val="24"/>
          <w:lang w:val="bg-BG"/>
        </w:rPr>
      </w:pPr>
      <w:r>
        <w:rPr>
          <w:rFonts w:ascii="Times New Roman" w:hAnsi="Times New Roman"/>
          <w:noProof/>
          <w:sz w:val="24"/>
          <w:szCs w:val="24"/>
          <w:lang w:val="bg-BG"/>
        </w:rPr>
        <w:t xml:space="preserve">Освен това по време на годишните срещи с НППО </w:t>
      </w:r>
      <w:r>
        <w:rPr>
          <w:rFonts w:ascii="Times New Roman" w:eastAsia="Times New Roman" w:hAnsi="Times New Roman"/>
          <w:noProof/>
          <w:sz w:val="24"/>
          <w:szCs w:val="24"/>
          <w:lang w:val="bg-BG"/>
        </w:rPr>
        <w:t xml:space="preserve">Комисията предостави насоки и информация за добри практики с цел </w:t>
      </w:r>
      <w:r>
        <w:rPr>
          <w:rFonts w:ascii="Times New Roman" w:hAnsi="Times New Roman"/>
          <w:noProof/>
          <w:sz w:val="24"/>
          <w:szCs w:val="24"/>
          <w:lang w:val="bg-BG"/>
        </w:rPr>
        <w:t xml:space="preserve">да </w:t>
      </w:r>
      <w:r>
        <w:rPr>
          <w:rFonts w:ascii="Times New Roman" w:eastAsia="Times New Roman" w:hAnsi="Times New Roman"/>
          <w:noProof/>
          <w:sz w:val="24"/>
          <w:szCs w:val="24"/>
          <w:lang w:val="bg-BG"/>
        </w:rPr>
        <w:t xml:space="preserve">подобрят сътрудничеството помежду си. </w:t>
      </w:r>
    </w:p>
    <w:p w:rsidR="00AE7119" w:rsidRDefault="00505082">
      <w:pPr>
        <w:spacing w:after="120" w:line="240" w:lineRule="auto"/>
        <w:ind w:left="567" w:hanging="567"/>
        <w:jc w:val="both"/>
        <w:rPr>
          <w:rFonts w:ascii="Times New Roman" w:eastAsia="Times New Roman" w:hAnsi="Times New Roman"/>
          <w:i/>
          <w:noProof/>
          <w:sz w:val="24"/>
          <w:szCs w:val="24"/>
          <w:lang w:val="bg-BG"/>
        </w:rPr>
      </w:pPr>
      <w:r>
        <w:rPr>
          <w:rFonts w:ascii="Times New Roman" w:eastAsia="Times New Roman" w:hAnsi="Times New Roman"/>
          <w:i/>
          <w:noProof/>
          <w:sz w:val="24"/>
          <w:szCs w:val="24"/>
          <w:lang w:val="bg-BG"/>
        </w:rPr>
        <w:t xml:space="preserve">в) </w:t>
      </w:r>
      <w:r>
        <w:rPr>
          <w:rFonts w:ascii="Times New Roman" w:eastAsia="Times New Roman" w:hAnsi="Times New Roman"/>
          <w:i/>
          <w:noProof/>
          <w:sz w:val="24"/>
          <w:szCs w:val="24"/>
          <w:lang w:val="bg-BG"/>
        </w:rPr>
        <w:tab/>
        <w:t>Действия за осигуряване на еднакво прилагане на регламента</w:t>
      </w:r>
    </w:p>
    <w:p w:rsidR="00AE7119" w:rsidRDefault="00505082">
      <w:pPr>
        <w:spacing w:after="240" w:line="240" w:lineRule="auto"/>
        <w:ind w:left="567"/>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На годишните срещи с НППО и представителните организации и чрез писмена кореспонденция</w:t>
      </w:r>
      <w:r>
        <w:rPr>
          <w:rFonts w:ascii="Times New Roman" w:eastAsia="Times New Roman" w:hAnsi="Times New Roman"/>
          <w:noProof/>
          <w:sz w:val="24"/>
          <w:szCs w:val="24"/>
          <w:lang w:val="bg-BG"/>
        </w:rPr>
        <w:t xml:space="preserve"> Комисията предостави разяснения за практическото прилагане на някои разпоредби на регламента. Това спомогна да се осигури еднакво прилагане на разпоредбите в целия ЕС</w:t>
      </w:r>
      <w:r>
        <w:rPr>
          <w:rStyle w:val="FootnoteReference"/>
          <w:rFonts w:ascii="Times New Roman" w:eastAsia="Times New Roman" w:hAnsi="Times New Roman"/>
          <w:noProof/>
          <w:sz w:val="24"/>
          <w:szCs w:val="24"/>
          <w:lang w:val="bg-BG"/>
        </w:rPr>
        <w:footnoteReference w:id="31"/>
      </w:r>
      <w:r>
        <w:rPr>
          <w:rFonts w:ascii="Times New Roman" w:eastAsia="Times New Roman" w:hAnsi="Times New Roman"/>
          <w:noProof/>
          <w:sz w:val="24"/>
          <w:szCs w:val="24"/>
          <w:lang w:val="bg-BG"/>
        </w:rPr>
        <w:t>.</w:t>
      </w:r>
    </w:p>
    <w:p w:rsidR="00AE7119" w:rsidRDefault="00505082">
      <w:pPr>
        <w:keepNext/>
        <w:spacing w:after="240" w:line="240" w:lineRule="auto"/>
        <w:ind w:left="567" w:hanging="567"/>
        <w:jc w:val="both"/>
        <w:outlineLvl w:val="1"/>
        <w:rPr>
          <w:rFonts w:ascii="Times New Roman" w:eastAsia="Times New Roman" w:hAnsi="Times New Roman"/>
          <w:b/>
          <w:smallCaps/>
          <w:noProof/>
          <w:sz w:val="24"/>
          <w:szCs w:val="24"/>
          <w:lang w:val="bg-BG"/>
        </w:rPr>
      </w:pPr>
      <w:r>
        <w:rPr>
          <w:rFonts w:ascii="Times New Roman" w:eastAsia="Times New Roman" w:hAnsi="Times New Roman"/>
          <w:b/>
          <w:smallCaps/>
          <w:noProof/>
          <w:sz w:val="24"/>
          <w:szCs w:val="24"/>
          <w:lang w:val="bg-BG"/>
        </w:rPr>
        <w:t>5.</w:t>
      </w:r>
      <w:r>
        <w:rPr>
          <w:rFonts w:ascii="Times New Roman" w:eastAsia="Times New Roman" w:hAnsi="Times New Roman"/>
          <w:b/>
          <w:smallCaps/>
          <w:noProof/>
          <w:sz w:val="24"/>
          <w:szCs w:val="24"/>
          <w:lang w:val="bg-BG"/>
        </w:rPr>
        <w:tab/>
        <w:t>Заключения и следващи стъпки</w:t>
      </w:r>
    </w:p>
    <w:p w:rsidR="00AE7119" w:rsidRDefault="00505082">
      <w:pPr>
        <w:spacing w:after="240"/>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В контекста на ограничения опит във връзка с прилагане</w:t>
      </w:r>
      <w:r>
        <w:rPr>
          <w:rFonts w:ascii="Times New Roman" w:eastAsia="Times New Roman" w:hAnsi="Times New Roman"/>
          <w:noProof/>
          <w:sz w:val="24"/>
          <w:szCs w:val="24"/>
          <w:lang w:val="bg-BG"/>
        </w:rPr>
        <w:t xml:space="preserve">то на регламента, натрупан до момента, Комисията счита, че няма основания за изменението му. </w:t>
      </w:r>
    </w:p>
    <w:p w:rsidR="00AE7119" w:rsidRDefault="00505082">
      <w:pPr>
        <w:spacing w:after="240"/>
        <w:jc w:val="both"/>
        <w:rPr>
          <w:rFonts w:ascii="Times New Roman" w:eastAsia="Times New Roman" w:hAnsi="Times New Roman"/>
          <w:noProof/>
          <w:sz w:val="24"/>
          <w:szCs w:val="24"/>
          <w:lang w:val="bg-BG"/>
        </w:rPr>
      </w:pPr>
      <w:r>
        <w:rPr>
          <w:rFonts w:ascii="Times New Roman" w:eastAsia="Times New Roman" w:hAnsi="Times New Roman"/>
          <w:noProof/>
          <w:sz w:val="24"/>
          <w:szCs w:val="24"/>
          <w:lang w:val="bg-BG"/>
        </w:rPr>
        <w:t>Заинтересованите страни и националните правоприлагащи органи са съгласни, че някои от пречките, които възпрепятстват пътниците да упражнят своите права или да изи</w:t>
      </w:r>
      <w:r>
        <w:rPr>
          <w:rFonts w:ascii="Times New Roman" w:eastAsia="Times New Roman" w:hAnsi="Times New Roman"/>
          <w:noProof/>
          <w:sz w:val="24"/>
          <w:szCs w:val="24"/>
          <w:lang w:val="bg-BG"/>
        </w:rPr>
        <w:t>скват спазването им, могат да бъдат премахнати чрез по-ефективно прилагане на настоящия регламент. Поради това Комисията предприема действия и препоръчва на заинтересованите страни и на националните правоприлагащи органи следното:</w:t>
      </w:r>
    </w:p>
    <w:p w:rsidR="00AE7119" w:rsidRDefault="00505082">
      <w:pPr>
        <w:pStyle w:val="ListParagraph"/>
        <w:numPr>
          <w:ilvl w:val="0"/>
          <w:numId w:val="43"/>
        </w:numPr>
        <w:spacing w:after="120"/>
        <w:ind w:left="567" w:hanging="567"/>
        <w:contextualSpacing w:val="0"/>
        <w:jc w:val="both"/>
        <w:rPr>
          <w:noProof/>
          <w:lang w:val="bg-BG"/>
        </w:rPr>
      </w:pPr>
      <w:r>
        <w:rPr>
          <w:noProof/>
          <w:lang w:val="bg-BG"/>
        </w:rPr>
        <w:t>Комисията организира своя</w:t>
      </w:r>
      <w:r>
        <w:rPr>
          <w:noProof/>
          <w:lang w:val="bg-BG"/>
        </w:rPr>
        <w:t>та трета информационна кампания между пролетта на 2016 г. и края на 2017 г. с цел повишаване на осведомеността на пътниците относно техните права, с акцент върху социалните мрежи. Тя приканва НППО, отрасъла и организациите за правата на пътниците да обедин</w:t>
      </w:r>
      <w:r>
        <w:rPr>
          <w:noProof/>
          <w:lang w:val="bg-BG"/>
        </w:rPr>
        <w:t xml:space="preserve">ят усилията си и да започнат подобни кампании на тяхното равнище.  </w:t>
      </w:r>
    </w:p>
    <w:p w:rsidR="00AE7119" w:rsidRDefault="00505082">
      <w:pPr>
        <w:pStyle w:val="ListParagraph"/>
        <w:numPr>
          <w:ilvl w:val="0"/>
          <w:numId w:val="43"/>
        </w:numPr>
        <w:spacing w:after="120"/>
        <w:ind w:left="567" w:hanging="567"/>
        <w:contextualSpacing w:val="0"/>
        <w:jc w:val="both"/>
        <w:rPr>
          <w:noProof/>
          <w:lang w:val="bg-BG"/>
        </w:rPr>
      </w:pPr>
      <w:r>
        <w:rPr>
          <w:noProof/>
          <w:lang w:val="bg-BG"/>
        </w:rPr>
        <w:t>НППО се насърчават да извършват инспекции на автобуси и автогари, наред с другото, за да проверяват как регламентът се прилага на практика, и да разясняват на операторите техните задължени</w:t>
      </w:r>
      <w:r>
        <w:rPr>
          <w:noProof/>
          <w:lang w:val="bg-BG"/>
        </w:rPr>
        <w:t xml:space="preserve">я по регламента. Освен това НППО се насърчават да проверяват уебсайтовете на превозвачите, за да се гарантира, че съдържат информация относно правата на пътниците, както и че общите договорни условия са в съответствие с регламента. </w:t>
      </w:r>
    </w:p>
    <w:p w:rsidR="00AE7119" w:rsidRDefault="00505082">
      <w:pPr>
        <w:pStyle w:val="ListParagraph"/>
        <w:numPr>
          <w:ilvl w:val="0"/>
          <w:numId w:val="43"/>
        </w:numPr>
        <w:spacing w:after="120"/>
        <w:ind w:left="567" w:hanging="567"/>
        <w:contextualSpacing w:val="0"/>
        <w:jc w:val="both"/>
        <w:rPr>
          <w:noProof/>
          <w:lang w:val="bg-BG"/>
        </w:rPr>
      </w:pPr>
      <w:r>
        <w:rPr>
          <w:noProof/>
          <w:lang w:val="bg-BG"/>
        </w:rPr>
        <w:lastRenderedPageBreak/>
        <w:t>Държавите членки, които</w:t>
      </w:r>
      <w:r>
        <w:rPr>
          <w:noProof/>
          <w:lang w:val="bg-BG"/>
        </w:rPr>
        <w:t xml:space="preserve"> понастоящем не предлагат алтернативен механизъм за решаване на спорове във връзка с на правата на пътниците, се насърчават да въведат подобен механизъм в съответствие с Директива 2013/11/ЕС</w:t>
      </w:r>
      <w:r>
        <w:rPr>
          <w:rStyle w:val="FootnoteReference"/>
          <w:noProof/>
          <w:lang w:val="bg-BG"/>
        </w:rPr>
        <w:footnoteReference w:id="32"/>
      </w:r>
      <w:r>
        <w:rPr>
          <w:noProof/>
          <w:lang w:val="bg-BG"/>
        </w:rPr>
        <w:t>, така че на пътниците да се предоставят по-бързи и по-евтини нач</w:t>
      </w:r>
      <w:r>
        <w:rPr>
          <w:noProof/>
          <w:lang w:val="bg-BG"/>
        </w:rPr>
        <w:t xml:space="preserve">ини за търсене на компенсация. </w:t>
      </w:r>
    </w:p>
    <w:p w:rsidR="00AE7119" w:rsidRDefault="00505082">
      <w:pPr>
        <w:pStyle w:val="ListParagraph"/>
        <w:numPr>
          <w:ilvl w:val="0"/>
          <w:numId w:val="43"/>
        </w:numPr>
        <w:spacing w:after="120"/>
        <w:ind w:left="567" w:hanging="567"/>
        <w:contextualSpacing w:val="0"/>
        <w:jc w:val="both"/>
        <w:rPr>
          <w:noProof/>
          <w:lang w:val="bg-BG"/>
        </w:rPr>
      </w:pPr>
      <w:r>
        <w:rPr>
          <w:noProof/>
          <w:lang w:val="bg-BG"/>
        </w:rPr>
        <w:t xml:space="preserve">Комисията ще продължи да организира редовни срещи с НППО и представителните организации, за да се постигне общо разбиране относно тълкуването и изпълнението на регламента и да се насърчат сътрудничеството и обмяната на опит </w:t>
      </w:r>
      <w:r>
        <w:rPr>
          <w:noProof/>
          <w:lang w:val="bg-BG"/>
        </w:rPr>
        <w:t xml:space="preserve">(свързани както със срещнатите трудности, така и с добрите практики). </w:t>
      </w:r>
    </w:p>
    <w:p w:rsidR="00AE7119" w:rsidRDefault="00505082">
      <w:pPr>
        <w:pStyle w:val="ListParagraph"/>
        <w:numPr>
          <w:ilvl w:val="0"/>
          <w:numId w:val="43"/>
        </w:numPr>
        <w:spacing w:after="120"/>
        <w:ind w:left="567" w:hanging="567"/>
        <w:contextualSpacing w:val="0"/>
        <w:jc w:val="both"/>
        <w:rPr>
          <w:noProof/>
          <w:lang w:val="bg-BG"/>
        </w:rPr>
      </w:pPr>
      <w:r>
        <w:rPr>
          <w:noProof/>
          <w:lang w:val="bg-BG"/>
        </w:rPr>
        <w:t>При необходимост Комисията ще публикува общи тълкувателни насоки, които да придружават регламента, за да се изясни значението на някои разпоредби (както е правила преди това за други ви</w:t>
      </w:r>
      <w:r>
        <w:rPr>
          <w:noProof/>
          <w:lang w:val="bg-BG"/>
        </w:rPr>
        <w:t>дове транспорт) и/или документи за добри практики по конкретни въпроси (например как по-добре да се отговори на специфичните нужди на лицата с увреждания или с намалена подвижност).</w:t>
      </w:r>
    </w:p>
    <w:p w:rsidR="00AE7119" w:rsidRDefault="00505082">
      <w:pPr>
        <w:pStyle w:val="ListParagraph"/>
        <w:numPr>
          <w:ilvl w:val="0"/>
          <w:numId w:val="43"/>
        </w:numPr>
        <w:spacing w:after="120"/>
        <w:ind w:left="567" w:hanging="567"/>
        <w:contextualSpacing w:val="0"/>
        <w:jc w:val="both"/>
        <w:rPr>
          <w:noProof/>
          <w:lang w:val="bg-BG"/>
        </w:rPr>
      </w:pPr>
      <w:r>
        <w:rPr>
          <w:noProof/>
          <w:lang w:val="bg-BG"/>
        </w:rPr>
        <w:t>Комисията събира информация за местни и национални добри практики за подоб</w:t>
      </w:r>
      <w:r>
        <w:rPr>
          <w:noProof/>
          <w:lang w:val="bg-BG"/>
        </w:rPr>
        <w:t>ряване на достъпността на автобусния транспорт за пътници с увреждания или с намалена подвижност. Тя ще ги представи на НППО и представителните организации на редовните им срещи. Освен това тя обмисля публикуването на информация за добри практики, свързани</w:t>
      </w:r>
      <w:r>
        <w:rPr>
          <w:noProof/>
          <w:lang w:val="bg-BG"/>
        </w:rPr>
        <w:t xml:space="preserve"> с превоза на пътници с увреждания или с намалена подвижност във всички видове транспорт.  </w:t>
      </w:r>
    </w:p>
    <w:p w:rsidR="00AE7119" w:rsidRDefault="00505082">
      <w:pPr>
        <w:pStyle w:val="ListParagraph"/>
        <w:numPr>
          <w:ilvl w:val="0"/>
          <w:numId w:val="43"/>
        </w:numPr>
        <w:spacing w:after="120"/>
        <w:ind w:left="567" w:hanging="567"/>
        <w:contextualSpacing w:val="0"/>
        <w:jc w:val="both"/>
        <w:rPr>
          <w:noProof/>
          <w:lang w:val="bg-BG"/>
        </w:rPr>
      </w:pPr>
      <w:r>
        <w:rPr>
          <w:noProof/>
          <w:lang w:val="bg-BG"/>
        </w:rPr>
        <w:t>Комисията насърчава националните и местните органи и частните инвеститори да осигуряват мултимодална връзка на автобусните станции и автогари с други видове транспо</w:t>
      </w:r>
      <w:r>
        <w:rPr>
          <w:noProof/>
          <w:lang w:val="bg-BG"/>
        </w:rPr>
        <w:t xml:space="preserve">рт, по-специално с железопътния и с регионалния и местния транспорт в градските транспортни възли, в съответствие с целите на Регламента за </w:t>
      </w:r>
      <w:r>
        <w:rPr>
          <w:noProof/>
        </w:rPr>
        <w:t>TEN</w:t>
      </w:r>
      <w:r>
        <w:rPr>
          <w:noProof/>
          <w:lang w:val="bg-BG"/>
        </w:rPr>
        <w:t>-</w:t>
      </w:r>
      <w:r>
        <w:rPr>
          <w:noProof/>
        </w:rPr>
        <w:t>T</w:t>
      </w:r>
      <w:r>
        <w:rPr>
          <w:rStyle w:val="FootnoteReference"/>
          <w:noProof/>
          <w:lang w:val="bg-BG"/>
        </w:rPr>
        <w:footnoteReference w:id="33"/>
      </w:r>
      <w:r>
        <w:rPr>
          <w:noProof/>
          <w:lang w:val="bg-BG"/>
        </w:rPr>
        <w:t xml:space="preserve">, и да ремонтират съществуващите автогари или да изграждат нови най-съвременни автогари, които също така са </w:t>
      </w:r>
      <w:r>
        <w:rPr>
          <w:noProof/>
          <w:lang w:val="bg-BG"/>
        </w:rPr>
        <w:t>напълно достъпни за лица с увреждания или с намалена подвижност. Такива действия могат да получат подкрепа от ЕС по линия на инструмента за финансиране, наречен Механизъм за свързване на Европа</w:t>
      </w:r>
      <w:r>
        <w:rPr>
          <w:rStyle w:val="FootnoteReference"/>
          <w:noProof/>
          <w:lang w:val="bg-BG"/>
        </w:rPr>
        <w:footnoteReference w:id="34"/>
      </w:r>
      <w:r>
        <w:rPr>
          <w:noProof/>
          <w:lang w:val="bg-BG"/>
        </w:rPr>
        <w:t>, ако въпросната автогара се намира в градски транспортен възе</w:t>
      </w:r>
      <w:r>
        <w:rPr>
          <w:noProof/>
          <w:lang w:val="bg-BG"/>
        </w:rPr>
        <w:t xml:space="preserve">л от мрежата </w:t>
      </w:r>
      <w:r>
        <w:rPr>
          <w:rStyle w:val="highlight"/>
          <w:noProof/>
        </w:rPr>
        <w:t>TEN</w:t>
      </w:r>
      <w:r>
        <w:rPr>
          <w:rStyle w:val="highlight"/>
          <w:noProof/>
          <w:lang w:val="bg-BG"/>
        </w:rPr>
        <w:t>-</w:t>
      </w:r>
      <w:r>
        <w:rPr>
          <w:rStyle w:val="highlight"/>
          <w:noProof/>
        </w:rPr>
        <w:t>T</w:t>
      </w:r>
      <w:r>
        <w:rPr>
          <w:rStyle w:val="highlight"/>
          <w:noProof/>
          <w:lang w:val="bg-BG"/>
        </w:rPr>
        <w:t xml:space="preserve">, или по друг начин от </w:t>
      </w:r>
      <w:r>
        <w:rPr>
          <w:noProof/>
          <w:lang w:val="bg-BG"/>
        </w:rPr>
        <w:t xml:space="preserve">европейските структурни и инвестиционни фондове, които също подкрепят развитието на колективния транспорт. </w:t>
      </w:r>
    </w:p>
    <w:p w:rsidR="00AE7119" w:rsidRPr="00CF62FC" w:rsidRDefault="00505082" w:rsidP="00CF62FC">
      <w:pPr>
        <w:pStyle w:val="ListParagraph"/>
        <w:numPr>
          <w:ilvl w:val="0"/>
          <w:numId w:val="43"/>
        </w:numPr>
        <w:spacing w:after="120"/>
        <w:ind w:left="567" w:hanging="567"/>
        <w:contextualSpacing w:val="0"/>
        <w:jc w:val="both"/>
        <w:rPr>
          <w:noProof/>
          <w:lang w:val="bg-BG"/>
        </w:rPr>
      </w:pPr>
      <w:r w:rsidRPr="00CF62FC">
        <w:rPr>
          <w:noProof/>
          <w:lang w:val="bg-BG"/>
        </w:rPr>
        <w:t>Комисията насърчава държавите членки, които понастоящем предоставят освобождавания от регламента</w:t>
      </w:r>
      <w:r>
        <w:rPr>
          <w:rStyle w:val="FootnoteReference"/>
          <w:noProof/>
          <w:lang w:val="bg-BG"/>
        </w:rPr>
        <w:footnoteReference w:id="35"/>
      </w:r>
      <w:r w:rsidRPr="00CF62FC">
        <w:rPr>
          <w:noProof/>
          <w:lang w:val="bg-BG"/>
        </w:rPr>
        <w:t xml:space="preserve"> или от ча</w:t>
      </w:r>
      <w:r w:rsidRPr="00CF62FC">
        <w:rPr>
          <w:noProof/>
          <w:lang w:val="bg-BG"/>
        </w:rPr>
        <w:t>сти от него, да направят преглед дали в контекста на настоящия опит е необходимо прилагането на тези освобождавания да продължава.</w:t>
      </w:r>
      <w:bookmarkStart w:id="1" w:name="_GoBack"/>
      <w:bookmarkEnd w:id="1"/>
    </w:p>
    <w:sectPr w:rsidR="00AE7119" w:rsidRPr="00CF62F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82" w:rsidRDefault="00505082">
      <w:pPr>
        <w:spacing w:after="0" w:line="240" w:lineRule="auto"/>
      </w:pPr>
      <w:r>
        <w:separator/>
      </w:r>
    </w:p>
  </w:endnote>
  <w:endnote w:type="continuationSeparator" w:id="0">
    <w:p w:rsidR="00505082" w:rsidRDefault="00505082">
      <w:pPr>
        <w:spacing w:after="0" w:line="240" w:lineRule="auto"/>
      </w:pPr>
      <w:r>
        <w:continuationSeparator/>
      </w:r>
    </w:p>
  </w:endnote>
  <w:endnote w:type="continuationNotice" w:id="1">
    <w:p w:rsidR="00505082" w:rsidRDefault="00505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119" w:rsidRDefault="00AE71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119" w:rsidRDefault="00505082">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119" w:rsidRDefault="00AE711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119" w:rsidRDefault="00AE711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119" w:rsidRDefault="00505082">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F62FC">
      <w:rPr>
        <w:rFonts w:ascii="Times New Roman" w:hAnsi="Times New Roman"/>
        <w:noProof/>
        <w:sz w:val="24"/>
        <w:szCs w:val="24"/>
      </w:rPr>
      <w:t>14</w:t>
    </w:r>
    <w:r>
      <w:rPr>
        <w:rFonts w:ascii="Times New Roman" w:hAnsi="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119" w:rsidRDefault="00AE7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82" w:rsidRDefault="00505082">
      <w:pPr>
        <w:spacing w:after="0" w:line="240" w:lineRule="auto"/>
      </w:pPr>
      <w:r>
        <w:separator/>
      </w:r>
    </w:p>
  </w:footnote>
  <w:footnote w:type="continuationSeparator" w:id="0">
    <w:p w:rsidR="00505082" w:rsidRDefault="00505082">
      <w:pPr>
        <w:spacing w:after="0" w:line="240" w:lineRule="auto"/>
      </w:pPr>
      <w:r>
        <w:continuationSeparator/>
      </w:r>
    </w:p>
  </w:footnote>
  <w:footnote w:type="continuationNotice" w:id="1">
    <w:p w:rsidR="00505082" w:rsidRDefault="00505082">
      <w:pPr>
        <w:spacing w:after="0" w:line="240" w:lineRule="auto"/>
      </w:pPr>
    </w:p>
  </w:footnote>
  <w:footnote w:id="2">
    <w:p w:rsidR="00AE7119" w:rsidRDefault="00505082">
      <w:pPr>
        <w:pStyle w:val="FootnoteText"/>
        <w:rPr>
          <w:lang w:val="bg-BG"/>
        </w:rPr>
      </w:pPr>
      <w:r>
        <w:rPr>
          <w:rStyle w:val="FootnoteReference"/>
        </w:rPr>
        <w:footnoteRef/>
      </w:r>
      <w:r>
        <w:rPr>
          <w:lang w:val="ru-RU"/>
        </w:rPr>
        <w:t xml:space="preserve"> </w:t>
      </w:r>
      <w:r>
        <w:rPr>
          <w:lang w:val="bg-BG"/>
        </w:rPr>
        <w:t xml:space="preserve">Регламент (ЕС) № 181/2011 на Европейския парламент и на Съвета от 16 февруари 2011 г. относно правата на пътниците в автобусния транспорт и за изменение на Регламент № 2006/2004 (ОВ </w:t>
      </w:r>
      <w:r>
        <w:t>L</w:t>
      </w:r>
      <w:r>
        <w:rPr>
          <w:lang w:val="ru-RU"/>
        </w:rPr>
        <w:t xml:space="preserve"> 55, 28.2.2011</w:t>
      </w:r>
      <w:r>
        <w:rPr>
          <w:lang w:val="bg-BG"/>
        </w:rPr>
        <w:t> г.</w:t>
      </w:r>
      <w:r>
        <w:rPr>
          <w:lang w:val="ru-RU"/>
        </w:rPr>
        <w:t xml:space="preserve">, </w:t>
      </w:r>
      <w:r>
        <w:rPr>
          <w:lang w:val="bg-BG"/>
        </w:rPr>
        <w:t>стр</w:t>
      </w:r>
      <w:r>
        <w:rPr>
          <w:lang w:val="ru-RU"/>
        </w:rPr>
        <w:t>.</w:t>
      </w:r>
      <w:r>
        <w:rPr>
          <w:lang w:val="bg-BG"/>
        </w:rPr>
        <w:t> </w:t>
      </w:r>
      <w:r>
        <w:rPr>
          <w:lang w:val="ru-RU"/>
        </w:rPr>
        <w:t>1).</w:t>
      </w:r>
    </w:p>
  </w:footnote>
  <w:footnote w:id="3">
    <w:p w:rsidR="00AE7119" w:rsidRDefault="00505082">
      <w:pPr>
        <w:pStyle w:val="FootnoteText"/>
        <w:rPr>
          <w:lang w:val="bg-BG"/>
        </w:rPr>
      </w:pPr>
      <w:r>
        <w:rPr>
          <w:rStyle w:val="FootnoteReference"/>
        </w:rPr>
        <w:footnoteRef/>
      </w:r>
      <w:r>
        <w:rPr>
          <w:lang w:val="ru-RU"/>
        </w:rPr>
        <w:t xml:space="preserve"> </w:t>
      </w:r>
      <w:r>
        <w:rPr>
          <w:lang w:val="bg-BG"/>
        </w:rPr>
        <w:t>От националните органи, определени от държа</w:t>
      </w:r>
      <w:r>
        <w:rPr>
          <w:lang w:val="bg-BG"/>
        </w:rPr>
        <w:t>вите членки за прилагането на регламента, се изисква да публикуват доклад до 1 юни 2015 г. относно прилагането на регламента от тяхна страна в рамките на двете предходни календарни години. Повечето органи са публикували докладите си на своите уебсайтове.</w:t>
      </w:r>
    </w:p>
  </w:footnote>
  <w:footnote w:id="4">
    <w:p w:rsidR="00AE7119" w:rsidRDefault="00505082">
      <w:pPr>
        <w:pStyle w:val="FootnoteText"/>
        <w:rPr>
          <w:lang w:val="bg-BG"/>
        </w:rPr>
      </w:pPr>
      <w:r>
        <w:rPr>
          <w:rStyle w:val="FootnoteReference"/>
        </w:rPr>
        <w:footnoteRef/>
      </w:r>
      <w:r>
        <w:rPr>
          <w:lang w:val="bg-BG"/>
        </w:rPr>
        <w:t xml:space="preserve"> Комисията покани организациите, които представляват пътниците (включително тези с увреждания), превозвачите и операторите на автогари на равнище ЕС да изпратят коментари в писмена форма относно функционирането на регламента и да участват в срещата, провед</w:t>
      </w:r>
      <w:r>
        <w:rPr>
          <w:lang w:val="bg-BG"/>
        </w:rPr>
        <w:t xml:space="preserve">ена в Брюксел на 1 март 2016 г. На поканата да изпратят коментари отговориха следните организации: </w:t>
      </w:r>
      <w:r>
        <w:t>Association</w:t>
      </w:r>
      <w:r>
        <w:rPr>
          <w:lang w:val="bg-BG"/>
        </w:rPr>
        <w:t xml:space="preserve"> </w:t>
      </w:r>
      <w:r>
        <w:t>of</w:t>
      </w:r>
      <w:r>
        <w:rPr>
          <w:lang w:val="bg-BG"/>
        </w:rPr>
        <w:t xml:space="preserve"> </w:t>
      </w:r>
      <w:r>
        <w:t>Pan</w:t>
      </w:r>
      <w:r>
        <w:rPr>
          <w:lang w:val="bg-BG"/>
        </w:rPr>
        <w:t>-</w:t>
      </w:r>
      <w:r>
        <w:t>European</w:t>
      </w:r>
      <w:r>
        <w:rPr>
          <w:lang w:val="bg-BG"/>
        </w:rPr>
        <w:t xml:space="preserve"> </w:t>
      </w:r>
      <w:r>
        <w:t>Coach</w:t>
      </w:r>
      <w:r>
        <w:rPr>
          <w:lang w:val="bg-BG"/>
        </w:rPr>
        <w:t xml:space="preserve"> </w:t>
      </w:r>
      <w:r>
        <w:t>Terminals</w:t>
      </w:r>
      <w:r>
        <w:rPr>
          <w:lang w:val="bg-BG"/>
        </w:rPr>
        <w:t xml:space="preserve"> — </w:t>
      </w:r>
      <w:r>
        <w:t>APC</w:t>
      </w:r>
      <w:r>
        <w:rPr>
          <w:lang w:val="bg-BG"/>
        </w:rPr>
        <w:t xml:space="preserve"> (Асоциация на паневропейските автогари), </w:t>
      </w:r>
      <w:r>
        <w:t>European</w:t>
      </w:r>
      <w:r>
        <w:rPr>
          <w:lang w:val="bg-BG"/>
        </w:rPr>
        <w:t xml:space="preserve"> </w:t>
      </w:r>
      <w:r>
        <w:t>Alliance</w:t>
      </w:r>
      <w:r>
        <w:rPr>
          <w:lang w:val="bg-BG"/>
        </w:rPr>
        <w:t xml:space="preserve"> </w:t>
      </w:r>
      <w:r>
        <w:t>for</w:t>
      </w:r>
      <w:r>
        <w:rPr>
          <w:lang w:val="bg-BG"/>
        </w:rPr>
        <w:t xml:space="preserve"> </w:t>
      </w:r>
      <w:r>
        <w:t>Coach</w:t>
      </w:r>
      <w:r>
        <w:rPr>
          <w:lang w:val="bg-BG"/>
        </w:rPr>
        <w:t xml:space="preserve"> </w:t>
      </w:r>
      <w:r>
        <w:t>Tourism</w:t>
      </w:r>
      <w:r>
        <w:rPr>
          <w:lang w:val="bg-BG"/>
        </w:rPr>
        <w:t xml:space="preserve"> — </w:t>
      </w:r>
      <w:r>
        <w:t>ECTA</w:t>
      </w:r>
      <w:r>
        <w:rPr>
          <w:lang w:val="bg-BG"/>
        </w:rPr>
        <w:t xml:space="preserve"> (Европейски алианс за автобусен туризъм), </w:t>
      </w:r>
      <w:r>
        <w:t>European</w:t>
      </w:r>
      <w:r>
        <w:rPr>
          <w:lang w:val="bg-BG"/>
        </w:rPr>
        <w:t xml:space="preserve"> </w:t>
      </w:r>
      <w:r>
        <w:t>Disability</w:t>
      </w:r>
      <w:r>
        <w:rPr>
          <w:lang w:val="bg-BG"/>
        </w:rPr>
        <w:t xml:space="preserve"> </w:t>
      </w:r>
      <w:r>
        <w:t>Forum</w:t>
      </w:r>
      <w:r>
        <w:rPr>
          <w:lang w:val="bg-BG"/>
        </w:rPr>
        <w:t xml:space="preserve">  — </w:t>
      </w:r>
      <w:r>
        <w:t>EDF</w:t>
      </w:r>
      <w:r>
        <w:rPr>
          <w:lang w:val="bg-BG"/>
        </w:rPr>
        <w:t xml:space="preserve">   (Европейски форум на лицата с увреждания), </w:t>
      </w:r>
      <w:r>
        <w:t>European</w:t>
      </w:r>
      <w:r>
        <w:rPr>
          <w:lang w:val="bg-BG"/>
        </w:rPr>
        <w:t xml:space="preserve"> </w:t>
      </w:r>
      <w:r>
        <w:t>Passengers</w:t>
      </w:r>
      <w:r>
        <w:rPr>
          <w:lang w:val="bg-BG"/>
        </w:rPr>
        <w:t xml:space="preserve">’ </w:t>
      </w:r>
      <w:r>
        <w:t>Federation</w:t>
      </w:r>
      <w:r>
        <w:rPr>
          <w:lang w:val="bg-BG"/>
        </w:rPr>
        <w:t xml:space="preserve"> — </w:t>
      </w:r>
      <w:r>
        <w:t>EPF</w:t>
      </w:r>
      <w:r>
        <w:rPr>
          <w:lang w:val="bg-BG"/>
        </w:rPr>
        <w:t xml:space="preserve"> (Европейска федерация на пътниците), </w:t>
      </w:r>
      <w:r>
        <w:t>European</w:t>
      </w:r>
      <w:r>
        <w:rPr>
          <w:lang w:val="bg-BG"/>
        </w:rPr>
        <w:t xml:space="preserve"> </w:t>
      </w:r>
      <w:r>
        <w:t>Passenger</w:t>
      </w:r>
      <w:r>
        <w:rPr>
          <w:lang w:val="bg-BG"/>
        </w:rPr>
        <w:t xml:space="preserve"> </w:t>
      </w:r>
      <w:r>
        <w:t>Transport</w:t>
      </w:r>
      <w:r>
        <w:rPr>
          <w:lang w:val="bg-BG"/>
        </w:rPr>
        <w:t xml:space="preserve"> </w:t>
      </w:r>
      <w:r>
        <w:t>Operators</w:t>
      </w:r>
      <w:r>
        <w:rPr>
          <w:lang w:val="bg-BG"/>
        </w:rPr>
        <w:t xml:space="preserve"> — </w:t>
      </w:r>
      <w:r>
        <w:t>EPTO</w:t>
      </w:r>
      <w:r>
        <w:rPr>
          <w:lang w:val="bg-BG"/>
        </w:rPr>
        <w:t xml:space="preserve"> (Европейски оп</w:t>
      </w:r>
      <w:r>
        <w:rPr>
          <w:lang w:val="bg-BG"/>
        </w:rPr>
        <w:t xml:space="preserve">ератори в областта на пътническите превози), </w:t>
      </w:r>
      <w:r>
        <w:t>International</w:t>
      </w:r>
      <w:r>
        <w:rPr>
          <w:lang w:val="bg-BG"/>
        </w:rPr>
        <w:t xml:space="preserve"> </w:t>
      </w:r>
      <w:r>
        <w:t>Road</w:t>
      </w:r>
      <w:r>
        <w:rPr>
          <w:lang w:val="bg-BG"/>
        </w:rPr>
        <w:t xml:space="preserve"> </w:t>
      </w:r>
      <w:r>
        <w:t>Transport</w:t>
      </w:r>
      <w:r>
        <w:rPr>
          <w:lang w:val="bg-BG"/>
        </w:rPr>
        <w:t xml:space="preserve"> </w:t>
      </w:r>
      <w:r>
        <w:t>Union</w:t>
      </w:r>
      <w:r>
        <w:rPr>
          <w:lang w:val="bg-BG"/>
        </w:rPr>
        <w:t xml:space="preserve"> — </w:t>
      </w:r>
      <w:r>
        <w:t>IRU</w:t>
      </w:r>
      <w:r>
        <w:rPr>
          <w:lang w:val="bg-BG"/>
        </w:rPr>
        <w:t xml:space="preserve"> (Международен съюз за автомобилен транспорт) и </w:t>
      </w:r>
      <w:r>
        <w:t>International</w:t>
      </w:r>
      <w:r>
        <w:rPr>
          <w:lang w:val="bg-BG"/>
        </w:rPr>
        <w:t xml:space="preserve"> </w:t>
      </w:r>
      <w:r>
        <w:t>Association</w:t>
      </w:r>
      <w:r>
        <w:rPr>
          <w:lang w:val="bg-BG"/>
        </w:rPr>
        <w:t xml:space="preserve"> </w:t>
      </w:r>
      <w:r>
        <w:t>of</w:t>
      </w:r>
      <w:r>
        <w:rPr>
          <w:lang w:val="bg-BG"/>
        </w:rPr>
        <w:t xml:space="preserve"> </w:t>
      </w:r>
      <w:r>
        <w:t>Public</w:t>
      </w:r>
      <w:r>
        <w:rPr>
          <w:lang w:val="bg-BG"/>
        </w:rPr>
        <w:t xml:space="preserve"> </w:t>
      </w:r>
      <w:r>
        <w:t>Transport</w:t>
      </w:r>
      <w:r>
        <w:rPr>
          <w:lang w:val="bg-BG"/>
        </w:rPr>
        <w:t xml:space="preserve"> — </w:t>
      </w:r>
      <w:r>
        <w:t>UIT</w:t>
      </w:r>
      <w:r>
        <w:rPr>
          <w:lang w:val="bg-BG"/>
        </w:rPr>
        <w:t xml:space="preserve"> (Международна асоциация за обществен транспорт). Освен това, изпратени </w:t>
      </w:r>
      <w:r>
        <w:rPr>
          <w:lang w:val="bg-BG"/>
        </w:rPr>
        <w:t xml:space="preserve">по собствена инициатива коментари бяха получени от германската пътническа организация  — </w:t>
      </w:r>
      <w:r>
        <w:t>ProRail</w:t>
      </w:r>
      <w:r>
        <w:rPr>
          <w:lang w:val="bg-BG"/>
        </w:rPr>
        <w:t xml:space="preserve">, и от френското автобусно дружество — </w:t>
      </w:r>
      <w:r>
        <w:t>Ouibus</w:t>
      </w:r>
      <w:r>
        <w:rPr>
          <w:lang w:val="bg-BG"/>
        </w:rPr>
        <w:t>.</w:t>
      </w:r>
    </w:p>
  </w:footnote>
  <w:footnote w:id="5">
    <w:p w:rsidR="00AE7119" w:rsidRDefault="00505082">
      <w:pPr>
        <w:pStyle w:val="FootnoteText"/>
        <w:rPr>
          <w:lang w:val="bg-BG"/>
        </w:rPr>
      </w:pPr>
      <w:r>
        <w:rPr>
          <w:rStyle w:val="FootnoteReference"/>
        </w:rPr>
        <w:footnoteRef/>
      </w:r>
      <w:r>
        <w:rPr>
          <w:lang w:val="bg-BG"/>
        </w:rPr>
        <w:t xml:space="preserve"> </w:t>
      </w:r>
      <w:r>
        <w:t>http</w:t>
      </w:r>
      <w:r>
        <w:rPr>
          <w:lang w:val="bg-BG"/>
        </w:rPr>
        <w:t>://</w:t>
      </w:r>
      <w:r>
        <w:t>ec</w:t>
      </w:r>
      <w:r>
        <w:rPr>
          <w:lang w:val="bg-BG"/>
        </w:rPr>
        <w:t>.</w:t>
      </w:r>
      <w:r>
        <w:t>europa</w:t>
      </w:r>
      <w:r>
        <w:rPr>
          <w:lang w:val="bg-BG"/>
        </w:rPr>
        <w:t>.</w:t>
      </w:r>
      <w:r>
        <w:t>eu</w:t>
      </w:r>
      <w:r>
        <w:rPr>
          <w:lang w:val="bg-BG"/>
        </w:rPr>
        <w:t>/</w:t>
      </w:r>
      <w:r>
        <w:t>transport</w:t>
      </w:r>
      <w:r>
        <w:rPr>
          <w:lang w:val="bg-BG"/>
        </w:rPr>
        <w:t>/</w:t>
      </w:r>
      <w:r>
        <w:t>modes</w:t>
      </w:r>
      <w:r>
        <w:rPr>
          <w:lang w:val="bg-BG"/>
        </w:rPr>
        <w:t>/</w:t>
      </w:r>
      <w:r>
        <w:t>road</w:t>
      </w:r>
      <w:r>
        <w:rPr>
          <w:lang w:val="bg-BG"/>
        </w:rPr>
        <w:t>/</w:t>
      </w:r>
      <w:r>
        <w:t>studies</w:t>
      </w:r>
      <w:r>
        <w:rPr>
          <w:lang w:val="bg-BG"/>
        </w:rPr>
        <w:t>/</w:t>
      </w:r>
      <w:r>
        <w:t>doc</w:t>
      </w:r>
      <w:r>
        <w:rPr>
          <w:lang w:val="bg-BG"/>
        </w:rPr>
        <w:t>/2016-04-</w:t>
      </w:r>
      <w:r>
        <w:t>passenger</w:t>
      </w:r>
      <w:r>
        <w:rPr>
          <w:lang w:val="bg-BG"/>
        </w:rPr>
        <w:t>-</w:t>
      </w:r>
      <w:r>
        <w:t>transport</w:t>
      </w:r>
      <w:r>
        <w:rPr>
          <w:lang w:val="bg-BG"/>
        </w:rPr>
        <w:t>-</w:t>
      </w:r>
      <w:r>
        <w:t>by</w:t>
      </w:r>
      <w:r>
        <w:rPr>
          <w:lang w:val="bg-BG"/>
        </w:rPr>
        <w:t>-</w:t>
      </w:r>
      <w:r>
        <w:t>coach</w:t>
      </w:r>
      <w:r>
        <w:rPr>
          <w:lang w:val="bg-BG"/>
        </w:rPr>
        <w:t>-</w:t>
      </w:r>
      <w:r>
        <w:t>in</w:t>
      </w:r>
      <w:r>
        <w:rPr>
          <w:lang w:val="bg-BG"/>
        </w:rPr>
        <w:t>-</w:t>
      </w:r>
      <w:r>
        <w:t>europe</w:t>
      </w:r>
      <w:r>
        <w:rPr>
          <w:lang w:val="bg-BG"/>
        </w:rPr>
        <w:t>.</w:t>
      </w:r>
      <w:r>
        <w:t>pdf</w:t>
      </w:r>
    </w:p>
  </w:footnote>
  <w:footnote w:id="6">
    <w:p w:rsidR="00AE7119" w:rsidRDefault="00505082">
      <w:pPr>
        <w:pStyle w:val="FootnoteText"/>
        <w:rPr>
          <w:lang w:val="bg-BG"/>
        </w:rPr>
      </w:pPr>
      <w:r>
        <w:rPr>
          <w:rStyle w:val="FootnoteReference"/>
        </w:rPr>
        <w:footnoteRef/>
      </w:r>
      <w:r>
        <w:rPr>
          <w:lang w:val="ru-RU"/>
        </w:rPr>
        <w:t xml:space="preserve"> </w:t>
      </w:r>
      <w:r>
        <w:rPr>
          <w:lang w:val="bg-BG"/>
        </w:rPr>
        <w:t xml:space="preserve">Транспортът на ЕС в цифри — статистически наръчник, 2015 г. </w:t>
      </w:r>
    </w:p>
  </w:footnote>
  <w:footnote w:id="7">
    <w:p w:rsidR="00AE7119" w:rsidRDefault="00505082">
      <w:pPr>
        <w:pStyle w:val="FootnoteText"/>
        <w:rPr>
          <w:lang w:val="bg-BG"/>
        </w:rPr>
      </w:pPr>
      <w:r>
        <w:rPr>
          <w:rStyle w:val="FootnoteReference"/>
        </w:rPr>
        <w:footnoteRef/>
      </w:r>
      <w:r>
        <w:rPr>
          <w:lang w:val="ru-RU"/>
        </w:rPr>
        <w:t xml:space="preserve"> </w:t>
      </w:r>
      <w:r>
        <w:t>COM</w:t>
      </w:r>
      <w:r>
        <w:rPr>
          <w:lang w:val="bg-BG"/>
        </w:rPr>
        <w:t>(2008) 817 окончателен.</w:t>
      </w:r>
    </w:p>
  </w:footnote>
  <w:footnote w:id="8">
    <w:p w:rsidR="00AE7119" w:rsidRDefault="00505082">
      <w:pPr>
        <w:pStyle w:val="FootnoteText"/>
        <w:rPr>
          <w:lang w:val="bg-BG"/>
        </w:rPr>
      </w:pPr>
      <w:r>
        <w:rPr>
          <w:rStyle w:val="FootnoteReference"/>
        </w:rPr>
        <w:footnoteRef/>
      </w:r>
      <w:r>
        <w:rPr>
          <w:lang w:val="ru-RU"/>
        </w:rPr>
        <w:t xml:space="preserve"> </w:t>
      </w:r>
      <w:r>
        <w:rPr>
          <w:lang w:val="bg-BG"/>
        </w:rPr>
        <w:t>След либерализацията на германския пазар през 2013 г. броят на одобрените редовни автобусни превози</w:t>
      </w:r>
      <w:r>
        <w:rPr>
          <w:lang w:val="ru-RU"/>
        </w:rPr>
        <w:t xml:space="preserve"> </w:t>
      </w:r>
      <w:r>
        <w:rPr>
          <w:lang w:val="bg-BG"/>
        </w:rPr>
        <w:t>на дълги разстояние е нараснал от 86 до 277 между декември 2012 </w:t>
      </w:r>
      <w:r>
        <w:rPr>
          <w:lang w:val="bg-BG"/>
        </w:rPr>
        <w:t>г. и януари 2015 г. Чрез тези превози са обслужени между 17 и 19 милиона пътници през 2014 г. Френският вътрешен пазар беше либерализиран през август 2015 г. През първите 6 месеца след промяната на регулирането автобусните превози на дълги разстояния са пр</w:t>
      </w:r>
      <w:r>
        <w:rPr>
          <w:lang w:val="bg-BG"/>
        </w:rPr>
        <w:t xml:space="preserve">евозили 1,5 милиона пътници до 168 дестинации (през  цялата 2013 г. само 110 000 пътници са пътували с автобусни превози на дълги разстояния и са се предлагали само 68 дестинации). Източник: Всеобхватно проучване относно превоза с туристически автобуси на </w:t>
      </w:r>
      <w:r>
        <w:rPr>
          <w:lang w:val="bg-BG"/>
        </w:rPr>
        <w:t>пътници в Европа, 2016 г.).</w:t>
      </w:r>
    </w:p>
  </w:footnote>
  <w:footnote w:id="9">
    <w:p w:rsidR="00AE7119" w:rsidRDefault="00505082">
      <w:pPr>
        <w:pStyle w:val="FootnoteText"/>
        <w:rPr>
          <w:lang w:val="bg-BG"/>
        </w:rPr>
      </w:pPr>
      <w:r>
        <w:rPr>
          <w:rStyle w:val="FootnoteReference"/>
        </w:rPr>
        <w:footnoteRef/>
      </w:r>
      <w:r>
        <w:rPr>
          <w:lang w:val="ru-RU"/>
        </w:rPr>
        <w:t xml:space="preserve"> </w:t>
      </w:r>
      <w:r>
        <w:rPr>
          <w:lang w:val="bg-BG"/>
        </w:rPr>
        <w:t xml:space="preserve">Например, за разлика от другите видове транспорт, значителните закъснения или отмяната на пътуване при пристигане не водят до обезщетение. </w:t>
      </w:r>
    </w:p>
  </w:footnote>
  <w:footnote w:id="10">
    <w:p w:rsidR="00AE7119" w:rsidRDefault="00505082">
      <w:pPr>
        <w:pStyle w:val="FootnoteText"/>
        <w:rPr>
          <w:lang w:val="bg-BG"/>
        </w:rPr>
      </w:pPr>
      <w:r>
        <w:rPr>
          <w:rStyle w:val="FootnoteReference"/>
        </w:rPr>
        <w:footnoteRef/>
      </w:r>
      <w:r>
        <w:rPr>
          <w:lang w:val="bg-BG"/>
        </w:rPr>
        <w:t xml:space="preserve"> 2013 </w:t>
      </w:r>
      <w:r>
        <w:t>National</w:t>
      </w:r>
      <w:r>
        <w:rPr>
          <w:lang w:val="bg-BG"/>
        </w:rPr>
        <w:t xml:space="preserve"> </w:t>
      </w:r>
      <w:r>
        <w:t>Travel</w:t>
      </w:r>
      <w:r>
        <w:rPr>
          <w:lang w:val="bg-BG"/>
        </w:rPr>
        <w:t xml:space="preserve"> </w:t>
      </w:r>
      <w:r>
        <w:t>Survey</w:t>
      </w:r>
      <w:r>
        <w:rPr>
          <w:lang w:val="bg-BG"/>
        </w:rPr>
        <w:t xml:space="preserve"> </w:t>
      </w:r>
      <w:r>
        <w:t>in</w:t>
      </w:r>
      <w:r>
        <w:rPr>
          <w:lang w:val="bg-BG"/>
        </w:rPr>
        <w:t xml:space="preserve"> </w:t>
      </w:r>
      <w:r>
        <w:t>the</w:t>
      </w:r>
      <w:r>
        <w:rPr>
          <w:lang w:val="bg-BG"/>
        </w:rPr>
        <w:t xml:space="preserve"> </w:t>
      </w:r>
      <w:r>
        <w:t>UK</w:t>
      </w:r>
      <w:r>
        <w:rPr>
          <w:lang w:val="bg-BG"/>
        </w:rPr>
        <w:t xml:space="preserve"> (Национално проучване на пътуванията през 2013</w:t>
      </w:r>
      <w:r>
        <w:rPr>
          <w:lang w:val="bg-BG"/>
        </w:rPr>
        <w:t xml:space="preserve"> г. в Обединеното кралство), 2012 </w:t>
      </w:r>
      <w:r>
        <w:t>NTA</w:t>
      </w:r>
      <w:r>
        <w:rPr>
          <w:lang w:val="bg-BG"/>
        </w:rPr>
        <w:t xml:space="preserve"> </w:t>
      </w:r>
      <w:r>
        <w:t>National</w:t>
      </w:r>
      <w:r>
        <w:rPr>
          <w:lang w:val="bg-BG"/>
        </w:rPr>
        <w:t xml:space="preserve"> </w:t>
      </w:r>
      <w:r>
        <w:t>Household</w:t>
      </w:r>
      <w:r>
        <w:rPr>
          <w:lang w:val="bg-BG"/>
        </w:rPr>
        <w:t xml:space="preserve"> </w:t>
      </w:r>
      <w:r>
        <w:t>Travel</w:t>
      </w:r>
      <w:r>
        <w:rPr>
          <w:lang w:val="bg-BG"/>
        </w:rPr>
        <w:t xml:space="preserve"> </w:t>
      </w:r>
      <w:r>
        <w:t>Survey</w:t>
      </w:r>
      <w:r>
        <w:rPr>
          <w:lang w:val="bg-BG"/>
        </w:rPr>
        <w:t xml:space="preserve"> </w:t>
      </w:r>
      <w:r>
        <w:t>in</w:t>
      </w:r>
      <w:r>
        <w:rPr>
          <w:lang w:val="bg-BG"/>
        </w:rPr>
        <w:t xml:space="preserve"> </w:t>
      </w:r>
      <w:r>
        <w:t>Ireland</w:t>
      </w:r>
      <w:r>
        <w:rPr>
          <w:lang w:val="bg-BG"/>
        </w:rPr>
        <w:t xml:space="preserve"> (Национално проучване на пътуванията сред домакинствата в Ирландия през 2012 г. на Националния орган по транспорта (</w:t>
      </w:r>
      <w:r>
        <w:rPr>
          <w:lang w:val="en-US"/>
        </w:rPr>
        <w:t>NTA</w:t>
      </w:r>
      <w:r>
        <w:rPr>
          <w:lang w:val="bg-BG"/>
        </w:rPr>
        <w:t>) и проучване, проведено в Германия през 2013 г. от кон</w:t>
      </w:r>
      <w:r>
        <w:rPr>
          <w:lang w:val="bg-BG"/>
        </w:rPr>
        <w:t xml:space="preserve">султантската фирма </w:t>
      </w:r>
      <w:r>
        <w:rPr>
          <w:lang w:val="en-US"/>
        </w:rPr>
        <w:t>IGES</w:t>
      </w:r>
      <w:r>
        <w:rPr>
          <w:lang w:val="bg-BG"/>
        </w:rPr>
        <w:t>.</w:t>
      </w:r>
    </w:p>
    <w:p w:rsidR="00AE7119" w:rsidRDefault="00AE7119">
      <w:pPr>
        <w:pStyle w:val="FootnoteText"/>
        <w:rPr>
          <w:lang w:val="bg-BG"/>
        </w:rPr>
      </w:pPr>
    </w:p>
  </w:footnote>
  <w:footnote w:id="11">
    <w:p w:rsidR="00AE7119" w:rsidRDefault="00505082">
      <w:pPr>
        <w:pStyle w:val="FootnoteText"/>
        <w:rPr>
          <w:lang w:val="bg-BG"/>
        </w:rPr>
      </w:pPr>
      <w:r>
        <w:rPr>
          <w:rStyle w:val="FootnoteReference"/>
        </w:rPr>
        <w:footnoteRef/>
      </w:r>
      <w:r>
        <w:rPr>
          <w:lang w:val="bg-BG"/>
        </w:rPr>
        <w:tab/>
      </w:r>
      <w:r>
        <w:rPr>
          <w:lang w:val="ru-RU"/>
        </w:rPr>
        <w:t xml:space="preserve"> </w:t>
      </w:r>
      <w:r>
        <w:rPr>
          <w:lang w:val="bg-BG"/>
        </w:rPr>
        <w:t xml:space="preserve">Освен това ограничен брой разпоредби (най-важната от които се отнася за обезщетение и помощ, които се изисква да бъдат предоставени от превозвачите в случай на смърт, нараняване, загуба или повреда на багаж вследствие на пътни </w:t>
      </w:r>
      <w:r>
        <w:rPr>
          <w:lang w:val="bg-BG"/>
        </w:rPr>
        <w:t>инциденти) се прилагат също и за „случайни превози“, при които групата пътници е образувана по инициатива на клиента или на превозвача.</w:t>
      </w:r>
    </w:p>
  </w:footnote>
  <w:footnote w:id="12">
    <w:p w:rsidR="00AE7119" w:rsidRDefault="00505082">
      <w:pPr>
        <w:pStyle w:val="FootnoteText"/>
        <w:rPr>
          <w:lang w:val="bg-BG"/>
        </w:rPr>
      </w:pPr>
      <w:r>
        <w:rPr>
          <w:rStyle w:val="FootnoteReference"/>
        </w:rPr>
        <w:footnoteRef/>
      </w:r>
      <w:r>
        <w:rPr>
          <w:lang w:val="bg-BG"/>
        </w:rPr>
        <w:tab/>
        <w:t xml:space="preserve"> </w:t>
      </w:r>
      <w:r>
        <w:t>http</w:t>
      </w:r>
      <w:r>
        <w:rPr>
          <w:lang w:val="bg-BG"/>
        </w:rPr>
        <w:t>://</w:t>
      </w:r>
      <w:r>
        <w:t>ec</w:t>
      </w:r>
      <w:r>
        <w:rPr>
          <w:lang w:val="bg-BG"/>
        </w:rPr>
        <w:t>.</w:t>
      </w:r>
      <w:r>
        <w:t>europa</w:t>
      </w:r>
      <w:r>
        <w:rPr>
          <w:lang w:val="bg-BG"/>
        </w:rPr>
        <w:t>.</w:t>
      </w:r>
      <w:r>
        <w:t>eu</w:t>
      </w:r>
      <w:r>
        <w:rPr>
          <w:lang w:val="bg-BG"/>
        </w:rPr>
        <w:t>/</w:t>
      </w:r>
      <w:r>
        <w:t>transport</w:t>
      </w:r>
      <w:r>
        <w:rPr>
          <w:lang w:val="bg-BG"/>
        </w:rPr>
        <w:t>/</w:t>
      </w:r>
      <w:r>
        <w:t>themes</w:t>
      </w:r>
      <w:r>
        <w:rPr>
          <w:lang w:val="bg-BG"/>
        </w:rPr>
        <w:t>/</w:t>
      </w:r>
      <w:r>
        <w:t>passengers</w:t>
      </w:r>
      <w:r>
        <w:rPr>
          <w:lang w:val="bg-BG"/>
        </w:rPr>
        <w:t>/</w:t>
      </w:r>
      <w:r>
        <w:t>road</w:t>
      </w:r>
      <w:r>
        <w:rPr>
          <w:lang w:val="bg-BG"/>
        </w:rPr>
        <w:t>/</w:t>
      </w:r>
      <w:r>
        <w:t>doc</w:t>
      </w:r>
      <w:r>
        <w:rPr>
          <w:lang w:val="bg-BG"/>
        </w:rPr>
        <w:t>/</w:t>
      </w:r>
      <w:r>
        <w:t>exemptions</w:t>
      </w:r>
      <w:r>
        <w:rPr>
          <w:lang w:val="bg-BG"/>
        </w:rPr>
        <w:t>-</w:t>
      </w:r>
      <w:r>
        <w:t>from</w:t>
      </w:r>
      <w:r>
        <w:rPr>
          <w:lang w:val="bg-BG"/>
        </w:rPr>
        <w:t>-</w:t>
      </w:r>
      <w:r>
        <w:t>bus</w:t>
      </w:r>
      <w:r>
        <w:rPr>
          <w:lang w:val="bg-BG"/>
        </w:rPr>
        <w:t>-</w:t>
      </w:r>
      <w:r>
        <w:t>coach</w:t>
      </w:r>
      <w:r>
        <w:rPr>
          <w:lang w:val="bg-BG"/>
        </w:rPr>
        <w:t>-</w:t>
      </w:r>
      <w:r>
        <w:t>passengers</w:t>
      </w:r>
      <w:r>
        <w:rPr>
          <w:lang w:val="bg-BG"/>
        </w:rPr>
        <w:t>-</w:t>
      </w:r>
      <w:r>
        <w:t>rights</w:t>
      </w:r>
      <w:r>
        <w:rPr>
          <w:lang w:val="bg-BG"/>
        </w:rPr>
        <w:t>-</w:t>
      </w:r>
      <w:r>
        <w:t>and</w:t>
      </w:r>
      <w:r>
        <w:rPr>
          <w:lang w:val="bg-BG"/>
        </w:rPr>
        <w:t>-</w:t>
      </w:r>
      <w:r>
        <w:t>obligations</w:t>
      </w:r>
      <w:r>
        <w:rPr>
          <w:lang w:val="bg-BG"/>
        </w:rPr>
        <w:t>.</w:t>
      </w:r>
      <w:r>
        <w:t>pdf</w:t>
      </w:r>
    </w:p>
  </w:footnote>
  <w:footnote w:id="13">
    <w:p w:rsidR="00AE7119" w:rsidRDefault="00505082">
      <w:pPr>
        <w:pStyle w:val="FootnoteText"/>
        <w:rPr>
          <w:lang w:val="bg-BG"/>
        </w:rPr>
      </w:pPr>
      <w:r>
        <w:rPr>
          <w:rStyle w:val="FootnoteReference"/>
          <w:color w:val="0D0D0D" w:themeColor="text1" w:themeTint="F2"/>
        </w:rPr>
        <w:footnoteRef/>
      </w:r>
      <w:r>
        <w:rPr>
          <w:lang w:val="bg-BG"/>
        </w:rPr>
        <w:tab/>
      </w:r>
      <w:r>
        <w:rPr>
          <w:lang w:val="ru-RU"/>
        </w:rPr>
        <w:t xml:space="preserve"> </w:t>
      </w:r>
      <w:r>
        <w:rPr>
          <w:lang w:val="bg-BG"/>
        </w:rPr>
        <w:t xml:space="preserve">Директива (ЕС) № 2015/2302 на Европейския парламент и на Съвета от 25 ноември 2015 г. относно пакетните туристически пътувания и свързаните пътнически услуги за изменение на Регламент (ЕО) № 2006/2004 и Директива 2011/83/ЕС на Европейския парламент </w:t>
      </w:r>
      <w:r>
        <w:rPr>
          <w:lang w:val="bg-BG"/>
        </w:rPr>
        <w:t xml:space="preserve">и на Съвета и за отмяна на Директива 90/314/ЕИО на Съвета (ОВ </w:t>
      </w:r>
      <w:r>
        <w:t>L</w:t>
      </w:r>
      <w:r>
        <w:rPr>
          <w:lang w:val="bg-BG"/>
        </w:rPr>
        <w:t xml:space="preserve"> 326, 11.12.2015 г., стр. 1). Тази директива трябва да бъде транспонирана в националните законодателства на държавите членки до 1 януари 2018 г. До тази дата се прилага Директива 90/314/ЕИО.</w:t>
      </w:r>
    </w:p>
  </w:footnote>
  <w:footnote w:id="14">
    <w:p w:rsidR="00AE7119" w:rsidRDefault="00505082">
      <w:pPr>
        <w:pStyle w:val="FootnoteText"/>
        <w:rPr>
          <w:lang w:val="bg-BG"/>
        </w:rPr>
      </w:pPr>
      <w:r>
        <w:rPr>
          <w:rStyle w:val="FootnoteReference"/>
        </w:rPr>
        <w:footnoteRef/>
      </w:r>
      <w:r>
        <w:rPr>
          <w:lang w:val="ru-RU"/>
        </w:rPr>
        <w:t xml:space="preserve"> </w:t>
      </w:r>
      <w:r>
        <w:rPr>
          <w:lang w:val="bg-BG"/>
        </w:rPr>
        <w:t>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w:t>
      </w:r>
      <w:r>
        <w:rPr>
          <w:lang w:val="bg-BG"/>
        </w:rPr>
        <w:t xml:space="preserve">, предназначени за тях (ОВ </w:t>
      </w:r>
      <w:r>
        <w:t>L</w:t>
      </w:r>
      <w:r>
        <w:rPr>
          <w:lang w:val="bg-BG"/>
        </w:rPr>
        <w:t xml:space="preserve"> 200, 31.7.2009 г., стр. 1).</w:t>
      </w:r>
    </w:p>
  </w:footnote>
  <w:footnote w:id="15">
    <w:p w:rsidR="00AE7119" w:rsidRDefault="00505082">
      <w:pPr>
        <w:pStyle w:val="FootnoteText"/>
        <w:rPr>
          <w:lang w:val="bg-BG"/>
        </w:rPr>
      </w:pPr>
      <w:r>
        <w:rPr>
          <w:rStyle w:val="FootnoteReference"/>
        </w:rPr>
        <w:footnoteRef/>
      </w:r>
      <w:r>
        <w:rPr>
          <w:lang w:val="bg-BG"/>
        </w:rPr>
        <w:tab/>
      </w:r>
      <w:r>
        <w:rPr>
          <w:lang w:val="ru-RU"/>
        </w:rPr>
        <w:t xml:space="preserve"> </w:t>
      </w:r>
      <w:r>
        <w:rPr>
          <w:lang w:val="bg-BG"/>
        </w:rPr>
        <w:t>Регламент (ЕО) № 2006/2004 на Европейския парламент и на Съвета от 27 октомври 2004 г. за сътрудничество между националните органи, отговорни за прилагането на законодателството за защита на потре</w:t>
      </w:r>
      <w:r>
        <w:rPr>
          <w:lang w:val="bg-BG"/>
        </w:rPr>
        <w:t xml:space="preserve">бителите (ОВ </w:t>
      </w:r>
      <w:r>
        <w:t>L</w:t>
      </w:r>
      <w:r>
        <w:rPr>
          <w:lang w:val="bg-BG"/>
        </w:rPr>
        <w:t xml:space="preserve"> 364, 9.12.2004 г., стр. 1).</w:t>
      </w:r>
    </w:p>
  </w:footnote>
  <w:footnote w:id="16">
    <w:p w:rsidR="00AE7119" w:rsidRDefault="00505082">
      <w:pPr>
        <w:pStyle w:val="FootnoteText"/>
        <w:rPr>
          <w:lang w:val="bg-BG"/>
        </w:rPr>
      </w:pPr>
      <w:r>
        <w:rPr>
          <w:rStyle w:val="FootnoteReference"/>
          <w:color w:val="0D0D0D" w:themeColor="text1" w:themeTint="F2"/>
        </w:rPr>
        <w:footnoteRef/>
      </w:r>
      <w:r>
        <w:rPr>
          <w:lang w:val="bg-BG"/>
        </w:rPr>
        <w:tab/>
      </w:r>
      <w:r>
        <w:rPr>
          <w:lang w:val="ru-RU"/>
        </w:rPr>
        <w:t xml:space="preserve"> </w:t>
      </w:r>
      <w:r>
        <w:rPr>
          <w:lang w:val="bg-BG"/>
        </w:rPr>
        <w:t>Списъка с НППО, отговорни за прилагането на регламента, вж. на адрес</w:t>
      </w:r>
      <w:r>
        <w:rPr>
          <w:color w:val="0D0D0D" w:themeColor="text1" w:themeTint="F2"/>
          <w:lang w:val="bg-BG"/>
        </w:rPr>
        <w:t>:</w:t>
      </w:r>
      <w:r>
        <w:rPr>
          <w:color w:val="0D0D0D" w:themeColor="text1" w:themeTint="F2"/>
          <w:lang w:val="bg-BG"/>
        </w:rPr>
        <w:tab/>
      </w:r>
      <w:r>
        <w:rPr>
          <w:color w:val="0D0D0D" w:themeColor="text1" w:themeTint="F2"/>
          <w:lang w:val="bg-BG"/>
        </w:rPr>
        <w:br/>
      </w:r>
      <w:r>
        <w:t>http</w:t>
      </w:r>
      <w:r>
        <w:rPr>
          <w:lang w:val="bg-BG"/>
        </w:rPr>
        <w:t>://</w:t>
      </w:r>
      <w:r>
        <w:t>ec</w:t>
      </w:r>
      <w:r>
        <w:rPr>
          <w:lang w:val="bg-BG"/>
        </w:rPr>
        <w:t>.</w:t>
      </w:r>
      <w:r>
        <w:t>europa</w:t>
      </w:r>
      <w:r>
        <w:rPr>
          <w:lang w:val="bg-BG"/>
        </w:rPr>
        <w:t>.</w:t>
      </w:r>
      <w:r>
        <w:t>eu</w:t>
      </w:r>
      <w:r>
        <w:rPr>
          <w:lang w:val="bg-BG"/>
        </w:rPr>
        <w:t>/</w:t>
      </w:r>
      <w:r>
        <w:t>transport</w:t>
      </w:r>
      <w:r>
        <w:rPr>
          <w:lang w:val="bg-BG"/>
        </w:rPr>
        <w:t>/</w:t>
      </w:r>
      <w:r>
        <w:t>themes</w:t>
      </w:r>
      <w:r>
        <w:rPr>
          <w:lang w:val="bg-BG"/>
        </w:rPr>
        <w:t>/</w:t>
      </w:r>
      <w:r>
        <w:t>passengers</w:t>
      </w:r>
      <w:r>
        <w:rPr>
          <w:lang w:val="bg-BG"/>
        </w:rPr>
        <w:t>/</w:t>
      </w:r>
      <w:r>
        <w:t>road</w:t>
      </w:r>
      <w:r>
        <w:rPr>
          <w:lang w:val="bg-BG"/>
        </w:rPr>
        <w:t>/</w:t>
      </w:r>
      <w:r>
        <w:t>doc</w:t>
      </w:r>
      <w:r>
        <w:rPr>
          <w:lang w:val="bg-BG"/>
        </w:rPr>
        <w:t>/2011_0181_</w:t>
      </w:r>
      <w:r>
        <w:t>national</w:t>
      </w:r>
      <w:r>
        <w:rPr>
          <w:lang w:val="bg-BG"/>
        </w:rPr>
        <w:t>_</w:t>
      </w:r>
      <w:r>
        <w:t>enforcement</w:t>
      </w:r>
      <w:r>
        <w:rPr>
          <w:lang w:val="bg-BG"/>
        </w:rPr>
        <w:t>_</w:t>
      </w:r>
      <w:r>
        <w:t>bodies</w:t>
      </w:r>
      <w:r>
        <w:rPr>
          <w:lang w:val="bg-BG"/>
        </w:rPr>
        <w:t>.</w:t>
      </w:r>
      <w:r>
        <w:t>pdf</w:t>
      </w:r>
    </w:p>
  </w:footnote>
  <w:footnote w:id="17">
    <w:p w:rsidR="00AE7119" w:rsidRDefault="00505082">
      <w:pPr>
        <w:pStyle w:val="FootnoteText"/>
        <w:rPr>
          <w:lang w:val="bg-BG"/>
        </w:rPr>
      </w:pPr>
      <w:r>
        <w:rPr>
          <w:rStyle w:val="FootnoteReference"/>
        </w:rPr>
        <w:footnoteRef/>
      </w:r>
      <w:r>
        <w:rPr>
          <w:lang w:val="bg-BG"/>
        </w:rPr>
        <w:tab/>
      </w:r>
      <w:r>
        <w:rPr>
          <w:lang w:val="ru-RU"/>
        </w:rPr>
        <w:t xml:space="preserve"> </w:t>
      </w:r>
      <w:r>
        <w:rPr>
          <w:lang w:val="bg-BG"/>
        </w:rPr>
        <w:t>Данните са взети от докладите за дейн</w:t>
      </w:r>
      <w:r>
        <w:rPr>
          <w:lang w:val="bg-BG"/>
        </w:rPr>
        <w:t>остта на НППО и обрисуват ситуацията за периода от 1 март 2013 г. до 1 януари 2015 г. В случай че няма налични данни (не се прилага), това показва, че не е имало функциониращ национален правоприлагащ орган в тази държава членка по време на периода на докла</w:t>
      </w:r>
      <w:r>
        <w:rPr>
          <w:lang w:val="bg-BG"/>
        </w:rPr>
        <w:t xml:space="preserve">дване, че не е била въведена система на наказания за санкциониране на операторите, които са нарушили регламента, или че НППО не е публикувал своя доклад за дейността.   </w:t>
      </w:r>
    </w:p>
    <w:p w:rsidR="00AE7119" w:rsidRDefault="00505082">
      <w:pPr>
        <w:pStyle w:val="FootnoteText"/>
        <w:rPr>
          <w:lang w:val="bg-BG"/>
        </w:rPr>
      </w:pPr>
      <w:r>
        <w:rPr>
          <w:lang w:val="bg-BG"/>
        </w:rPr>
        <w:tab/>
        <w:t>Не във всички доклади на НППО се посочват причините за жалбите, а горепосочените данн</w:t>
      </w:r>
      <w:r>
        <w:rPr>
          <w:lang w:val="bg-BG"/>
        </w:rPr>
        <w:t xml:space="preserve">и могат да включват жалби, които попадат извън обхвата на регламента. </w:t>
      </w:r>
    </w:p>
  </w:footnote>
  <w:footnote w:id="18">
    <w:p w:rsidR="00AE7119" w:rsidRDefault="00505082">
      <w:pPr>
        <w:pStyle w:val="FootnoteText"/>
        <w:rPr>
          <w:highlight w:val="yellow"/>
          <w:lang w:val="bg-BG"/>
        </w:rPr>
      </w:pPr>
      <w:r>
        <w:rPr>
          <w:rStyle w:val="FootnoteReference"/>
        </w:rPr>
        <w:footnoteRef/>
      </w:r>
      <w:r>
        <w:rPr>
          <w:lang w:val="bg-BG"/>
        </w:rPr>
        <w:tab/>
      </w:r>
      <w:r>
        <w:rPr>
          <w:lang w:val="ru-RU"/>
        </w:rPr>
        <w:t xml:space="preserve"> </w:t>
      </w:r>
      <w:r>
        <w:rPr>
          <w:lang w:val="bg-BG"/>
        </w:rPr>
        <w:t xml:space="preserve">Например националните правоприлагащи органи в България, Германия, Естония, Испания, Франция, Литва, Финландия и Швеция са инспектирали превозвачи и автогари. Освен това националният </w:t>
      </w:r>
      <w:r>
        <w:rPr>
          <w:lang w:val="bg-BG"/>
        </w:rPr>
        <w:t xml:space="preserve">правоприлагащ орган в Германия е организирал срещи с операторите преди да започне да се прилага регламентът, за да ги подготви за неговото прилагане, и е отпечатал брошури за правата на пътниците в автобусния транспорт. Националните </w:t>
      </w:r>
      <w:r>
        <w:rPr>
          <w:rFonts w:eastAsia="Times New Roman"/>
          <w:lang w:val="bg-BG"/>
        </w:rPr>
        <w:t>правоприлагащи органи</w:t>
      </w:r>
      <w:r>
        <w:rPr>
          <w:lang w:val="bg-BG"/>
        </w:rPr>
        <w:t xml:space="preserve"> в</w:t>
      </w:r>
      <w:r>
        <w:rPr>
          <w:lang w:val="bg-BG"/>
        </w:rPr>
        <w:t>ъв Финландия са посетили панаири, свързани с пътувания, с цел да разяснят на пътниците техните права.</w:t>
      </w:r>
      <w:r>
        <w:rPr>
          <w:highlight w:val="yellow"/>
          <w:lang w:val="bg-BG"/>
        </w:rPr>
        <w:t xml:space="preserve"> </w:t>
      </w:r>
    </w:p>
  </w:footnote>
  <w:footnote w:id="19">
    <w:p w:rsidR="00AE7119" w:rsidRDefault="00505082">
      <w:pPr>
        <w:pStyle w:val="FootnoteText"/>
        <w:rPr>
          <w:lang w:val="bg-BG"/>
        </w:rPr>
      </w:pPr>
      <w:r>
        <w:rPr>
          <w:rStyle w:val="FootnoteReference"/>
        </w:rPr>
        <w:footnoteRef/>
      </w:r>
      <w:r>
        <w:rPr>
          <w:lang w:val="ru-RU"/>
        </w:rPr>
        <w:t xml:space="preserve"> </w:t>
      </w:r>
      <w:r>
        <w:rPr>
          <w:lang w:val="bg-BG"/>
        </w:rPr>
        <w:t>Въпреки това, за да предоставят на пътниците с увреждания или с намалена подвижност подходяща помощ, всички разполагащи с персонал автогари със значите</w:t>
      </w:r>
      <w:r>
        <w:rPr>
          <w:lang w:val="bg-BG"/>
        </w:rPr>
        <w:t xml:space="preserve">лен пътникопоток следва да бъдат определени като автогари, които са в състояние да оказват помощ на пътниците. Държавите членки могат да изпълнят задължението си по регламента чрез определяне на една-единствена автогара. Освен това от тях не се изисква да </w:t>
      </w:r>
      <w:r>
        <w:rPr>
          <w:lang w:val="bg-BG"/>
        </w:rPr>
        <w:t xml:space="preserve">определят автогара със значителен брой заминаващи или пристигащи пътници. </w:t>
      </w:r>
    </w:p>
  </w:footnote>
  <w:footnote w:id="20">
    <w:p w:rsidR="00AE7119" w:rsidRDefault="00505082">
      <w:pPr>
        <w:pStyle w:val="FootnoteText"/>
        <w:rPr>
          <w:lang w:val="bg-BG"/>
        </w:rPr>
      </w:pPr>
      <w:r>
        <w:rPr>
          <w:rStyle w:val="FootnoteReference"/>
        </w:rPr>
        <w:footnoteRef/>
      </w:r>
      <w:r>
        <w:rPr>
          <w:lang w:val="ru-RU"/>
        </w:rPr>
        <w:t xml:space="preserve"> </w:t>
      </w:r>
      <w:r>
        <w:rPr>
          <w:lang w:val="bg-BG"/>
        </w:rPr>
        <w:t xml:space="preserve">За определението за „автогара“, вж. член 3, точка м) от регламента. </w:t>
      </w:r>
    </w:p>
  </w:footnote>
  <w:footnote w:id="21">
    <w:p w:rsidR="00AE7119" w:rsidRDefault="00505082">
      <w:pPr>
        <w:pStyle w:val="FootnoteText"/>
        <w:rPr>
          <w:lang w:val="bg-BG"/>
        </w:rPr>
      </w:pPr>
      <w:r>
        <w:rPr>
          <w:rStyle w:val="FootnoteReference"/>
        </w:rPr>
        <w:footnoteRef/>
      </w:r>
      <w:r>
        <w:rPr>
          <w:lang w:val="ru-RU"/>
        </w:rPr>
        <w:t xml:space="preserve"> </w:t>
      </w:r>
      <w:r>
        <w:rPr>
          <w:lang w:val="bg-BG"/>
        </w:rPr>
        <w:t xml:space="preserve">Можете да намерите списък с автогарите, определени от държавите членки, и за които Комисията е уведомена, на адрес: </w:t>
      </w:r>
      <w:r>
        <w:t>http</w:t>
      </w:r>
      <w:r>
        <w:rPr>
          <w:lang w:val="bg-BG"/>
        </w:rPr>
        <w:t>://</w:t>
      </w:r>
      <w:r>
        <w:t>ec</w:t>
      </w:r>
      <w:r>
        <w:rPr>
          <w:lang w:val="bg-BG"/>
        </w:rPr>
        <w:t>.</w:t>
      </w:r>
      <w:r>
        <w:t>europa</w:t>
      </w:r>
      <w:r>
        <w:rPr>
          <w:lang w:val="bg-BG"/>
        </w:rPr>
        <w:t>.</w:t>
      </w:r>
      <w:r>
        <w:t>eu</w:t>
      </w:r>
      <w:r>
        <w:rPr>
          <w:lang w:val="bg-BG"/>
        </w:rPr>
        <w:t>/</w:t>
      </w:r>
      <w:r>
        <w:t>transport</w:t>
      </w:r>
      <w:r>
        <w:rPr>
          <w:lang w:val="bg-BG"/>
        </w:rPr>
        <w:t>/</w:t>
      </w:r>
      <w:r>
        <w:t>themes</w:t>
      </w:r>
      <w:r>
        <w:rPr>
          <w:lang w:val="bg-BG"/>
        </w:rPr>
        <w:t>/</w:t>
      </w:r>
      <w:r>
        <w:t>passengers</w:t>
      </w:r>
      <w:r>
        <w:rPr>
          <w:lang w:val="bg-BG"/>
        </w:rPr>
        <w:t>/</w:t>
      </w:r>
      <w:r>
        <w:t>road</w:t>
      </w:r>
      <w:r>
        <w:rPr>
          <w:lang w:val="bg-BG"/>
        </w:rPr>
        <w:t>/</w:t>
      </w:r>
      <w:r>
        <w:t>doc</w:t>
      </w:r>
      <w:r>
        <w:rPr>
          <w:lang w:val="bg-BG"/>
        </w:rPr>
        <w:t>/</w:t>
      </w:r>
      <w:r>
        <w:t>designated</w:t>
      </w:r>
      <w:r>
        <w:rPr>
          <w:lang w:val="bg-BG"/>
        </w:rPr>
        <w:t>_</w:t>
      </w:r>
      <w:r>
        <w:t>bus</w:t>
      </w:r>
      <w:r>
        <w:rPr>
          <w:lang w:val="bg-BG"/>
        </w:rPr>
        <w:t>_</w:t>
      </w:r>
      <w:r>
        <w:t>terminals</w:t>
      </w:r>
      <w:r>
        <w:rPr>
          <w:lang w:val="bg-BG"/>
        </w:rPr>
        <w:t>.</w:t>
      </w:r>
      <w:r>
        <w:t>pdf</w:t>
      </w:r>
    </w:p>
  </w:footnote>
  <w:footnote w:id="22">
    <w:p w:rsidR="00AE7119" w:rsidRDefault="00505082">
      <w:pPr>
        <w:pStyle w:val="FootnoteText"/>
        <w:rPr>
          <w:lang w:val="bg-BG"/>
        </w:rPr>
      </w:pPr>
      <w:r>
        <w:rPr>
          <w:rStyle w:val="FootnoteReference"/>
        </w:rPr>
        <w:footnoteRef/>
      </w:r>
      <w:r>
        <w:rPr>
          <w:lang w:val="ru-RU"/>
        </w:rPr>
        <w:t xml:space="preserve"> </w:t>
      </w:r>
      <w:r>
        <w:rPr>
          <w:lang w:val="bg-BG"/>
        </w:rPr>
        <w:t xml:space="preserve">Вж. бележка под линия 3. </w:t>
      </w:r>
    </w:p>
  </w:footnote>
  <w:footnote w:id="23">
    <w:p w:rsidR="00AE7119" w:rsidRDefault="00505082">
      <w:pPr>
        <w:pStyle w:val="FootnoteText"/>
        <w:rPr>
          <w:lang w:val="bg-BG"/>
        </w:rPr>
      </w:pPr>
      <w:r>
        <w:rPr>
          <w:rStyle w:val="FootnoteReference"/>
        </w:rPr>
        <w:footnoteRef/>
      </w:r>
      <w:r>
        <w:rPr>
          <w:lang w:val="ru-RU"/>
        </w:rPr>
        <w:t xml:space="preserve"> </w:t>
      </w:r>
      <w:r>
        <w:rPr>
          <w:lang w:val="bg-BG"/>
        </w:rPr>
        <w:t>До 2018 г.Франция и Герм</w:t>
      </w:r>
      <w:r>
        <w:rPr>
          <w:lang w:val="bg-BG"/>
        </w:rPr>
        <w:t>ания ще изискат от операторите да използват само автобуси, които могат да превозват пътници с увреждания, а Испания и Обединеното кралство — до 2020 г. Източник: Всеобхватно проучване относно превоза с туристически автобуси на пътници в Европа, 2016 г..</w:t>
      </w:r>
    </w:p>
  </w:footnote>
  <w:footnote w:id="24">
    <w:p w:rsidR="00AE7119" w:rsidRDefault="00505082">
      <w:pPr>
        <w:pStyle w:val="FootnoteText"/>
        <w:rPr>
          <w:lang w:val="bg-BG"/>
        </w:rPr>
      </w:pPr>
      <w:r>
        <w:rPr>
          <w:rStyle w:val="FootnoteReference"/>
        </w:rPr>
        <w:footnoteRef/>
      </w:r>
      <w:r>
        <w:rPr>
          <w:lang w:val="ru-RU"/>
        </w:rPr>
        <w:t xml:space="preserve"> </w:t>
      </w:r>
      <w:r>
        <w:rPr>
          <w:lang w:val="bg-BG"/>
        </w:rPr>
        <w:t xml:space="preserve">Наред с другото, дружеството за обществен транспорт </w:t>
      </w:r>
      <w:r>
        <w:t>Soci</w:t>
      </w:r>
      <w:r>
        <w:rPr>
          <w:lang w:val="bg-BG"/>
        </w:rPr>
        <w:t>é</w:t>
      </w:r>
      <w:r>
        <w:t>t</w:t>
      </w:r>
      <w:r>
        <w:rPr>
          <w:lang w:val="bg-BG"/>
        </w:rPr>
        <w:t xml:space="preserve">é </w:t>
      </w:r>
      <w:r>
        <w:t>R</w:t>
      </w:r>
      <w:r>
        <w:rPr>
          <w:lang w:val="bg-BG"/>
        </w:rPr>
        <w:t>é</w:t>
      </w:r>
      <w:r>
        <w:t>gionale</w:t>
      </w:r>
      <w:r>
        <w:rPr>
          <w:lang w:val="bg-BG"/>
        </w:rPr>
        <w:t xml:space="preserve"> </w:t>
      </w:r>
      <w:r>
        <w:t>Wallonne</w:t>
      </w:r>
      <w:r>
        <w:rPr>
          <w:lang w:val="bg-BG"/>
        </w:rPr>
        <w:t xml:space="preserve"> </w:t>
      </w:r>
      <w:r>
        <w:t>du</w:t>
      </w:r>
      <w:r>
        <w:rPr>
          <w:lang w:val="bg-BG"/>
        </w:rPr>
        <w:t xml:space="preserve"> </w:t>
      </w:r>
      <w:r>
        <w:t>Transport</w:t>
      </w:r>
      <w:r>
        <w:rPr>
          <w:lang w:val="bg-BG"/>
        </w:rPr>
        <w:t xml:space="preserve"> във Валония (Белгия) провежда проверка на достъпността на своите автобусни линии от 2013 г. с помощта на местни организации, които представляват лицата с увреждания</w:t>
      </w:r>
      <w:r>
        <w:rPr>
          <w:lang w:val="bg-BG"/>
        </w:rPr>
        <w:t>, а собственикът на международната автогара в Рига е работил съвместно с организацията за лица с увреждания „</w:t>
      </w:r>
      <w:r>
        <w:t>Apeirons</w:t>
      </w:r>
      <w:r>
        <w:rPr>
          <w:lang w:val="bg-BG"/>
        </w:rPr>
        <w:t xml:space="preserve">“, за да направи автогарата напълно достъпна за пътници с увреждания или с намалена подвижност.  </w:t>
      </w:r>
    </w:p>
  </w:footnote>
  <w:footnote w:id="25">
    <w:p w:rsidR="00AE7119" w:rsidRDefault="00505082">
      <w:pPr>
        <w:pStyle w:val="FootnoteText"/>
        <w:rPr>
          <w:lang w:val="bg-BG"/>
        </w:rPr>
      </w:pPr>
      <w:r>
        <w:rPr>
          <w:rStyle w:val="FootnoteReference"/>
        </w:rPr>
        <w:footnoteRef/>
      </w:r>
      <w:r>
        <w:rPr>
          <w:lang w:val="ru-RU"/>
        </w:rPr>
        <w:t xml:space="preserve"> </w:t>
      </w:r>
      <w:r>
        <w:rPr>
          <w:lang w:val="bg-BG"/>
        </w:rPr>
        <w:t>Вж. раздел 2 на настгоящия доклад.</w:t>
      </w:r>
    </w:p>
  </w:footnote>
  <w:footnote w:id="26">
    <w:p w:rsidR="00AE7119" w:rsidRDefault="00505082">
      <w:pPr>
        <w:pStyle w:val="FootnoteText"/>
        <w:rPr>
          <w:lang w:val="bg-BG"/>
        </w:rPr>
      </w:pPr>
      <w:r>
        <w:rPr>
          <w:rStyle w:val="FootnoteReference"/>
        </w:rPr>
        <w:footnoteRef/>
      </w:r>
      <w:r>
        <w:rPr>
          <w:lang w:val="ru-RU"/>
        </w:rPr>
        <w:t xml:space="preserve"> </w:t>
      </w:r>
      <w:r>
        <w:rPr>
          <w:lang w:val="bg-BG"/>
        </w:rPr>
        <w:t>Вж</w:t>
      </w:r>
      <w:r>
        <w:rPr>
          <w:lang w:val="bg-BG"/>
        </w:rPr>
        <w:t>. раздел 2 по-горе за използването на освобождавания от държавите членки.</w:t>
      </w:r>
    </w:p>
  </w:footnote>
  <w:footnote w:id="27">
    <w:p w:rsidR="00AE7119" w:rsidRDefault="00505082">
      <w:pPr>
        <w:pStyle w:val="FootnoteText"/>
        <w:rPr>
          <w:lang w:val="bg-BG"/>
        </w:rPr>
      </w:pPr>
      <w:r>
        <w:rPr>
          <w:rStyle w:val="FootnoteReference"/>
        </w:rPr>
        <w:footnoteRef/>
      </w:r>
      <w:r>
        <w:rPr>
          <w:lang w:val="ru-RU"/>
        </w:rPr>
        <w:t xml:space="preserve"> </w:t>
      </w:r>
      <w:r>
        <w:rPr>
          <w:lang w:val="bg-BG"/>
        </w:rPr>
        <w:t xml:space="preserve">В някои доклади на националните правоприлагащи органи се посочват причините за жалбите. В допълнение Центърът за връзка </w:t>
      </w:r>
      <w:r>
        <w:t>Europe</w:t>
      </w:r>
      <w:r>
        <w:rPr>
          <w:lang w:val="bg-BG"/>
        </w:rPr>
        <w:t xml:space="preserve"> </w:t>
      </w:r>
      <w:r>
        <w:t>Direct</w:t>
      </w:r>
      <w:r>
        <w:rPr>
          <w:lang w:val="bg-BG"/>
        </w:rPr>
        <w:t xml:space="preserve"> (</w:t>
      </w:r>
      <w:r>
        <w:rPr>
          <w:lang w:val="en-US"/>
        </w:rPr>
        <w:t>EDCC</w:t>
      </w:r>
      <w:r>
        <w:rPr>
          <w:lang w:val="bg-BG"/>
        </w:rPr>
        <w:t>), услуга, финансирана от Комисията, коят</w:t>
      </w:r>
      <w:r>
        <w:rPr>
          <w:lang w:val="bg-BG"/>
        </w:rPr>
        <w:t xml:space="preserve">о предоставя безплатна информация на широката общественост и на предприятията относно законодателството на ЕС, е посочил, че над 80 % от 99-те запитвания, които са получили от датата, на която е започнал да се прилага регламентът, са свързани с правата на </w:t>
      </w:r>
      <w:r>
        <w:rPr>
          <w:lang w:val="bg-BG"/>
        </w:rPr>
        <w:t xml:space="preserve">пътниците в случай на закъснение или отмяна на превоз. </w:t>
      </w:r>
    </w:p>
  </w:footnote>
  <w:footnote w:id="28">
    <w:p w:rsidR="00AE7119" w:rsidRDefault="00505082">
      <w:pPr>
        <w:pStyle w:val="FootnoteText"/>
        <w:rPr>
          <w:lang w:val="bg-BG"/>
        </w:rPr>
      </w:pPr>
      <w:r>
        <w:rPr>
          <w:rStyle w:val="FootnoteReference"/>
        </w:rPr>
        <w:footnoteRef/>
      </w:r>
      <w:r>
        <w:rPr>
          <w:lang w:val="ru-RU"/>
        </w:rPr>
        <w:t xml:space="preserve"> </w:t>
      </w:r>
      <w:r>
        <w:rPr>
          <w:lang w:val="bg-BG"/>
        </w:rPr>
        <w:t>Наприм</w:t>
      </w:r>
      <w:r>
        <w:rPr>
          <w:lang w:val="en-US"/>
        </w:rPr>
        <w:t>e</w:t>
      </w:r>
      <w:r>
        <w:rPr>
          <w:lang w:val="bg-BG"/>
        </w:rPr>
        <w:t xml:space="preserve">р ако багажът на пътник бъде загубен или откраднат по време на пътуване, или пътникът не може да седне на мястото, което е резервирал. </w:t>
      </w:r>
    </w:p>
  </w:footnote>
  <w:footnote w:id="29">
    <w:p w:rsidR="00AE7119" w:rsidRDefault="00505082">
      <w:pPr>
        <w:pStyle w:val="FootnoteText"/>
        <w:rPr>
          <w:lang w:val="bg-BG"/>
        </w:rPr>
      </w:pPr>
      <w:r>
        <w:rPr>
          <w:rStyle w:val="FootnoteReference"/>
        </w:rPr>
        <w:footnoteRef/>
      </w:r>
      <w:r>
        <w:rPr>
          <w:lang w:val="ru-RU"/>
        </w:rPr>
        <w:t xml:space="preserve"> </w:t>
      </w:r>
      <w:r>
        <w:rPr>
          <w:lang w:val="bg-BG"/>
        </w:rPr>
        <w:t>Съгласно Директива 2013/11ЕС на Европейския парламент</w:t>
      </w:r>
      <w:r>
        <w:rPr>
          <w:lang w:val="bg-BG"/>
        </w:rPr>
        <w:t xml:space="preserve"> и на Съвета от 21 май 2013 г. за алтернативно решаване на потребителски спорове (ОВ </w:t>
      </w:r>
      <w:r>
        <w:t>L</w:t>
      </w:r>
      <w:r>
        <w:rPr>
          <w:lang w:val="bg-BG"/>
        </w:rPr>
        <w:t xml:space="preserve"> 165, 18.6.2013 г., стр. 63) потребителите, пребиваващи в ЕС, следва да разполагат с достъп до процедури за алтернативно решаване на договорни спорове с установени в ЕС т</w:t>
      </w:r>
      <w:r>
        <w:rPr>
          <w:lang w:val="bg-BG"/>
        </w:rPr>
        <w:t xml:space="preserve">ърговци, включително тези в транспортния сектор. </w:t>
      </w:r>
    </w:p>
  </w:footnote>
  <w:footnote w:id="30">
    <w:p w:rsidR="00AE7119" w:rsidRDefault="00505082">
      <w:pPr>
        <w:pStyle w:val="FootnoteText"/>
        <w:rPr>
          <w:lang w:val="bg-BG"/>
        </w:rPr>
      </w:pPr>
      <w:r>
        <w:rPr>
          <w:rStyle w:val="FootnoteReference"/>
        </w:rPr>
        <w:footnoteRef/>
      </w:r>
      <w:r>
        <w:rPr>
          <w:lang w:val="ru-RU"/>
        </w:rPr>
        <w:t xml:space="preserve"> </w:t>
      </w:r>
      <w:r>
        <w:rPr>
          <w:lang w:val="bg-BG"/>
        </w:rPr>
        <w:t xml:space="preserve">Мотивирани становища бяха изпратени до Австрия, Гърция, Италия, Люксембург и Португалия, а официални уведомителни писма бяха изпратени до други седем държави членки. </w:t>
      </w:r>
    </w:p>
  </w:footnote>
  <w:footnote w:id="31">
    <w:p w:rsidR="00AE7119" w:rsidRDefault="00505082">
      <w:pPr>
        <w:pStyle w:val="FootnoteText"/>
        <w:rPr>
          <w:lang w:val="bg-BG"/>
        </w:rPr>
      </w:pPr>
      <w:r>
        <w:rPr>
          <w:rStyle w:val="FootnoteReference"/>
        </w:rPr>
        <w:footnoteRef/>
      </w:r>
      <w:r>
        <w:rPr>
          <w:lang w:val="ru-RU"/>
        </w:rPr>
        <w:t xml:space="preserve"> </w:t>
      </w:r>
      <w:r>
        <w:rPr>
          <w:lang w:val="bg-BG"/>
        </w:rPr>
        <w:t xml:space="preserve">Комисията например поясни, че в случаите, когато разстоянието на превоза по разписание е 250 </w:t>
      </w:r>
      <w:r>
        <w:rPr>
          <w:lang w:val="en-US"/>
        </w:rPr>
        <w:t>km</w:t>
      </w:r>
      <w:r>
        <w:rPr>
          <w:lang w:val="bg-BG"/>
        </w:rPr>
        <w:t xml:space="preserve"> или по-голямо, за всички пътници следва да се прилагат разпоредбите на целия регламент, дори ако ползват превоза на разстояние, което е по-малко от 250 </w:t>
      </w:r>
      <w:r>
        <w:rPr>
          <w:lang w:val="en-US"/>
        </w:rPr>
        <w:t>km</w:t>
      </w:r>
      <w:r>
        <w:rPr>
          <w:lang w:val="bg-BG"/>
        </w:rPr>
        <w:t xml:space="preserve">. </w:t>
      </w:r>
    </w:p>
  </w:footnote>
  <w:footnote w:id="32">
    <w:p w:rsidR="00AE7119" w:rsidRDefault="00505082">
      <w:pPr>
        <w:pStyle w:val="FootnoteText"/>
        <w:rPr>
          <w:lang w:val="bg-BG"/>
        </w:rPr>
      </w:pPr>
      <w:r>
        <w:rPr>
          <w:rStyle w:val="FootnoteReference"/>
        </w:rPr>
        <w:footnoteRef/>
      </w:r>
      <w:r>
        <w:rPr>
          <w:lang w:val="bg-BG"/>
        </w:rPr>
        <w:t xml:space="preserve"> В</w:t>
      </w:r>
      <w:r>
        <w:rPr>
          <w:lang w:val="bg-BG"/>
        </w:rPr>
        <w:t>ж. бележка по линия 28.</w:t>
      </w:r>
    </w:p>
  </w:footnote>
  <w:footnote w:id="33">
    <w:p w:rsidR="00AE7119" w:rsidRDefault="00505082">
      <w:pPr>
        <w:pStyle w:val="FootnoteText"/>
        <w:rPr>
          <w:lang w:val="hu-HU"/>
        </w:rPr>
      </w:pPr>
      <w:r>
        <w:rPr>
          <w:rStyle w:val="FootnoteReference"/>
        </w:rPr>
        <w:footnoteRef/>
      </w:r>
      <w:r>
        <w:rPr>
          <w:lang w:val="ru-RU"/>
        </w:rPr>
        <w:t xml:space="preserve"> </w:t>
      </w:r>
      <w:r>
        <w:rPr>
          <w:lang w:val="bg-BG"/>
        </w:rPr>
        <w:t xml:space="preserve">Регламент (ЕС) № 1315/2013 относно насоките на Съюза за развитието на трансевропейската транспортна мрежа (ОВ </w:t>
      </w:r>
      <w:r>
        <w:t>L</w:t>
      </w:r>
      <w:r>
        <w:rPr>
          <w:lang w:val="bg-BG"/>
        </w:rPr>
        <w:t xml:space="preserve"> 348, 20.12.2013 г., стр. 1).</w:t>
      </w:r>
    </w:p>
  </w:footnote>
  <w:footnote w:id="34">
    <w:p w:rsidR="00AE7119" w:rsidRDefault="00505082">
      <w:pPr>
        <w:pStyle w:val="FootnoteText"/>
        <w:rPr>
          <w:lang w:val="hu-HU"/>
        </w:rPr>
      </w:pPr>
      <w:r>
        <w:rPr>
          <w:rStyle w:val="FootnoteReference"/>
        </w:rPr>
        <w:footnoteRef/>
      </w:r>
      <w:r>
        <w:rPr>
          <w:lang w:val="ru-RU"/>
        </w:rPr>
        <w:t xml:space="preserve"> </w:t>
      </w:r>
      <w:r>
        <w:rPr>
          <w:lang w:val="bg-BG"/>
        </w:rPr>
        <w:t>За подробните условия за кандидатстването за средства по Механизма на свързване на Евро</w:t>
      </w:r>
      <w:r>
        <w:rPr>
          <w:lang w:val="bg-BG"/>
        </w:rPr>
        <w:t xml:space="preserve">па вж. Регламент (ЕС) № 1315/2015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 (ОВ </w:t>
      </w:r>
      <w:r>
        <w:t>L</w:t>
      </w:r>
      <w:r>
        <w:rPr>
          <w:lang w:val="bg-BG"/>
        </w:rPr>
        <w:t xml:space="preserve"> 348, 20.12.2013 г., стр. 1) и Регламент </w:t>
      </w:r>
      <w:r>
        <w:rPr>
          <w:lang w:val="bg-BG"/>
        </w:rPr>
        <w:t xml:space="preserve">(ЕС) № 1316/2013 на Европейския парламент и на Съвета от 11 декември 2013 г. за създаване на Механизъм за свързване на Европа (ОВ </w:t>
      </w:r>
      <w:r>
        <w:t>L</w:t>
      </w:r>
      <w:r>
        <w:rPr>
          <w:lang w:val="bg-BG"/>
        </w:rPr>
        <w:t xml:space="preserve"> 348, 20.12.2013 г., стр. 129)</w:t>
      </w:r>
    </w:p>
  </w:footnote>
  <w:footnote w:id="35">
    <w:p w:rsidR="00AE7119" w:rsidRDefault="00505082">
      <w:pPr>
        <w:pStyle w:val="FootnoteText"/>
      </w:pPr>
      <w:r>
        <w:rPr>
          <w:rStyle w:val="FootnoteReference"/>
        </w:rPr>
        <w:footnoteRef/>
      </w:r>
      <w:r>
        <w:t xml:space="preserve"> </w:t>
      </w:r>
      <w:r>
        <w:rPr>
          <w:lang w:val="bg-BG"/>
        </w:rPr>
        <w:t>Вж. раздел 2 по-горе</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119" w:rsidRDefault="00AE71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119" w:rsidRDefault="00AE711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119" w:rsidRDefault="00AE711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119" w:rsidRDefault="00AE71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119" w:rsidRDefault="00AE711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119" w:rsidRDefault="00AE71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ECB"/>
    <w:multiLevelType w:val="hybridMultilevel"/>
    <w:tmpl w:val="5E565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313294B"/>
    <w:multiLevelType w:val="hybridMultilevel"/>
    <w:tmpl w:val="CD58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5B581E"/>
    <w:multiLevelType w:val="hybridMultilevel"/>
    <w:tmpl w:val="89E4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706058"/>
    <w:multiLevelType w:val="hybridMultilevel"/>
    <w:tmpl w:val="9BD6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510383"/>
    <w:multiLevelType w:val="hybridMultilevel"/>
    <w:tmpl w:val="C82854C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AF26D49"/>
    <w:multiLevelType w:val="hybridMultilevel"/>
    <w:tmpl w:val="A68275F6"/>
    <w:lvl w:ilvl="0" w:tplc="3DF2C38E">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6">
    <w:nsid w:val="1DEB7B4E"/>
    <w:multiLevelType w:val="hybridMultilevel"/>
    <w:tmpl w:val="88386784"/>
    <w:lvl w:ilvl="0" w:tplc="4BC05A7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857BEF"/>
    <w:multiLevelType w:val="hybridMultilevel"/>
    <w:tmpl w:val="8020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8B60FE"/>
    <w:multiLevelType w:val="hybridMultilevel"/>
    <w:tmpl w:val="57D0632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nsid w:val="26386E47"/>
    <w:multiLevelType w:val="hybridMultilevel"/>
    <w:tmpl w:val="8DBCE6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27EA6345"/>
    <w:multiLevelType w:val="hybridMultilevel"/>
    <w:tmpl w:val="A3768B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30975262"/>
    <w:multiLevelType w:val="hybridMultilevel"/>
    <w:tmpl w:val="7C02F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1194AB9"/>
    <w:multiLevelType w:val="hybridMultilevel"/>
    <w:tmpl w:val="E45A077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2A9420B"/>
    <w:multiLevelType w:val="hybridMultilevel"/>
    <w:tmpl w:val="0C56AB8C"/>
    <w:lvl w:ilvl="0" w:tplc="08090001">
      <w:start w:val="1"/>
      <w:numFmt w:val="bullet"/>
      <w:lvlText w:val=""/>
      <w:lvlJc w:val="left"/>
      <w:pPr>
        <w:tabs>
          <w:tab w:val="num" w:pos="1296"/>
        </w:tabs>
        <w:ind w:left="1296" w:hanging="567"/>
      </w:pPr>
      <w:rPr>
        <w:rFonts w:ascii="Symbol" w:hAnsi="Symbol" w:hint="default"/>
      </w:rPr>
    </w:lvl>
    <w:lvl w:ilvl="1" w:tplc="08090003">
      <w:numFmt w:val="bullet"/>
      <w:lvlText w:val="-"/>
      <w:lvlJc w:val="left"/>
      <w:pPr>
        <w:tabs>
          <w:tab w:val="num" w:pos="2169"/>
        </w:tabs>
        <w:ind w:left="2169" w:hanging="360"/>
      </w:pPr>
      <w:rPr>
        <w:rFonts w:ascii="Times New Roman" w:eastAsia="Times New Roman" w:hAnsi="Times New Roman" w:cs="Times New Roman" w:hint="default"/>
      </w:rPr>
    </w:lvl>
    <w:lvl w:ilvl="2" w:tplc="08090005">
      <w:start w:val="1"/>
      <w:numFmt w:val="bullet"/>
      <w:lvlText w:val=""/>
      <w:lvlJc w:val="left"/>
      <w:pPr>
        <w:tabs>
          <w:tab w:val="num" w:pos="2889"/>
        </w:tabs>
        <w:ind w:left="2889" w:hanging="360"/>
      </w:pPr>
      <w:rPr>
        <w:rFonts w:ascii="Wingdings" w:hAnsi="Wingdings" w:hint="default"/>
      </w:rPr>
    </w:lvl>
    <w:lvl w:ilvl="3" w:tplc="08090001">
      <w:start w:val="1"/>
      <w:numFmt w:val="bullet"/>
      <w:lvlText w:val=""/>
      <w:lvlJc w:val="left"/>
      <w:pPr>
        <w:tabs>
          <w:tab w:val="num" w:pos="3609"/>
        </w:tabs>
        <w:ind w:left="3609" w:hanging="360"/>
      </w:pPr>
      <w:rPr>
        <w:rFonts w:ascii="Symbol" w:hAnsi="Symbol" w:hint="default"/>
      </w:rPr>
    </w:lvl>
    <w:lvl w:ilvl="4" w:tplc="08090003">
      <w:start w:val="1"/>
      <w:numFmt w:val="bullet"/>
      <w:lvlText w:val="o"/>
      <w:lvlJc w:val="left"/>
      <w:pPr>
        <w:tabs>
          <w:tab w:val="num" w:pos="4329"/>
        </w:tabs>
        <w:ind w:left="4329" w:hanging="360"/>
      </w:pPr>
      <w:rPr>
        <w:rFonts w:ascii="Courier New" w:hAnsi="Courier New" w:cs="Courier New" w:hint="default"/>
      </w:rPr>
    </w:lvl>
    <w:lvl w:ilvl="5" w:tplc="08090005" w:tentative="1">
      <w:start w:val="1"/>
      <w:numFmt w:val="bullet"/>
      <w:lvlText w:val=""/>
      <w:lvlJc w:val="left"/>
      <w:pPr>
        <w:tabs>
          <w:tab w:val="num" w:pos="5049"/>
        </w:tabs>
        <w:ind w:left="5049" w:hanging="360"/>
      </w:pPr>
      <w:rPr>
        <w:rFonts w:ascii="Wingdings" w:hAnsi="Wingdings" w:hint="default"/>
      </w:rPr>
    </w:lvl>
    <w:lvl w:ilvl="6" w:tplc="08090001" w:tentative="1">
      <w:start w:val="1"/>
      <w:numFmt w:val="bullet"/>
      <w:lvlText w:val=""/>
      <w:lvlJc w:val="left"/>
      <w:pPr>
        <w:tabs>
          <w:tab w:val="num" w:pos="5769"/>
        </w:tabs>
        <w:ind w:left="5769" w:hanging="360"/>
      </w:pPr>
      <w:rPr>
        <w:rFonts w:ascii="Symbol" w:hAnsi="Symbol" w:hint="default"/>
      </w:rPr>
    </w:lvl>
    <w:lvl w:ilvl="7" w:tplc="08090003" w:tentative="1">
      <w:start w:val="1"/>
      <w:numFmt w:val="bullet"/>
      <w:lvlText w:val="o"/>
      <w:lvlJc w:val="left"/>
      <w:pPr>
        <w:tabs>
          <w:tab w:val="num" w:pos="6489"/>
        </w:tabs>
        <w:ind w:left="6489" w:hanging="360"/>
      </w:pPr>
      <w:rPr>
        <w:rFonts w:ascii="Courier New" w:hAnsi="Courier New" w:cs="Courier New" w:hint="default"/>
      </w:rPr>
    </w:lvl>
    <w:lvl w:ilvl="8" w:tplc="08090005" w:tentative="1">
      <w:start w:val="1"/>
      <w:numFmt w:val="bullet"/>
      <w:lvlText w:val=""/>
      <w:lvlJc w:val="left"/>
      <w:pPr>
        <w:tabs>
          <w:tab w:val="num" w:pos="7209"/>
        </w:tabs>
        <w:ind w:left="7209" w:hanging="360"/>
      </w:pPr>
      <w:rPr>
        <w:rFonts w:ascii="Wingdings" w:hAnsi="Wingdings" w:hint="default"/>
      </w:rPr>
    </w:lvl>
  </w:abstractNum>
  <w:abstractNum w:abstractNumId="14">
    <w:nsid w:val="338F246A"/>
    <w:multiLevelType w:val="hybridMultilevel"/>
    <w:tmpl w:val="4AF4F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972198B"/>
    <w:multiLevelType w:val="hybridMultilevel"/>
    <w:tmpl w:val="1A7E9D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AB609B"/>
    <w:multiLevelType w:val="hybridMultilevel"/>
    <w:tmpl w:val="ADDA2F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5B20AB"/>
    <w:multiLevelType w:val="hybridMultilevel"/>
    <w:tmpl w:val="5EAE94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9B6284"/>
    <w:multiLevelType w:val="hybridMultilevel"/>
    <w:tmpl w:val="FB2C6B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EB5F01"/>
    <w:multiLevelType w:val="hybridMultilevel"/>
    <w:tmpl w:val="2F3C84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nsid w:val="447B5BDD"/>
    <w:multiLevelType w:val="hybridMultilevel"/>
    <w:tmpl w:val="A9C69014"/>
    <w:lvl w:ilvl="0" w:tplc="08090001">
      <w:start w:val="1"/>
      <w:numFmt w:val="bullet"/>
      <w:lvlText w:val=""/>
      <w:lvlJc w:val="left"/>
      <w:pPr>
        <w:ind w:left="6120" w:hanging="360"/>
      </w:pPr>
      <w:rPr>
        <w:rFonts w:ascii="Symbol" w:hAnsi="Symbol" w:hint="default"/>
      </w:rPr>
    </w:lvl>
    <w:lvl w:ilvl="1" w:tplc="08090003">
      <w:start w:val="1"/>
      <w:numFmt w:val="bullet"/>
      <w:lvlText w:val="o"/>
      <w:lvlJc w:val="left"/>
      <w:pPr>
        <w:ind w:left="6840" w:hanging="360"/>
      </w:pPr>
      <w:rPr>
        <w:rFonts w:ascii="Courier New" w:hAnsi="Courier New" w:cs="Courier New" w:hint="default"/>
      </w:rPr>
    </w:lvl>
    <w:lvl w:ilvl="2" w:tplc="08090005">
      <w:start w:val="1"/>
      <w:numFmt w:val="bullet"/>
      <w:lvlText w:val=""/>
      <w:lvlJc w:val="left"/>
      <w:pPr>
        <w:ind w:left="7560" w:hanging="360"/>
      </w:pPr>
      <w:rPr>
        <w:rFonts w:ascii="Wingdings" w:hAnsi="Wingdings" w:hint="default"/>
      </w:rPr>
    </w:lvl>
    <w:lvl w:ilvl="3" w:tplc="08090001">
      <w:start w:val="1"/>
      <w:numFmt w:val="bullet"/>
      <w:lvlText w:val=""/>
      <w:lvlJc w:val="left"/>
      <w:pPr>
        <w:ind w:left="8280" w:hanging="360"/>
      </w:pPr>
      <w:rPr>
        <w:rFonts w:ascii="Symbol" w:hAnsi="Symbol" w:hint="default"/>
      </w:rPr>
    </w:lvl>
    <w:lvl w:ilvl="4" w:tplc="08090003">
      <w:start w:val="1"/>
      <w:numFmt w:val="bullet"/>
      <w:lvlText w:val="o"/>
      <w:lvlJc w:val="left"/>
      <w:pPr>
        <w:ind w:left="9000" w:hanging="360"/>
      </w:pPr>
      <w:rPr>
        <w:rFonts w:ascii="Courier New" w:hAnsi="Courier New" w:cs="Courier New" w:hint="default"/>
      </w:rPr>
    </w:lvl>
    <w:lvl w:ilvl="5" w:tplc="08090005">
      <w:start w:val="1"/>
      <w:numFmt w:val="bullet"/>
      <w:lvlText w:val=""/>
      <w:lvlJc w:val="left"/>
      <w:pPr>
        <w:ind w:left="9720" w:hanging="360"/>
      </w:pPr>
      <w:rPr>
        <w:rFonts w:ascii="Wingdings" w:hAnsi="Wingdings" w:hint="default"/>
      </w:rPr>
    </w:lvl>
    <w:lvl w:ilvl="6" w:tplc="08090001">
      <w:start w:val="1"/>
      <w:numFmt w:val="bullet"/>
      <w:lvlText w:val=""/>
      <w:lvlJc w:val="left"/>
      <w:pPr>
        <w:ind w:left="10440" w:hanging="360"/>
      </w:pPr>
      <w:rPr>
        <w:rFonts w:ascii="Symbol" w:hAnsi="Symbol" w:hint="default"/>
      </w:rPr>
    </w:lvl>
    <w:lvl w:ilvl="7" w:tplc="08090003">
      <w:start w:val="1"/>
      <w:numFmt w:val="bullet"/>
      <w:lvlText w:val="o"/>
      <w:lvlJc w:val="left"/>
      <w:pPr>
        <w:ind w:left="11160" w:hanging="360"/>
      </w:pPr>
      <w:rPr>
        <w:rFonts w:ascii="Courier New" w:hAnsi="Courier New" w:cs="Courier New" w:hint="default"/>
      </w:rPr>
    </w:lvl>
    <w:lvl w:ilvl="8" w:tplc="08090005">
      <w:start w:val="1"/>
      <w:numFmt w:val="bullet"/>
      <w:lvlText w:val=""/>
      <w:lvlJc w:val="left"/>
      <w:pPr>
        <w:ind w:left="11880" w:hanging="360"/>
      </w:pPr>
      <w:rPr>
        <w:rFonts w:ascii="Wingdings" w:hAnsi="Wingdings" w:hint="default"/>
      </w:rPr>
    </w:lvl>
  </w:abstractNum>
  <w:abstractNum w:abstractNumId="21">
    <w:nsid w:val="47B35768"/>
    <w:multiLevelType w:val="hybridMultilevel"/>
    <w:tmpl w:val="9D44D6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nsid w:val="48052000"/>
    <w:multiLevelType w:val="hybridMultilevel"/>
    <w:tmpl w:val="8E62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662A4C"/>
    <w:multiLevelType w:val="hybridMultilevel"/>
    <w:tmpl w:val="E6FE61B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16605BD"/>
    <w:multiLevelType w:val="hybridMultilevel"/>
    <w:tmpl w:val="A1EC48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52222296"/>
    <w:multiLevelType w:val="hybridMultilevel"/>
    <w:tmpl w:val="29E237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4E778F1"/>
    <w:multiLevelType w:val="hybridMultilevel"/>
    <w:tmpl w:val="7B3E6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50E54DD"/>
    <w:multiLevelType w:val="hybridMultilevel"/>
    <w:tmpl w:val="8D906510"/>
    <w:lvl w:ilvl="0" w:tplc="5B5A14A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576858"/>
    <w:multiLevelType w:val="hybridMultilevel"/>
    <w:tmpl w:val="9242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D421EF"/>
    <w:multiLevelType w:val="hybridMultilevel"/>
    <w:tmpl w:val="3B7C7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8218C4"/>
    <w:multiLevelType w:val="hybridMultilevel"/>
    <w:tmpl w:val="AB52E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5F488A"/>
    <w:multiLevelType w:val="hybridMultilevel"/>
    <w:tmpl w:val="F762FB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31C00DE"/>
    <w:multiLevelType w:val="hybridMultilevel"/>
    <w:tmpl w:val="0058A552"/>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FC7684"/>
    <w:multiLevelType w:val="hybridMultilevel"/>
    <w:tmpl w:val="4614C20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6E958AF"/>
    <w:multiLevelType w:val="hybridMultilevel"/>
    <w:tmpl w:val="E6FE61B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91C3133"/>
    <w:multiLevelType w:val="hybridMultilevel"/>
    <w:tmpl w:val="6A604DF0"/>
    <w:lvl w:ilvl="0" w:tplc="4E1C1862">
      <w:start w:val="1"/>
      <w:numFmt w:val="bullet"/>
      <w:lvlText w:val="•"/>
      <w:lvlJc w:val="left"/>
      <w:pPr>
        <w:tabs>
          <w:tab w:val="num" w:pos="720"/>
        </w:tabs>
        <w:ind w:left="720" w:hanging="360"/>
      </w:pPr>
      <w:rPr>
        <w:rFonts w:ascii="Times New Roman" w:hAnsi="Times New Roman" w:hint="default"/>
      </w:rPr>
    </w:lvl>
    <w:lvl w:ilvl="1" w:tplc="BF466B1E">
      <w:start w:val="1"/>
      <w:numFmt w:val="bullet"/>
      <w:lvlText w:val="•"/>
      <w:lvlJc w:val="left"/>
      <w:pPr>
        <w:tabs>
          <w:tab w:val="num" w:pos="1440"/>
        </w:tabs>
        <w:ind w:left="1440" w:hanging="360"/>
      </w:pPr>
      <w:rPr>
        <w:rFonts w:ascii="Times New Roman" w:hAnsi="Times New Roman" w:hint="default"/>
      </w:rPr>
    </w:lvl>
    <w:lvl w:ilvl="2" w:tplc="E9027290" w:tentative="1">
      <w:start w:val="1"/>
      <w:numFmt w:val="bullet"/>
      <w:lvlText w:val="•"/>
      <w:lvlJc w:val="left"/>
      <w:pPr>
        <w:tabs>
          <w:tab w:val="num" w:pos="2160"/>
        </w:tabs>
        <w:ind w:left="2160" w:hanging="360"/>
      </w:pPr>
      <w:rPr>
        <w:rFonts w:ascii="Times New Roman" w:hAnsi="Times New Roman" w:hint="default"/>
      </w:rPr>
    </w:lvl>
    <w:lvl w:ilvl="3" w:tplc="8AD6C3CA" w:tentative="1">
      <w:start w:val="1"/>
      <w:numFmt w:val="bullet"/>
      <w:lvlText w:val="•"/>
      <w:lvlJc w:val="left"/>
      <w:pPr>
        <w:tabs>
          <w:tab w:val="num" w:pos="2880"/>
        </w:tabs>
        <w:ind w:left="2880" w:hanging="360"/>
      </w:pPr>
      <w:rPr>
        <w:rFonts w:ascii="Times New Roman" w:hAnsi="Times New Roman" w:hint="default"/>
      </w:rPr>
    </w:lvl>
    <w:lvl w:ilvl="4" w:tplc="A91C3910" w:tentative="1">
      <w:start w:val="1"/>
      <w:numFmt w:val="bullet"/>
      <w:lvlText w:val="•"/>
      <w:lvlJc w:val="left"/>
      <w:pPr>
        <w:tabs>
          <w:tab w:val="num" w:pos="3600"/>
        </w:tabs>
        <w:ind w:left="3600" w:hanging="360"/>
      </w:pPr>
      <w:rPr>
        <w:rFonts w:ascii="Times New Roman" w:hAnsi="Times New Roman" w:hint="default"/>
      </w:rPr>
    </w:lvl>
    <w:lvl w:ilvl="5" w:tplc="7F183638" w:tentative="1">
      <w:start w:val="1"/>
      <w:numFmt w:val="bullet"/>
      <w:lvlText w:val="•"/>
      <w:lvlJc w:val="left"/>
      <w:pPr>
        <w:tabs>
          <w:tab w:val="num" w:pos="4320"/>
        </w:tabs>
        <w:ind w:left="4320" w:hanging="360"/>
      </w:pPr>
      <w:rPr>
        <w:rFonts w:ascii="Times New Roman" w:hAnsi="Times New Roman" w:hint="default"/>
      </w:rPr>
    </w:lvl>
    <w:lvl w:ilvl="6" w:tplc="6F5C989A" w:tentative="1">
      <w:start w:val="1"/>
      <w:numFmt w:val="bullet"/>
      <w:lvlText w:val="•"/>
      <w:lvlJc w:val="left"/>
      <w:pPr>
        <w:tabs>
          <w:tab w:val="num" w:pos="5040"/>
        </w:tabs>
        <w:ind w:left="5040" w:hanging="360"/>
      </w:pPr>
      <w:rPr>
        <w:rFonts w:ascii="Times New Roman" w:hAnsi="Times New Roman" w:hint="default"/>
      </w:rPr>
    </w:lvl>
    <w:lvl w:ilvl="7" w:tplc="BCC0BA18" w:tentative="1">
      <w:start w:val="1"/>
      <w:numFmt w:val="bullet"/>
      <w:lvlText w:val="•"/>
      <w:lvlJc w:val="left"/>
      <w:pPr>
        <w:tabs>
          <w:tab w:val="num" w:pos="5760"/>
        </w:tabs>
        <w:ind w:left="5760" w:hanging="360"/>
      </w:pPr>
      <w:rPr>
        <w:rFonts w:ascii="Times New Roman" w:hAnsi="Times New Roman" w:hint="default"/>
      </w:rPr>
    </w:lvl>
    <w:lvl w:ilvl="8" w:tplc="CD4C64A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AC015EA"/>
    <w:multiLevelType w:val="hybridMultilevel"/>
    <w:tmpl w:val="CAF4917E"/>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8B7B5C"/>
    <w:multiLevelType w:val="hybridMultilevel"/>
    <w:tmpl w:val="ACD2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874D61"/>
    <w:multiLevelType w:val="hybridMultilevel"/>
    <w:tmpl w:val="B53E89F2"/>
    <w:lvl w:ilvl="0" w:tplc="3DF2C38E">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9">
    <w:nsid w:val="784539A0"/>
    <w:multiLevelType w:val="hybridMultilevel"/>
    <w:tmpl w:val="FE96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7C215A3E"/>
    <w:multiLevelType w:val="hybridMultilevel"/>
    <w:tmpl w:val="FD02E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EEE3E86"/>
    <w:multiLevelType w:val="hybridMultilevel"/>
    <w:tmpl w:val="CE4818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nsid w:val="7EF95F63"/>
    <w:multiLevelType w:val="hybridMultilevel"/>
    <w:tmpl w:val="CF044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0"/>
  </w:num>
  <w:num w:numId="4">
    <w:abstractNumId w:val="0"/>
  </w:num>
  <w:num w:numId="5">
    <w:abstractNumId w:val="11"/>
  </w:num>
  <w:num w:numId="6">
    <w:abstractNumId w:val="39"/>
  </w:num>
  <w:num w:numId="7">
    <w:abstractNumId w:val="33"/>
    <w:lvlOverride w:ilvl="0"/>
    <w:lvlOverride w:ilvl="1">
      <w:startOverride w:val="1"/>
    </w:lvlOverride>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2"/>
  </w:num>
  <w:num w:numId="11">
    <w:abstractNumId w:val="24"/>
  </w:num>
  <w:num w:numId="12">
    <w:abstractNumId w:val="9"/>
  </w:num>
  <w:num w:numId="13">
    <w:abstractNumId w:val="41"/>
  </w:num>
  <w:num w:numId="14">
    <w:abstractNumId w:val="21"/>
  </w:num>
  <w:num w:numId="15">
    <w:abstractNumId w:val="0"/>
  </w:num>
  <w:num w:numId="16">
    <w:abstractNumId w:val="8"/>
  </w:num>
  <w:num w:numId="17">
    <w:abstractNumId w:val="17"/>
  </w:num>
  <w:num w:numId="18">
    <w:abstractNumId w:val="13"/>
  </w:num>
  <w:num w:numId="19">
    <w:abstractNumId w:val="4"/>
  </w:num>
  <w:num w:numId="20">
    <w:abstractNumId w:val="18"/>
  </w:num>
  <w:num w:numId="21">
    <w:abstractNumId w:val="23"/>
  </w:num>
  <w:num w:numId="22">
    <w:abstractNumId w:val="31"/>
  </w:num>
  <w:num w:numId="23">
    <w:abstractNumId w:val="26"/>
  </w:num>
  <w:num w:numId="24">
    <w:abstractNumId w:val="34"/>
  </w:num>
  <w:num w:numId="25">
    <w:abstractNumId w:val="35"/>
  </w:num>
  <w:num w:numId="26">
    <w:abstractNumId w:val="12"/>
  </w:num>
  <w:num w:numId="27">
    <w:abstractNumId w:val="1"/>
  </w:num>
  <w:num w:numId="28">
    <w:abstractNumId w:val="28"/>
  </w:num>
  <w:num w:numId="29">
    <w:abstractNumId w:val="7"/>
  </w:num>
  <w:num w:numId="30">
    <w:abstractNumId w:val="2"/>
  </w:num>
  <w:num w:numId="31">
    <w:abstractNumId w:val="6"/>
  </w:num>
  <w:num w:numId="32">
    <w:abstractNumId w:val="29"/>
  </w:num>
  <w:num w:numId="33">
    <w:abstractNumId w:val="40"/>
  </w:num>
  <w:num w:numId="34">
    <w:abstractNumId w:val="16"/>
  </w:num>
  <w:num w:numId="35">
    <w:abstractNumId w:val="27"/>
  </w:num>
  <w:num w:numId="36">
    <w:abstractNumId w:val="37"/>
  </w:num>
  <w:num w:numId="37">
    <w:abstractNumId w:val="25"/>
  </w:num>
  <w:num w:numId="38">
    <w:abstractNumId w:val="22"/>
  </w:num>
  <w:num w:numId="39">
    <w:abstractNumId w:val="38"/>
  </w:num>
  <w:num w:numId="40">
    <w:abstractNumId w:val="36"/>
  </w:num>
  <w:num w:numId="41">
    <w:abstractNumId w:val="5"/>
  </w:num>
  <w:num w:numId="42">
    <w:abstractNumId w:val="32"/>
  </w:num>
  <w:num w:numId="43">
    <w:abstractNumId w:val="15"/>
  </w:num>
  <w:num w:numId="44">
    <w:abstractNumId w:val="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5E31864A7B446139207DCF3EB4FC57C"/>
    <w:docVar w:name="LW_CROSSREFERENCE" w:val="&lt;UNUSED&gt;"/>
    <w:docVar w:name="LW_DocType" w:val="NORMAL"/>
    <w:docVar w:name="LW_EMISSION" w:val="27.9.2016"/>
    <w:docVar w:name="LW_EMISSION_ISODATE" w:val="2016-09-27"/>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619"/>
    <w:docVar w:name="LW_REF.INTERNE" w:val="&lt;UNUSED&gt;"/>
    <w:docVar w:name="LW_SOUS.TITRE.OBJ.CP" w:val="&lt;UNUSED&gt;"/>
    <w:docVar w:name="LW_SUPERTITRE" w:val="&lt;UNUSED&gt;"/>
    <w:docVar w:name="LW_TITRE.OBJ.CP" w:val="\u1044?\u1086?\u1082?\u1083?\u1072?\u1076? \u1079?\u1072? \u1087?\u1088?\u1080?\u1083?\u1072?\u1075?\u1072?\u1085?\u1077?\u1090?\u1086? \u1085?\u1072? \u1056?\u1077?\u1075?\u1083?\u1072?\u1084?\u1077?\u1085?\u1090? (\u1045?\u1057?) \u8470? 181/2011 \u1086?\u1090?\u1085?\u1086?\u1089?\u1085?\u1086? \u1087?\u1088?\u1072?\u1074?\u1072?\u1090?\u1072? \u1085?\u1072? \u1087?\u1098?\u1090?\u1085?\u1080?\u1094?\u1080?\u1090?\u1077? \u1074? \u1072?\u1074?\u1090?\u1086?\u1073?\u1091?\u1089?\u1085?\u1080?\u1103? \u1090?\u1088?\u1072?\u1085?\u1089?\u1087?\u1086?\u1088?\u1090? \u1080? \u1079?\u1072? \u1080?\u1079?\u1084?\u1077?\u1085?\u1077?\u1085?\u1080?\u1077? \u1085?\u1072? \u1056?\u1077?\u1075?\u1083?\u1072?\u1084?\u1077?\u1085?\u1090? (\u1045?\u1054?) \u8470? 2006/2004"/>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MOVE\MOVE-2016-00780\MOVE-2016-00780-00-00-EN-REV-00.DOCX"/>
  </w:docVars>
  <w:rsids>
    <w:rsidRoot w:val="00AE7119"/>
    <w:rsid w:val="00505082"/>
    <w:rsid w:val="00AE7119"/>
    <w:rsid w:val="00CF62FC"/>
  </w:rsids>
  <m:mathPr>
    <m:mathFont m:val="Cambria Math"/>
    <m:brkBin m:val="before"/>
    <m:brkBinSub m:val="--"/>
    <m:smallFrac/>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pPr>
      <w:spacing w:after="0" w:line="240" w:lineRule="auto"/>
    </w:pPr>
    <w:rPr>
      <w:szCs w:val="21"/>
    </w:rPr>
  </w:style>
  <w:style w:type="character" w:customStyle="1" w:styleId="PlainTextChar">
    <w:name w:val="Plain Text Char"/>
    <w:link w:val="PlainText"/>
    <w:uiPriority w:val="99"/>
    <w:semiHidden/>
    <w:rPr>
      <w:sz w:val="22"/>
      <w:szCs w:val="21"/>
      <w:lang w:eastAsia="en-US"/>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paragraph" w:customStyle="1" w:styleId="Briefingheading1">
    <w:name w:val="Briefing heading 1"/>
    <w:basedOn w:val="Normal"/>
    <w:pPr>
      <w:spacing w:after="120"/>
      <w:jc w:val="center"/>
    </w:pPr>
    <w:rPr>
      <w:rFonts w:ascii="Arial" w:hAnsi="Arial" w:cs="Arial"/>
      <w:b/>
    </w:rPr>
  </w:style>
  <w:style w:type="paragraph" w:styleId="FootnoteText">
    <w:name w:val="footnote text"/>
    <w:basedOn w:val="Normal"/>
    <w:autoRedefine/>
    <w:uiPriority w:val="99"/>
    <w:unhideWhenUsed/>
    <w:pPr>
      <w:spacing w:after="0"/>
      <w:ind w:left="142" w:hanging="142"/>
      <w:jc w:val="both"/>
    </w:pPr>
    <w:rPr>
      <w:rFonts w:ascii="Times New Roman" w:hAnsi="Times New Roman"/>
      <w:sz w:val="20"/>
      <w:szCs w:val="20"/>
    </w:rPr>
  </w:style>
  <w:style w:type="character" w:customStyle="1" w:styleId="FootnoteTextChar">
    <w:name w:val="Footnote Text Char"/>
    <w:uiPriority w:val="99"/>
    <w:rPr>
      <w:lang w:eastAsia="en-US"/>
    </w:rPr>
  </w:style>
  <w:style w:type="character" w:styleId="FootnoteReference">
    <w:name w:val="footnote reference"/>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val="en-GB" w:eastAsia="en-US"/>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lang w:val="fr-BE"/>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lang w:val="fr-BE"/>
    </w:rPr>
  </w:style>
  <w:style w:type="character" w:customStyle="1" w:styleId="HeaderCoverPageChar">
    <w:name w:val="Header Cover Page Char"/>
    <w:link w:val="HeaderCoverPage"/>
    <w:rPr>
      <w:rFonts w:ascii="Times New Roman" w:hAnsi="Times New Roman"/>
      <w:sz w:val="24"/>
      <w:szCs w:val="22"/>
      <w:lang w:eastAsia="en-US"/>
    </w:r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paragraph" w:customStyle="1" w:styleId="CM4">
    <w:name w:val="CM4"/>
    <w:basedOn w:val="Normal"/>
    <w:next w:val="Normal"/>
    <w:uiPriority w:val="99"/>
    <w:pPr>
      <w:autoSpaceDE w:val="0"/>
      <w:autoSpaceDN w:val="0"/>
      <w:adjustRightInd w:val="0"/>
      <w:spacing w:after="0" w:line="240" w:lineRule="auto"/>
    </w:pPr>
    <w:rPr>
      <w:rFonts w:ascii="Times New Roman" w:eastAsiaTheme="minorHAnsi" w:hAnsi="Times New Roman"/>
      <w:sz w:val="24"/>
      <w:szCs w:val="24"/>
    </w:rPr>
  </w:style>
  <w:style w:type="paragraph" w:styleId="NormalWeb">
    <w:name w:val="Normal (Web)"/>
    <w:basedOn w:val="Normal"/>
    <w:uiPriority w:val="99"/>
    <w:unhideWhenUsed/>
    <w:pPr>
      <w:spacing w:before="180" w:after="180" w:line="300" w:lineRule="atLeast"/>
    </w:pPr>
    <w:rPr>
      <w:rFonts w:ascii="Times New Roman" w:eastAsia="Times New Roman" w:hAnsi="Times New Roman"/>
      <w:sz w:val="24"/>
      <w:szCs w:val="24"/>
      <w:lang w:eastAsia="en-GB"/>
    </w:rPr>
  </w:style>
  <w:style w:type="character" w:customStyle="1" w:styleId="highlight">
    <w:name w:val="highlight"/>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val="en-GB" w:eastAsia="en-US"/>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pPr>
      <w:spacing w:after="0" w:line="240" w:lineRule="auto"/>
    </w:pPr>
    <w:rPr>
      <w:szCs w:val="21"/>
    </w:rPr>
  </w:style>
  <w:style w:type="character" w:customStyle="1" w:styleId="PlainTextChar">
    <w:name w:val="Plain Text Char"/>
    <w:link w:val="PlainText"/>
    <w:uiPriority w:val="99"/>
    <w:semiHidden/>
    <w:rPr>
      <w:sz w:val="22"/>
      <w:szCs w:val="21"/>
      <w:lang w:eastAsia="en-US"/>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paragraph" w:customStyle="1" w:styleId="Briefingheading1">
    <w:name w:val="Briefing heading 1"/>
    <w:basedOn w:val="Normal"/>
    <w:pPr>
      <w:spacing w:after="120"/>
      <w:jc w:val="center"/>
    </w:pPr>
    <w:rPr>
      <w:rFonts w:ascii="Arial" w:hAnsi="Arial" w:cs="Arial"/>
      <w:b/>
    </w:rPr>
  </w:style>
  <w:style w:type="paragraph" w:styleId="FootnoteText">
    <w:name w:val="footnote text"/>
    <w:basedOn w:val="Normal"/>
    <w:autoRedefine/>
    <w:uiPriority w:val="99"/>
    <w:unhideWhenUsed/>
    <w:pPr>
      <w:spacing w:after="0"/>
      <w:ind w:left="142" w:hanging="142"/>
      <w:jc w:val="both"/>
    </w:pPr>
    <w:rPr>
      <w:rFonts w:ascii="Times New Roman" w:hAnsi="Times New Roman"/>
      <w:sz w:val="20"/>
      <w:szCs w:val="20"/>
    </w:rPr>
  </w:style>
  <w:style w:type="character" w:customStyle="1" w:styleId="FootnoteTextChar">
    <w:name w:val="Footnote Text Char"/>
    <w:uiPriority w:val="99"/>
    <w:rPr>
      <w:lang w:eastAsia="en-US"/>
    </w:rPr>
  </w:style>
  <w:style w:type="character" w:styleId="FootnoteReference">
    <w:name w:val="footnote reference"/>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val="en-GB" w:eastAsia="en-US"/>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lang w:val="fr-BE"/>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lang w:val="fr-BE"/>
    </w:rPr>
  </w:style>
  <w:style w:type="character" w:customStyle="1" w:styleId="HeaderCoverPageChar">
    <w:name w:val="Header Cover Page Char"/>
    <w:link w:val="HeaderCoverPage"/>
    <w:rPr>
      <w:rFonts w:ascii="Times New Roman" w:hAnsi="Times New Roman"/>
      <w:sz w:val="24"/>
      <w:szCs w:val="22"/>
      <w:lang w:eastAsia="en-US"/>
    </w:r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paragraph" w:customStyle="1" w:styleId="CM4">
    <w:name w:val="CM4"/>
    <w:basedOn w:val="Normal"/>
    <w:next w:val="Normal"/>
    <w:uiPriority w:val="99"/>
    <w:pPr>
      <w:autoSpaceDE w:val="0"/>
      <w:autoSpaceDN w:val="0"/>
      <w:adjustRightInd w:val="0"/>
      <w:spacing w:after="0" w:line="240" w:lineRule="auto"/>
    </w:pPr>
    <w:rPr>
      <w:rFonts w:ascii="Times New Roman" w:eastAsiaTheme="minorHAnsi" w:hAnsi="Times New Roman"/>
      <w:sz w:val="24"/>
      <w:szCs w:val="24"/>
    </w:rPr>
  </w:style>
  <w:style w:type="paragraph" w:styleId="NormalWeb">
    <w:name w:val="Normal (Web)"/>
    <w:basedOn w:val="Normal"/>
    <w:uiPriority w:val="99"/>
    <w:unhideWhenUsed/>
    <w:pPr>
      <w:spacing w:before="180" w:after="180" w:line="300" w:lineRule="atLeast"/>
    </w:pPr>
    <w:rPr>
      <w:rFonts w:ascii="Times New Roman" w:eastAsia="Times New Roman" w:hAnsi="Times New Roman"/>
      <w:sz w:val="24"/>
      <w:szCs w:val="24"/>
      <w:lang w:eastAsia="en-GB"/>
    </w:rPr>
  </w:style>
  <w:style w:type="character" w:customStyle="1" w:styleId="highlight">
    <w:name w:val="highlight"/>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val="en-GB" w:eastAsia="en-US"/>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9479">
      <w:bodyDiv w:val="1"/>
      <w:marLeft w:val="0"/>
      <w:marRight w:val="0"/>
      <w:marTop w:val="0"/>
      <w:marBottom w:val="0"/>
      <w:divBdr>
        <w:top w:val="none" w:sz="0" w:space="0" w:color="auto"/>
        <w:left w:val="none" w:sz="0" w:space="0" w:color="auto"/>
        <w:bottom w:val="none" w:sz="0" w:space="0" w:color="auto"/>
        <w:right w:val="none" w:sz="0" w:space="0" w:color="auto"/>
      </w:divBdr>
    </w:div>
    <w:div w:id="237907367">
      <w:bodyDiv w:val="1"/>
      <w:marLeft w:val="0"/>
      <w:marRight w:val="0"/>
      <w:marTop w:val="0"/>
      <w:marBottom w:val="0"/>
      <w:divBdr>
        <w:top w:val="none" w:sz="0" w:space="0" w:color="auto"/>
        <w:left w:val="none" w:sz="0" w:space="0" w:color="auto"/>
        <w:bottom w:val="none" w:sz="0" w:space="0" w:color="auto"/>
        <w:right w:val="none" w:sz="0" w:space="0" w:color="auto"/>
      </w:divBdr>
    </w:div>
    <w:div w:id="405734241">
      <w:bodyDiv w:val="1"/>
      <w:marLeft w:val="0"/>
      <w:marRight w:val="0"/>
      <w:marTop w:val="0"/>
      <w:marBottom w:val="0"/>
      <w:divBdr>
        <w:top w:val="none" w:sz="0" w:space="0" w:color="auto"/>
        <w:left w:val="none" w:sz="0" w:space="0" w:color="auto"/>
        <w:bottom w:val="none" w:sz="0" w:space="0" w:color="auto"/>
        <w:right w:val="none" w:sz="0" w:space="0" w:color="auto"/>
      </w:divBdr>
    </w:div>
    <w:div w:id="470563618">
      <w:bodyDiv w:val="1"/>
      <w:marLeft w:val="0"/>
      <w:marRight w:val="0"/>
      <w:marTop w:val="0"/>
      <w:marBottom w:val="0"/>
      <w:divBdr>
        <w:top w:val="none" w:sz="0" w:space="0" w:color="auto"/>
        <w:left w:val="none" w:sz="0" w:space="0" w:color="auto"/>
        <w:bottom w:val="none" w:sz="0" w:space="0" w:color="auto"/>
        <w:right w:val="none" w:sz="0" w:space="0" w:color="auto"/>
      </w:divBdr>
    </w:div>
    <w:div w:id="653413327">
      <w:bodyDiv w:val="1"/>
      <w:marLeft w:val="0"/>
      <w:marRight w:val="0"/>
      <w:marTop w:val="0"/>
      <w:marBottom w:val="0"/>
      <w:divBdr>
        <w:top w:val="none" w:sz="0" w:space="0" w:color="auto"/>
        <w:left w:val="none" w:sz="0" w:space="0" w:color="auto"/>
        <w:bottom w:val="none" w:sz="0" w:space="0" w:color="auto"/>
        <w:right w:val="none" w:sz="0" w:space="0" w:color="auto"/>
      </w:divBdr>
    </w:div>
    <w:div w:id="755177005">
      <w:bodyDiv w:val="1"/>
      <w:marLeft w:val="0"/>
      <w:marRight w:val="0"/>
      <w:marTop w:val="0"/>
      <w:marBottom w:val="0"/>
      <w:divBdr>
        <w:top w:val="none" w:sz="0" w:space="0" w:color="auto"/>
        <w:left w:val="none" w:sz="0" w:space="0" w:color="auto"/>
        <w:bottom w:val="none" w:sz="0" w:space="0" w:color="auto"/>
        <w:right w:val="none" w:sz="0" w:space="0" w:color="auto"/>
      </w:divBdr>
      <w:divsChild>
        <w:div w:id="456069119">
          <w:marLeft w:val="0"/>
          <w:marRight w:val="0"/>
          <w:marTop w:val="100"/>
          <w:marBottom w:val="100"/>
          <w:divBdr>
            <w:top w:val="none" w:sz="0" w:space="0" w:color="auto"/>
            <w:left w:val="none" w:sz="0" w:space="0" w:color="auto"/>
            <w:bottom w:val="none" w:sz="0" w:space="0" w:color="auto"/>
            <w:right w:val="none" w:sz="0" w:space="0" w:color="auto"/>
          </w:divBdr>
        </w:div>
      </w:divsChild>
    </w:div>
    <w:div w:id="848833393">
      <w:bodyDiv w:val="1"/>
      <w:marLeft w:val="0"/>
      <w:marRight w:val="0"/>
      <w:marTop w:val="0"/>
      <w:marBottom w:val="0"/>
      <w:divBdr>
        <w:top w:val="none" w:sz="0" w:space="0" w:color="auto"/>
        <w:left w:val="none" w:sz="0" w:space="0" w:color="auto"/>
        <w:bottom w:val="none" w:sz="0" w:space="0" w:color="auto"/>
        <w:right w:val="none" w:sz="0" w:space="0" w:color="auto"/>
      </w:divBdr>
      <w:divsChild>
        <w:div w:id="6442091">
          <w:marLeft w:val="1166"/>
          <w:marRight w:val="0"/>
          <w:marTop w:val="67"/>
          <w:marBottom w:val="0"/>
          <w:divBdr>
            <w:top w:val="none" w:sz="0" w:space="0" w:color="auto"/>
            <w:left w:val="none" w:sz="0" w:space="0" w:color="auto"/>
            <w:bottom w:val="none" w:sz="0" w:space="0" w:color="auto"/>
            <w:right w:val="none" w:sz="0" w:space="0" w:color="auto"/>
          </w:divBdr>
        </w:div>
        <w:div w:id="799153977">
          <w:marLeft w:val="1166"/>
          <w:marRight w:val="0"/>
          <w:marTop w:val="67"/>
          <w:marBottom w:val="0"/>
          <w:divBdr>
            <w:top w:val="none" w:sz="0" w:space="0" w:color="auto"/>
            <w:left w:val="none" w:sz="0" w:space="0" w:color="auto"/>
            <w:bottom w:val="none" w:sz="0" w:space="0" w:color="auto"/>
            <w:right w:val="none" w:sz="0" w:space="0" w:color="auto"/>
          </w:divBdr>
        </w:div>
        <w:div w:id="846408632">
          <w:marLeft w:val="1166"/>
          <w:marRight w:val="0"/>
          <w:marTop w:val="67"/>
          <w:marBottom w:val="0"/>
          <w:divBdr>
            <w:top w:val="none" w:sz="0" w:space="0" w:color="auto"/>
            <w:left w:val="none" w:sz="0" w:space="0" w:color="auto"/>
            <w:bottom w:val="none" w:sz="0" w:space="0" w:color="auto"/>
            <w:right w:val="none" w:sz="0" w:space="0" w:color="auto"/>
          </w:divBdr>
        </w:div>
        <w:div w:id="888804233">
          <w:marLeft w:val="1166"/>
          <w:marRight w:val="0"/>
          <w:marTop w:val="67"/>
          <w:marBottom w:val="0"/>
          <w:divBdr>
            <w:top w:val="none" w:sz="0" w:space="0" w:color="auto"/>
            <w:left w:val="none" w:sz="0" w:space="0" w:color="auto"/>
            <w:bottom w:val="none" w:sz="0" w:space="0" w:color="auto"/>
            <w:right w:val="none" w:sz="0" w:space="0" w:color="auto"/>
          </w:divBdr>
        </w:div>
        <w:div w:id="1289358451">
          <w:marLeft w:val="1166"/>
          <w:marRight w:val="0"/>
          <w:marTop w:val="67"/>
          <w:marBottom w:val="0"/>
          <w:divBdr>
            <w:top w:val="none" w:sz="0" w:space="0" w:color="auto"/>
            <w:left w:val="none" w:sz="0" w:space="0" w:color="auto"/>
            <w:bottom w:val="none" w:sz="0" w:space="0" w:color="auto"/>
            <w:right w:val="none" w:sz="0" w:space="0" w:color="auto"/>
          </w:divBdr>
        </w:div>
        <w:div w:id="1546601503">
          <w:marLeft w:val="1166"/>
          <w:marRight w:val="0"/>
          <w:marTop w:val="67"/>
          <w:marBottom w:val="0"/>
          <w:divBdr>
            <w:top w:val="none" w:sz="0" w:space="0" w:color="auto"/>
            <w:left w:val="none" w:sz="0" w:space="0" w:color="auto"/>
            <w:bottom w:val="none" w:sz="0" w:space="0" w:color="auto"/>
            <w:right w:val="none" w:sz="0" w:space="0" w:color="auto"/>
          </w:divBdr>
        </w:div>
        <w:div w:id="1753771485">
          <w:marLeft w:val="1166"/>
          <w:marRight w:val="0"/>
          <w:marTop w:val="67"/>
          <w:marBottom w:val="0"/>
          <w:divBdr>
            <w:top w:val="none" w:sz="0" w:space="0" w:color="auto"/>
            <w:left w:val="none" w:sz="0" w:space="0" w:color="auto"/>
            <w:bottom w:val="none" w:sz="0" w:space="0" w:color="auto"/>
            <w:right w:val="none" w:sz="0" w:space="0" w:color="auto"/>
          </w:divBdr>
        </w:div>
      </w:divsChild>
    </w:div>
    <w:div w:id="953709520">
      <w:bodyDiv w:val="1"/>
      <w:marLeft w:val="0"/>
      <w:marRight w:val="0"/>
      <w:marTop w:val="0"/>
      <w:marBottom w:val="0"/>
      <w:divBdr>
        <w:top w:val="none" w:sz="0" w:space="0" w:color="auto"/>
        <w:left w:val="none" w:sz="0" w:space="0" w:color="auto"/>
        <w:bottom w:val="none" w:sz="0" w:space="0" w:color="auto"/>
        <w:right w:val="none" w:sz="0" w:space="0" w:color="auto"/>
      </w:divBdr>
    </w:div>
    <w:div w:id="1054037242">
      <w:bodyDiv w:val="1"/>
      <w:marLeft w:val="0"/>
      <w:marRight w:val="0"/>
      <w:marTop w:val="0"/>
      <w:marBottom w:val="0"/>
      <w:divBdr>
        <w:top w:val="none" w:sz="0" w:space="0" w:color="auto"/>
        <w:left w:val="none" w:sz="0" w:space="0" w:color="auto"/>
        <w:bottom w:val="none" w:sz="0" w:space="0" w:color="auto"/>
        <w:right w:val="none" w:sz="0" w:space="0" w:color="auto"/>
      </w:divBdr>
    </w:div>
    <w:div w:id="1103303093">
      <w:bodyDiv w:val="1"/>
      <w:marLeft w:val="0"/>
      <w:marRight w:val="0"/>
      <w:marTop w:val="0"/>
      <w:marBottom w:val="0"/>
      <w:divBdr>
        <w:top w:val="none" w:sz="0" w:space="0" w:color="auto"/>
        <w:left w:val="none" w:sz="0" w:space="0" w:color="auto"/>
        <w:bottom w:val="none" w:sz="0" w:space="0" w:color="auto"/>
        <w:right w:val="none" w:sz="0" w:space="0" w:color="auto"/>
      </w:divBdr>
    </w:div>
    <w:div w:id="1168445632">
      <w:bodyDiv w:val="1"/>
      <w:marLeft w:val="0"/>
      <w:marRight w:val="0"/>
      <w:marTop w:val="0"/>
      <w:marBottom w:val="0"/>
      <w:divBdr>
        <w:top w:val="none" w:sz="0" w:space="0" w:color="auto"/>
        <w:left w:val="none" w:sz="0" w:space="0" w:color="auto"/>
        <w:bottom w:val="none" w:sz="0" w:space="0" w:color="auto"/>
        <w:right w:val="none" w:sz="0" w:space="0" w:color="auto"/>
      </w:divBdr>
    </w:div>
    <w:div w:id="1214729381">
      <w:bodyDiv w:val="1"/>
      <w:marLeft w:val="0"/>
      <w:marRight w:val="0"/>
      <w:marTop w:val="0"/>
      <w:marBottom w:val="0"/>
      <w:divBdr>
        <w:top w:val="none" w:sz="0" w:space="0" w:color="auto"/>
        <w:left w:val="none" w:sz="0" w:space="0" w:color="auto"/>
        <w:bottom w:val="none" w:sz="0" w:space="0" w:color="auto"/>
        <w:right w:val="none" w:sz="0" w:space="0" w:color="auto"/>
      </w:divBdr>
    </w:div>
    <w:div w:id="1303002630">
      <w:bodyDiv w:val="1"/>
      <w:marLeft w:val="0"/>
      <w:marRight w:val="0"/>
      <w:marTop w:val="0"/>
      <w:marBottom w:val="0"/>
      <w:divBdr>
        <w:top w:val="none" w:sz="0" w:space="0" w:color="auto"/>
        <w:left w:val="none" w:sz="0" w:space="0" w:color="auto"/>
        <w:bottom w:val="none" w:sz="0" w:space="0" w:color="auto"/>
        <w:right w:val="none" w:sz="0" w:space="0" w:color="auto"/>
      </w:divBdr>
    </w:div>
    <w:div w:id="1315798325">
      <w:bodyDiv w:val="1"/>
      <w:marLeft w:val="0"/>
      <w:marRight w:val="0"/>
      <w:marTop w:val="0"/>
      <w:marBottom w:val="0"/>
      <w:divBdr>
        <w:top w:val="none" w:sz="0" w:space="0" w:color="auto"/>
        <w:left w:val="none" w:sz="0" w:space="0" w:color="auto"/>
        <w:bottom w:val="none" w:sz="0" w:space="0" w:color="auto"/>
        <w:right w:val="none" w:sz="0" w:space="0" w:color="auto"/>
      </w:divBdr>
    </w:div>
    <w:div w:id="1402867434">
      <w:bodyDiv w:val="1"/>
      <w:marLeft w:val="0"/>
      <w:marRight w:val="0"/>
      <w:marTop w:val="0"/>
      <w:marBottom w:val="0"/>
      <w:divBdr>
        <w:top w:val="none" w:sz="0" w:space="0" w:color="auto"/>
        <w:left w:val="none" w:sz="0" w:space="0" w:color="auto"/>
        <w:bottom w:val="none" w:sz="0" w:space="0" w:color="auto"/>
        <w:right w:val="none" w:sz="0" w:space="0" w:color="auto"/>
      </w:divBdr>
      <w:divsChild>
        <w:div w:id="1622105522">
          <w:marLeft w:val="0"/>
          <w:marRight w:val="0"/>
          <w:marTop w:val="0"/>
          <w:marBottom w:val="0"/>
          <w:divBdr>
            <w:top w:val="none" w:sz="0" w:space="0" w:color="auto"/>
            <w:left w:val="none" w:sz="0" w:space="0" w:color="auto"/>
            <w:bottom w:val="none" w:sz="0" w:space="0" w:color="auto"/>
            <w:right w:val="none" w:sz="0" w:space="0" w:color="auto"/>
          </w:divBdr>
        </w:div>
        <w:div w:id="336812297">
          <w:marLeft w:val="0"/>
          <w:marRight w:val="0"/>
          <w:marTop w:val="0"/>
          <w:marBottom w:val="0"/>
          <w:divBdr>
            <w:top w:val="none" w:sz="0" w:space="0" w:color="auto"/>
            <w:left w:val="none" w:sz="0" w:space="0" w:color="auto"/>
            <w:bottom w:val="none" w:sz="0" w:space="0" w:color="auto"/>
            <w:right w:val="none" w:sz="0" w:space="0" w:color="auto"/>
          </w:divBdr>
        </w:div>
      </w:divsChild>
    </w:div>
    <w:div w:id="1444306461">
      <w:bodyDiv w:val="1"/>
      <w:marLeft w:val="0"/>
      <w:marRight w:val="0"/>
      <w:marTop w:val="0"/>
      <w:marBottom w:val="0"/>
      <w:divBdr>
        <w:top w:val="none" w:sz="0" w:space="0" w:color="auto"/>
        <w:left w:val="none" w:sz="0" w:space="0" w:color="auto"/>
        <w:bottom w:val="none" w:sz="0" w:space="0" w:color="auto"/>
        <w:right w:val="none" w:sz="0" w:space="0" w:color="auto"/>
      </w:divBdr>
    </w:div>
    <w:div w:id="1787966783">
      <w:bodyDiv w:val="1"/>
      <w:marLeft w:val="0"/>
      <w:marRight w:val="0"/>
      <w:marTop w:val="0"/>
      <w:marBottom w:val="0"/>
      <w:divBdr>
        <w:top w:val="none" w:sz="0" w:space="0" w:color="auto"/>
        <w:left w:val="none" w:sz="0" w:space="0" w:color="auto"/>
        <w:bottom w:val="none" w:sz="0" w:space="0" w:color="auto"/>
        <w:right w:val="none" w:sz="0" w:space="0" w:color="auto"/>
      </w:divBdr>
      <w:divsChild>
        <w:div w:id="1946770284">
          <w:marLeft w:val="0"/>
          <w:marRight w:val="0"/>
          <w:marTop w:val="100"/>
          <w:marBottom w:val="100"/>
          <w:divBdr>
            <w:top w:val="none" w:sz="0" w:space="0" w:color="auto"/>
            <w:left w:val="none" w:sz="0" w:space="0" w:color="auto"/>
            <w:bottom w:val="none" w:sz="0" w:space="0" w:color="auto"/>
            <w:right w:val="none" w:sz="0" w:space="0" w:color="auto"/>
          </w:divBdr>
        </w:div>
      </w:divsChild>
    </w:div>
    <w:div w:id="1831285415">
      <w:bodyDiv w:val="1"/>
      <w:marLeft w:val="0"/>
      <w:marRight w:val="0"/>
      <w:marTop w:val="0"/>
      <w:marBottom w:val="0"/>
      <w:divBdr>
        <w:top w:val="none" w:sz="0" w:space="0" w:color="auto"/>
        <w:left w:val="none" w:sz="0" w:space="0" w:color="auto"/>
        <w:bottom w:val="none" w:sz="0" w:space="0" w:color="auto"/>
        <w:right w:val="none" w:sz="0" w:space="0" w:color="auto"/>
      </w:divBdr>
    </w:div>
    <w:div w:id="1907761086">
      <w:bodyDiv w:val="1"/>
      <w:marLeft w:val="0"/>
      <w:marRight w:val="0"/>
      <w:marTop w:val="0"/>
      <w:marBottom w:val="0"/>
      <w:divBdr>
        <w:top w:val="none" w:sz="0" w:space="0" w:color="auto"/>
        <w:left w:val="none" w:sz="0" w:space="0" w:color="auto"/>
        <w:bottom w:val="none" w:sz="0" w:space="0" w:color="auto"/>
        <w:right w:val="none" w:sz="0" w:space="0" w:color="auto"/>
      </w:divBdr>
    </w:div>
    <w:div w:id="199833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E0D44-2952-4824-9E0F-51F1211F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3890</Words>
  <Characters>22174</Characters>
  <Application>Microsoft Office Word</Application>
  <DocSecurity>0</DocSecurity>
  <Lines>184</Lines>
  <Paragraphs>52</Paragraphs>
  <ScaleCrop>false</ScaleCrop>
  <Manager/>
  <Company/>
  <LinksUpToDate>false</LinksUpToDate>
  <CharactersWithSpaces>26012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2016-08-31T07:54:00Z</dcterms:created>
  <dcterms:modified xsi:type="dcterms:W3CDTF">2016-09-16T10:24:00Z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Classification">
    <vt:lpwstr> </vt:lpwstr>
  </property>
</Properties>
</file>