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D72" w:rsidRDefault="0005215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6242D43E4DD4853AED2307EAAF93685" style="width:451.1pt;height:320.35pt">
            <v:imagedata r:id="rId9" o:title=""/>
          </v:shape>
        </w:pict>
      </w:r>
    </w:p>
    <w:bookmarkEnd w:id="0"/>
    <w:p w:rsidR="00E03D72" w:rsidRDefault="00E03D72">
      <w:pPr>
        <w:pStyle w:val="Pagedecouverture"/>
        <w:sectPr w:rsidR="00E03D7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E03D72" w:rsidRDefault="00052157">
      <w:pPr>
        <w:keepNext/>
        <w:tabs>
          <w:tab w:val="left" w:pos="567"/>
        </w:tabs>
        <w:spacing w:after="240" w:line="240" w:lineRule="auto"/>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lastRenderedPageBreak/>
        <w:t>1.</w:t>
      </w:r>
      <w:r>
        <w:rPr>
          <w:rFonts w:ascii="Times New Roman" w:eastAsia="Times New Roman" w:hAnsi="Times New Roman"/>
          <w:b/>
          <w:smallCaps/>
          <w:noProof/>
          <w:sz w:val="24"/>
          <w:szCs w:val="24"/>
        </w:rPr>
        <w:tab/>
        <w:t>Introduction</w:t>
      </w:r>
    </w:p>
    <w:p w:rsidR="00E03D72" w:rsidRDefault="00052157">
      <w:pPr>
        <w:keepNext/>
        <w:tabs>
          <w:tab w:val="left" w:pos="850"/>
        </w:tabs>
        <w:spacing w:after="240" w:line="240" w:lineRule="auto"/>
        <w:ind w:left="567" w:hanging="567"/>
        <w:jc w:val="both"/>
        <w:outlineLvl w:val="1"/>
        <w:rPr>
          <w:rFonts w:ascii="Times New Roman" w:eastAsia="Times New Roman" w:hAnsi="Times New Roman"/>
          <w:b/>
          <w:noProof/>
          <w:sz w:val="24"/>
          <w:szCs w:val="24"/>
        </w:rPr>
      </w:pPr>
      <w:r>
        <w:rPr>
          <w:rFonts w:ascii="Times New Roman" w:eastAsia="Times New Roman" w:hAnsi="Times New Roman"/>
          <w:b/>
          <w:noProof/>
          <w:sz w:val="24"/>
          <w:szCs w:val="24"/>
        </w:rPr>
        <w:t>1.1.</w:t>
      </w:r>
      <w:r>
        <w:rPr>
          <w:rFonts w:ascii="Times New Roman" w:eastAsia="Times New Roman" w:hAnsi="Times New Roman"/>
          <w:b/>
          <w:noProof/>
          <w:sz w:val="24"/>
          <w:szCs w:val="24"/>
        </w:rPr>
        <w:tab/>
        <w:t>Background</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Regulation (EU) No 181/2011</w:t>
      </w:r>
      <w:r>
        <w:rPr>
          <w:rStyle w:val="FootnoteReference"/>
          <w:noProof/>
        </w:rPr>
        <w:footnoteReference w:id="2"/>
      </w:r>
      <w:r>
        <w:rPr>
          <w:rFonts w:ascii="Times New Roman" w:eastAsia="Times New Roman" w:hAnsi="Times New Roman"/>
          <w:noProof/>
          <w:sz w:val="24"/>
          <w:szCs w:val="24"/>
        </w:rPr>
        <w:t xml:space="preserve"> (‘the Regulation’) lays down a series of rights for passengers who travel by bus and coach in the European Union. It became applicable on 1 March 2013.</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Commission is submitting this report under Article 32 of the Regulation, which requires it to repor</w:t>
      </w:r>
      <w:r>
        <w:rPr>
          <w:rFonts w:ascii="Times New Roman" w:eastAsia="Times New Roman" w:hAnsi="Times New Roman"/>
          <w:noProof/>
          <w:sz w:val="24"/>
          <w:szCs w:val="24"/>
        </w:rPr>
        <w:t>t to the European Parliament and the Council on the operation and effects of the Regulation and, if necessary, to make proposals for legislation to implement the provisions of the Regulation in more detail or to amend it.</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report is based on: data on th</w:t>
      </w:r>
      <w:r>
        <w:rPr>
          <w:rFonts w:ascii="Times New Roman" w:eastAsia="Times New Roman" w:hAnsi="Times New Roman"/>
          <w:noProof/>
          <w:sz w:val="24"/>
          <w:szCs w:val="24"/>
        </w:rPr>
        <w:t>e implementation and application of the Regulation gathered directly by the Commission; the national authorities’ reports on the enforcement of the Regulation</w:t>
      </w:r>
      <w:r>
        <w:rPr>
          <w:rStyle w:val="FootnoteReference"/>
          <w:noProof/>
        </w:rPr>
        <w:footnoteReference w:id="3"/>
      </w:r>
      <w:r>
        <w:rPr>
          <w:rFonts w:ascii="Times New Roman" w:eastAsia="Times New Roman" w:hAnsi="Times New Roman"/>
          <w:noProof/>
          <w:sz w:val="24"/>
          <w:szCs w:val="24"/>
        </w:rPr>
        <w:t>; consultations conducted among bodies representing passengers and the industry at European level</w:t>
      </w:r>
      <w:r>
        <w:rPr>
          <w:rStyle w:val="FootnoteReference"/>
          <w:noProof/>
        </w:rPr>
        <w:footnoteReference w:id="4"/>
      </w:r>
      <w:r>
        <w:rPr>
          <w:rFonts w:ascii="Times New Roman" w:eastAsia="Times New Roman" w:hAnsi="Times New Roman"/>
          <w:noProof/>
          <w:sz w:val="24"/>
          <w:szCs w:val="24"/>
        </w:rPr>
        <w:t xml:space="preserve">; and the  Comprehensive Study on Passenger Transport by Coach in Europe, an external study carried out for the Commission in 2015 and 2016 </w:t>
      </w:r>
      <w:r>
        <w:rPr>
          <w:rStyle w:val="FootnoteReference"/>
          <w:rFonts w:ascii="Times New Roman" w:eastAsia="Times New Roman" w:hAnsi="Times New Roman"/>
          <w:noProof/>
          <w:sz w:val="24"/>
          <w:szCs w:val="24"/>
        </w:rPr>
        <w:footnoteReference w:id="5"/>
      </w:r>
      <w:r>
        <w:rPr>
          <w:rFonts w:ascii="Times New Roman" w:eastAsia="Times New Roman" w:hAnsi="Times New Roman"/>
          <w:noProof/>
          <w:sz w:val="24"/>
          <w:szCs w:val="24"/>
        </w:rPr>
        <w:t>.</w:t>
      </w:r>
    </w:p>
    <w:p w:rsidR="00E03D72" w:rsidRDefault="00052157">
      <w:pPr>
        <w:keepNext/>
        <w:spacing w:after="240" w:line="240" w:lineRule="auto"/>
        <w:ind w:left="567" w:hanging="567"/>
        <w:jc w:val="both"/>
        <w:outlineLvl w:val="1"/>
        <w:rPr>
          <w:rFonts w:ascii="Times New Roman" w:eastAsia="Times New Roman" w:hAnsi="Times New Roman"/>
          <w:b/>
          <w:noProof/>
          <w:sz w:val="24"/>
          <w:szCs w:val="24"/>
        </w:rPr>
      </w:pPr>
      <w:r>
        <w:rPr>
          <w:rFonts w:ascii="Times New Roman" w:eastAsia="Times New Roman" w:hAnsi="Times New Roman"/>
          <w:b/>
          <w:noProof/>
          <w:sz w:val="24"/>
          <w:szCs w:val="24"/>
        </w:rPr>
        <w:t xml:space="preserve">1.2. </w:t>
      </w:r>
      <w:r>
        <w:rPr>
          <w:rFonts w:ascii="Times New Roman" w:eastAsia="Times New Roman" w:hAnsi="Times New Roman"/>
          <w:b/>
          <w:noProof/>
          <w:sz w:val="24"/>
          <w:szCs w:val="24"/>
        </w:rPr>
        <w:tab/>
        <w:t>Importance and features of the EU bus and coach transport sector</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Buses and coaches are a flexible </w:t>
      </w:r>
      <w:r>
        <w:rPr>
          <w:rFonts w:ascii="Times New Roman" w:eastAsia="Times New Roman" w:hAnsi="Times New Roman"/>
          <w:noProof/>
          <w:sz w:val="24"/>
          <w:szCs w:val="24"/>
        </w:rPr>
        <w:t>transport mode and, unlike trains or aircraft, are generally able to pick up and set down passengers anywhere with a minimal provision of fixed infrastructure.</w:t>
      </w:r>
    </w:p>
    <w:p w:rsidR="00E03D72" w:rsidRDefault="00052157">
      <w:pPr>
        <w:spacing w:after="240" w:line="240" w:lineRule="auto"/>
        <w:jc w:val="both"/>
        <w:rPr>
          <w:rFonts w:ascii="Times New Roman" w:eastAsia="Times New Roman" w:hAnsi="Times New Roman"/>
          <w:noProof/>
          <w:sz w:val="24"/>
          <w:szCs w:val="24"/>
          <w:highlight w:val="yellow"/>
        </w:rPr>
      </w:pPr>
      <w:r>
        <w:rPr>
          <w:rFonts w:ascii="Times New Roman" w:eastAsia="Times New Roman" w:hAnsi="Times New Roman"/>
          <w:noProof/>
          <w:sz w:val="24"/>
          <w:szCs w:val="24"/>
        </w:rPr>
        <w:t xml:space="preserve">In passenger-kilometre terms, bus and coach transport holds a 9.2 % share of all land passenger </w:t>
      </w:r>
      <w:r>
        <w:rPr>
          <w:rFonts w:ascii="Times New Roman" w:eastAsia="Times New Roman" w:hAnsi="Times New Roman"/>
          <w:noProof/>
          <w:sz w:val="24"/>
          <w:szCs w:val="24"/>
        </w:rPr>
        <w:t>transport in the EU and is the most important means of land passenger transport after private cars (81.7 %)</w:t>
      </w:r>
      <w:r>
        <w:rPr>
          <w:rStyle w:val="FootnoteReference"/>
          <w:rFonts w:ascii="Times New Roman" w:eastAsia="Times New Roman" w:hAnsi="Times New Roman"/>
          <w:noProof/>
          <w:sz w:val="24"/>
          <w:szCs w:val="24"/>
        </w:rPr>
        <w:footnoteReference w:id="6"/>
      </w:r>
      <w:r>
        <w:rPr>
          <w:rFonts w:ascii="Times New Roman" w:eastAsia="Times New Roman" w:hAnsi="Times New Roman"/>
          <w:noProof/>
          <w:sz w:val="24"/>
          <w:szCs w:val="24"/>
        </w:rPr>
        <w:t>. The liberalisation of the international coach market more than a decade ago</w:t>
      </w:r>
      <w:r>
        <w:rPr>
          <w:rStyle w:val="FootnoteReference"/>
          <w:rFonts w:ascii="Times New Roman" w:eastAsia="Times New Roman" w:hAnsi="Times New Roman"/>
          <w:noProof/>
          <w:sz w:val="24"/>
          <w:szCs w:val="24"/>
        </w:rPr>
        <w:footnoteReference w:id="7"/>
      </w:r>
      <w:r>
        <w:rPr>
          <w:rFonts w:ascii="Times New Roman" w:eastAsia="Times New Roman" w:hAnsi="Times New Roman"/>
          <w:noProof/>
          <w:sz w:val="24"/>
          <w:szCs w:val="24"/>
        </w:rPr>
        <w:t xml:space="preserve"> and the recent liberalisation of the domestic coach markets in severa</w:t>
      </w:r>
      <w:r>
        <w:rPr>
          <w:rFonts w:ascii="Times New Roman" w:eastAsia="Times New Roman" w:hAnsi="Times New Roman"/>
          <w:noProof/>
          <w:sz w:val="24"/>
          <w:szCs w:val="24"/>
        </w:rPr>
        <w:t>l Member States (including Germany and France</w:t>
      </w:r>
      <w:r>
        <w:rPr>
          <w:rStyle w:val="FootnoteReference"/>
          <w:rFonts w:ascii="Times New Roman" w:eastAsia="Times New Roman" w:hAnsi="Times New Roman"/>
          <w:noProof/>
          <w:sz w:val="24"/>
          <w:szCs w:val="24"/>
        </w:rPr>
        <w:footnoteReference w:id="8"/>
      </w:r>
      <w:r>
        <w:rPr>
          <w:rFonts w:ascii="Times New Roman" w:eastAsia="Times New Roman" w:hAnsi="Times New Roman"/>
          <w:noProof/>
          <w:sz w:val="24"/>
          <w:szCs w:val="24"/>
        </w:rPr>
        <w:t>) has created steady growth in the coach sector.</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lastRenderedPageBreak/>
        <w:t>Bus and coach transport is characterised by a number of distinctive features, which affect both operators and passengers.</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Unlike aviation and rail transport, the</w:t>
      </w:r>
      <w:r>
        <w:rPr>
          <w:rFonts w:ascii="Times New Roman" w:eastAsia="Times New Roman" w:hAnsi="Times New Roman"/>
          <w:noProof/>
          <w:sz w:val="24"/>
          <w:szCs w:val="24"/>
        </w:rPr>
        <w:t xml:space="preserve"> bus and coach sectors consist largely of small and medium-sized undertakings and buses and coaches share the road infrastructure with other actors. These specific features are taken into account in certain provisions included in the Regulation</w:t>
      </w:r>
      <w:r>
        <w:rPr>
          <w:rStyle w:val="FootnoteReference"/>
          <w:rFonts w:ascii="Times New Roman" w:eastAsia="Times New Roman" w:hAnsi="Times New Roman"/>
          <w:noProof/>
          <w:sz w:val="24"/>
          <w:szCs w:val="24"/>
        </w:rPr>
        <w:footnoteReference w:id="9"/>
      </w:r>
      <w:r>
        <w:rPr>
          <w:rFonts w:ascii="Times New Roman" w:eastAsia="Times New Roman" w:hAnsi="Times New Roman"/>
          <w:noProof/>
          <w:sz w:val="24"/>
          <w:szCs w:val="24"/>
        </w:rPr>
        <w:t>.</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Surveys c</w:t>
      </w:r>
      <w:r>
        <w:rPr>
          <w:rFonts w:ascii="Times New Roman" w:eastAsia="Times New Roman" w:hAnsi="Times New Roman"/>
          <w:noProof/>
          <w:sz w:val="24"/>
          <w:szCs w:val="24"/>
        </w:rPr>
        <w:t>arried out in several Member States at national level</w:t>
      </w:r>
      <w:r>
        <w:rPr>
          <w:rStyle w:val="FootnoteReference"/>
          <w:rFonts w:ascii="Times New Roman" w:eastAsia="Times New Roman" w:hAnsi="Times New Roman"/>
          <w:noProof/>
          <w:sz w:val="24"/>
          <w:szCs w:val="24"/>
        </w:rPr>
        <w:footnoteReference w:id="10"/>
      </w:r>
      <w:r>
        <w:rPr>
          <w:rFonts w:ascii="Times New Roman" w:eastAsia="Times New Roman" w:hAnsi="Times New Roman"/>
          <w:noProof/>
          <w:sz w:val="24"/>
          <w:szCs w:val="24"/>
        </w:rPr>
        <w:t xml:space="preserve"> show that passengers using this mode of transport tend to be vulnerable, as they are often on low incomes (a very high percentage of bus and coach users are students or elderly people with small pensio</w:t>
      </w:r>
      <w:r>
        <w:rPr>
          <w:rFonts w:ascii="Times New Roman" w:eastAsia="Times New Roman" w:hAnsi="Times New Roman"/>
          <w:noProof/>
          <w:sz w:val="24"/>
          <w:szCs w:val="24"/>
        </w:rPr>
        <w:t xml:space="preserve">ns) or live in geographically isolated areas, where bus and coach is the only available mode of public transport. Passengers often do not hold a driving licence or do not own a car, and bus and coach services are therefore essential for them to be able to </w:t>
      </w:r>
      <w:r>
        <w:rPr>
          <w:rFonts w:ascii="Times New Roman" w:eastAsia="Times New Roman" w:hAnsi="Times New Roman"/>
          <w:noProof/>
          <w:sz w:val="24"/>
          <w:szCs w:val="24"/>
        </w:rPr>
        <w:t>go to work or school, to visit family and friends or to enjoy leisure and tourism. Poor access to bus and coach transport can severely impede their integration into society.</w:t>
      </w:r>
    </w:p>
    <w:p w:rsidR="00E03D72" w:rsidRDefault="00052157">
      <w:pPr>
        <w:keepNext/>
        <w:tabs>
          <w:tab w:val="left" w:pos="850"/>
        </w:tabs>
        <w:spacing w:after="240" w:line="240" w:lineRule="auto"/>
        <w:ind w:left="567" w:hanging="567"/>
        <w:jc w:val="both"/>
        <w:outlineLvl w:val="1"/>
        <w:rPr>
          <w:rFonts w:ascii="Times New Roman" w:eastAsia="Times New Roman" w:hAnsi="Times New Roman"/>
          <w:b/>
          <w:smallCaps/>
          <w:noProof/>
          <w:sz w:val="24"/>
          <w:szCs w:val="24"/>
        </w:rPr>
      </w:pPr>
      <w:r>
        <w:rPr>
          <w:rFonts w:ascii="Times New Roman" w:eastAsia="Times New Roman" w:hAnsi="Times New Roman"/>
          <w:b/>
          <w:noProof/>
          <w:sz w:val="24"/>
          <w:szCs w:val="24"/>
        </w:rPr>
        <w:t>2.</w:t>
      </w:r>
      <w:r>
        <w:rPr>
          <w:rFonts w:ascii="Times New Roman" w:eastAsia="Times New Roman" w:hAnsi="Times New Roman"/>
          <w:b/>
          <w:noProof/>
          <w:sz w:val="24"/>
          <w:szCs w:val="24"/>
        </w:rPr>
        <w:tab/>
      </w:r>
      <w:r>
        <w:rPr>
          <w:rFonts w:ascii="Times New Roman" w:eastAsia="Times New Roman" w:hAnsi="Times New Roman"/>
          <w:b/>
          <w:smallCaps/>
          <w:noProof/>
          <w:sz w:val="24"/>
          <w:szCs w:val="24"/>
        </w:rPr>
        <w:t>The scope and content of the Regulation</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EU adopted legislation on passenger</w:t>
      </w:r>
      <w:r>
        <w:rPr>
          <w:rFonts w:ascii="Times New Roman" w:eastAsia="Times New Roman" w:hAnsi="Times New Roman"/>
          <w:noProof/>
          <w:sz w:val="24"/>
          <w:szCs w:val="24"/>
        </w:rPr>
        <w:t xml:space="preserve"> rights for all modes of transport (aviation, rail, waterborne and bus/coach transport) in order to give members of the public a guaranteed minimum level of protection when they travel in Europe, and thus to facilitate their mobility and social integration</w:t>
      </w:r>
      <w:r>
        <w:rPr>
          <w:rFonts w:ascii="Times New Roman" w:eastAsia="Times New Roman" w:hAnsi="Times New Roman"/>
          <w:noProof/>
          <w:sz w:val="24"/>
          <w:szCs w:val="24"/>
        </w:rPr>
        <w:t>. The existence of a common set of passenger rights guaranteed by law across the four modes (with provisions reflecting the specific features of each mode of transport) also helps to create a level playing</w:t>
      </w:r>
      <w:r>
        <w:rPr>
          <w:rFonts w:ascii="Times New Roman" w:eastAsia="Times New Roman" w:hAnsi="Times New Roman"/>
          <w:noProof/>
          <w:sz w:val="24"/>
          <w:szCs w:val="24"/>
        </w:rPr>
        <w:noBreakHyphen/>
        <w:t>field for operators within and across the modes.</w:t>
      </w:r>
    </w:p>
    <w:p w:rsidR="00E03D72" w:rsidRDefault="00052157">
      <w:pPr>
        <w:spacing w:after="240" w:line="240" w:lineRule="auto"/>
        <w:jc w:val="both"/>
        <w:rPr>
          <w:rFonts w:ascii="Times New Roman" w:eastAsia="Times New Roman" w:hAnsi="Times New Roman"/>
          <w:i/>
          <w:noProof/>
          <w:color w:val="0D0D0D" w:themeColor="text1" w:themeTint="F2"/>
          <w:sz w:val="24"/>
          <w:szCs w:val="24"/>
        </w:rPr>
      </w:pPr>
      <w:r>
        <w:rPr>
          <w:rFonts w:ascii="Times New Roman" w:eastAsia="Times New Roman" w:hAnsi="Times New Roman"/>
          <w:i/>
          <w:noProof/>
          <w:color w:val="0D0D0D" w:themeColor="text1" w:themeTint="F2"/>
          <w:sz w:val="24"/>
          <w:szCs w:val="24"/>
        </w:rPr>
        <w:t>S</w:t>
      </w:r>
      <w:r>
        <w:rPr>
          <w:rFonts w:ascii="Times New Roman" w:eastAsia="Times New Roman" w:hAnsi="Times New Roman"/>
          <w:i/>
          <w:noProof/>
          <w:color w:val="0D0D0D" w:themeColor="text1" w:themeTint="F2"/>
          <w:sz w:val="24"/>
          <w:szCs w:val="24"/>
        </w:rPr>
        <w:t>cope</w:t>
      </w:r>
    </w:p>
    <w:p w:rsidR="00E03D72" w:rsidRDefault="00052157">
      <w:pPr>
        <w:spacing w:after="240" w:line="240" w:lineRule="auto"/>
        <w:jc w:val="both"/>
        <w:rPr>
          <w:rFonts w:ascii="Times New Roman" w:eastAsia="Times New Roman" w:hAnsi="Times New Roman"/>
          <w:noProof/>
          <w:color w:val="0D0D0D" w:themeColor="text1" w:themeTint="F2"/>
          <w:sz w:val="24"/>
          <w:szCs w:val="24"/>
        </w:rPr>
      </w:pPr>
      <w:r>
        <w:rPr>
          <w:rFonts w:ascii="Times New Roman" w:eastAsia="Times New Roman" w:hAnsi="Times New Roman"/>
          <w:noProof/>
          <w:color w:val="0D0D0D" w:themeColor="text1" w:themeTint="F2"/>
          <w:sz w:val="24"/>
          <w:szCs w:val="24"/>
        </w:rPr>
        <w:t>The Regulation applies, in general, to ‘regular services’ (services provided at specified intervals along specified routes, where passengers are picked up and set down at predetermined stopping points) for non-specified categories of passengers, where</w:t>
      </w:r>
      <w:r>
        <w:rPr>
          <w:rFonts w:ascii="Times New Roman" w:eastAsia="Times New Roman" w:hAnsi="Times New Roman"/>
          <w:noProof/>
          <w:color w:val="0D0D0D" w:themeColor="text1" w:themeTint="F2"/>
          <w:sz w:val="24"/>
          <w:szCs w:val="24"/>
        </w:rPr>
        <w:t xml:space="preserve"> the boarding or alighting point of the passengers is situated in the territory of a Member State</w:t>
      </w:r>
      <w:r>
        <w:rPr>
          <w:rStyle w:val="FootnoteReference"/>
          <w:rFonts w:ascii="Times New Roman" w:eastAsia="Times New Roman" w:hAnsi="Times New Roman"/>
          <w:noProof/>
          <w:color w:val="0D0D0D" w:themeColor="text1" w:themeTint="F2"/>
          <w:sz w:val="24"/>
          <w:szCs w:val="24"/>
        </w:rPr>
        <w:footnoteReference w:id="11"/>
      </w:r>
      <w:r>
        <w:rPr>
          <w:rFonts w:ascii="Times New Roman" w:eastAsia="Times New Roman" w:hAnsi="Times New Roman"/>
          <w:noProof/>
          <w:color w:val="0D0D0D" w:themeColor="text1" w:themeTint="F2"/>
          <w:sz w:val="24"/>
          <w:szCs w:val="24"/>
        </w:rPr>
        <w:t>.</w:t>
      </w:r>
    </w:p>
    <w:p w:rsidR="00E03D72" w:rsidRDefault="00052157">
      <w:pPr>
        <w:spacing w:after="240" w:line="240" w:lineRule="auto"/>
        <w:jc w:val="both"/>
        <w:rPr>
          <w:rFonts w:ascii="Times New Roman" w:eastAsia="Times New Roman" w:hAnsi="Times New Roman"/>
          <w:i/>
          <w:noProof/>
          <w:color w:val="0D0D0D" w:themeColor="text1" w:themeTint="F2"/>
          <w:sz w:val="24"/>
          <w:szCs w:val="24"/>
        </w:rPr>
      </w:pPr>
      <w:r>
        <w:rPr>
          <w:rFonts w:ascii="Times New Roman" w:eastAsia="Times New Roman" w:hAnsi="Times New Roman"/>
          <w:i/>
          <w:noProof/>
          <w:color w:val="0D0D0D" w:themeColor="text1" w:themeTint="F2"/>
          <w:sz w:val="24"/>
          <w:szCs w:val="24"/>
        </w:rPr>
        <w:t>Content</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Passengers travelling on any type of regular service, irrespective of the scheduled distance of the service, benefit from the following core rights:</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lastRenderedPageBreak/>
        <w:t>1) non-discriminatory transport conditions (notably non-discriminatory tariffs);</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2) access to transport for people with disabilities or reduced mobility at no additional cost (carriers can only refuse to transport passengers with disabilities if carrying </w:t>
      </w:r>
      <w:r>
        <w:rPr>
          <w:rFonts w:ascii="Times New Roman" w:eastAsia="Times New Roman" w:hAnsi="Times New Roman"/>
          <w:noProof/>
          <w:sz w:val="24"/>
          <w:szCs w:val="24"/>
        </w:rPr>
        <w:t>them is physically impossible given the design of the vehicle, the bus stop or the terminal infrastructure, or if doing so would breach health and safety requirements);</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3) minimum rules on the travel information provided to all passengers before and during</w:t>
      </w:r>
      <w:r>
        <w:rPr>
          <w:rFonts w:ascii="Times New Roman" w:eastAsia="Times New Roman" w:hAnsi="Times New Roman"/>
          <w:noProof/>
          <w:sz w:val="24"/>
          <w:szCs w:val="24"/>
        </w:rPr>
        <w:t xml:space="preserve"> their journey including information on their rights;</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4) a complaint handling mechanism that carriers must make available to all passengers; and</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5) independent national enforcement bodies in each Member State, which have the mandate to enforce the Regulati</w:t>
      </w:r>
      <w:r>
        <w:rPr>
          <w:rFonts w:ascii="Times New Roman" w:eastAsia="Times New Roman" w:hAnsi="Times New Roman"/>
          <w:noProof/>
          <w:sz w:val="24"/>
          <w:szCs w:val="24"/>
        </w:rPr>
        <w:t>on and, where appropriate, to impose penalties.</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Passengers also benefit from the following additional rights when travelling on regular services where the scheduled distance of the service is 250 km or more:</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6) provision of tickets (electronic or paper) or</w:t>
      </w:r>
      <w:r>
        <w:rPr>
          <w:rFonts w:ascii="Times New Roman" w:eastAsia="Times New Roman" w:hAnsi="Times New Roman"/>
          <w:noProof/>
          <w:sz w:val="24"/>
          <w:szCs w:val="24"/>
        </w:rPr>
        <w:t xml:space="preserve"> any other documents giving entitlement to transport;</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7) compensation and assistance in the case of death, injury or loss or damage to luggage caused by an accident;</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8) information if the service is cancelled or delayed on departure;</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9) right to reimbursem</w:t>
      </w:r>
      <w:r>
        <w:rPr>
          <w:rFonts w:ascii="Times New Roman" w:eastAsia="Times New Roman" w:hAnsi="Times New Roman"/>
          <w:noProof/>
          <w:sz w:val="24"/>
          <w:szCs w:val="24"/>
        </w:rPr>
        <w:t>ent of the full ticket price or rerouting in the case of a cancellation or a long delay at departure;</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10) adequate assistance in the case of a cancellation or a long delay (only applicable when the scheduled duration of the journey is more than 3 hours);</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11) compensation amounting to 50 % of the ticket price if the carrier fails to offer the passenger the choice between reimbursement of the ticket price and rerouting when there has been a cancellation or long delay; and</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12) specific assistance at no additi</w:t>
      </w:r>
      <w:r>
        <w:rPr>
          <w:rFonts w:ascii="Times New Roman" w:eastAsia="Times New Roman" w:hAnsi="Times New Roman"/>
          <w:noProof/>
          <w:sz w:val="24"/>
          <w:szCs w:val="24"/>
        </w:rPr>
        <w:t>onal cost for people with disabilities or reduced mobility both at bus terminals and on board.</w:t>
      </w:r>
    </w:p>
    <w:p w:rsidR="00E03D72" w:rsidRDefault="00052157">
      <w:pPr>
        <w:spacing w:after="24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Exemptions from the scope of the Regulation</w:t>
      </w:r>
      <w:r>
        <w:rPr>
          <w:rStyle w:val="FootnoteReference"/>
          <w:rFonts w:ascii="Times New Roman" w:eastAsia="Times New Roman" w:hAnsi="Times New Roman"/>
          <w:i/>
          <w:noProof/>
          <w:sz w:val="24"/>
          <w:szCs w:val="24"/>
        </w:rPr>
        <w:footnoteReference w:id="12"/>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Member States may grant exemptions from the non-core rights to regular services that are purely domestic for a </w:t>
      </w:r>
      <w:r>
        <w:rPr>
          <w:rFonts w:ascii="Times New Roman" w:eastAsia="Times New Roman" w:hAnsi="Times New Roman"/>
          <w:noProof/>
          <w:sz w:val="24"/>
          <w:szCs w:val="24"/>
        </w:rPr>
        <w:t xml:space="preserve">period of up to four years (ending on 28 February 2017 at the latest), which may be renewed once. The basis for such exemptions must be transparent and non-discriminatory. A total of 12 Member States (Croatia, the Czech Republic, Estonia, Greece, Hungary, </w:t>
      </w:r>
      <w:r>
        <w:rPr>
          <w:rFonts w:ascii="Times New Roman" w:eastAsia="Times New Roman" w:hAnsi="Times New Roman"/>
          <w:noProof/>
          <w:sz w:val="24"/>
          <w:szCs w:val="24"/>
        </w:rPr>
        <w:t>Latvia, the Netherlands, Portugal, Romania, Slovakia, Slovenia and the United Kingdom) are currently applying exemptions of this type.</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lastRenderedPageBreak/>
        <w:t>Member States may also grant exemptions from the application of the entire Regulation to regular services where a signifi</w:t>
      </w:r>
      <w:r>
        <w:rPr>
          <w:rFonts w:ascii="Times New Roman" w:eastAsia="Times New Roman" w:hAnsi="Times New Roman"/>
          <w:noProof/>
          <w:sz w:val="24"/>
          <w:szCs w:val="24"/>
        </w:rPr>
        <w:t>cant part of the service (including at least one scheduled stop) is operated outside the EU. These exemptions which must also be awarded on a transparent and non-discriminatory basis, will expire by 28 February 2017 at the latest and may be renewed once. A</w:t>
      </w:r>
      <w:r>
        <w:rPr>
          <w:rFonts w:ascii="Times New Roman" w:eastAsia="Times New Roman" w:hAnsi="Times New Roman"/>
          <w:noProof/>
          <w:sz w:val="24"/>
          <w:szCs w:val="24"/>
        </w:rPr>
        <w:t xml:space="preserve"> total of 13 Member States (Austria, Croatia, Estonia, Finland, Germany, Greece, Hungary, Italy, Latvia, the Netherlands, Slovakia, Slovenia and the United Kingdom) are currently applying exemptions of this type.</w:t>
      </w:r>
    </w:p>
    <w:p w:rsidR="00E03D72" w:rsidRDefault="00052157">
      <w:pPr>
        <w:spacing w:after="24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 xml:space="preserve">Other EU legislation applicable to bus and </w:t>
      </w:r>
      <w:r>
        <w:rPr>
          <w:rFonts w:ascii="Times New Roman" w:eastAsia="Times New Roman" w:hAnsi="Times New Roman"/>
          <w:i/>
          <w:noProof/>
          <w:sz w:val="24"/>
          <w:szCs w:val="24"/>
        </w:rPr>
        <w:t>coach passengers</w:t>
      </w:r>
    </w:p>
    <w:p w:rsidR="00E03D72" w:rsidRDefault="00052157">
      <w:pPr>
        <w:spacing w:after="240" w:line="240" w:lineRule="auto"/>
        <w:jc w:val="both"/>
        <w:rPr>
          <w:rFonts w:ascii="Times New Roman" w:eastAsia="Times New Roman" w:hAnsi="Times New Roman"/>
          <w:noProof/>
          <w:color w:val="0D0D0D" w:themeColor="text1" w:themeTint="F2"/>
          <w:sz w:val="24"/>
          <w:szCs w:val="24"/>
        </w:rPr>
      </w:pPr>
      <w:r>
        <w:rPr>
          <w:rFonts w:ascii="Times New Roman" w:eastAsia="Times New Roman" w:hAnsi="Times New Roman"/>
          <w:noProof/>
          <w:color w:val="0D0D0D" w:themeColor="text1" w:themeTint="F2"/>
          <w:sz w:val="24"/>
          <w:szCs w:val="24"/>
        </w:rPr>
        <w:t>Passengers who travel by bus and coach as part of a package trip enjoy additional rights under Directive (EU) No 2015/2302</w:t>
      </w:r>
      <w:r>
        <w:rPr>
          <w:rStyle w:val="FootnoteReference"/>
          <w:rFonts w:ascii="Times New Roman" w:eastAsia="Times New Roman" w:hAnsi="Times New Roman"/>
          <w:noProof/>
          <w:color w:val="0D0D0D" w:themeColor="text1" w:themeTint="F2"/>
          <w:sz w:val="24"/>
          <w:szCs w:val="24"/>
        </w:rPr>
        <w:footnoteReference w:id="13"/>
      </w:r>
      <w:r>
        <w:rPr>
          <w:rFonts w:ascii="Times New Roman" w:eastAsia="Times New Roman" w:hAnsi="Times New Roman"/>
          <w:noProof/>
          <w:color w:val="0D0D0D" w:themeColor="text1" w:themeTint="F2"/>
          <w:sz w:val="24"/>
          <w:szCs w:val="24"/>
        </w:rPr>
        <w:t xml:space="preserve">. </w:t>
      </w:r>
    </w:p>
    <w:p w:rsidR="00E03D72" w:rsidRDefault="00052157">
      <w:pPr>
        <w:spacing w:after="240" w:line="240" w:lineRule="auto"/>
        <w:jc w:val="both"/>
        <w:rPr>
          <w:rFonts w:ascii="Times New Roman" w:eastAsia="Times New Roman" w:hAnsi="Times New Roman"/>
          <w:noProof/>
          <w:color w:val="0D0D0D" w:themeColor="text1" w:themeTint="F2"/>
          <w:sz w:val="24"/>
          <w:szCs w:val="24"/>
        </w:rPr>
      </w:pPr>
      <w:r>
        <w:rPr>
          <w:rFonts w:ascii="Times New Roman" w:eastAsia="Times New Roman" w:hAnsi="Times New Roman"/>
          <w:noProof/>
          <w:color w:val="0D0D0D" w:themeColor="text1" w:themeTint="F2"/>
          <w:sz w:val="24"/>
          <w:szCs w:val="24"/>
        </w:rPr>
        <w:t>Regulation (EC) No 661/2009</w:t>
      </w:r>
      <w:r>
        <w:rPr>
          <w:rStyle w:val="FootnoteReference"/>
          <w:rFonts w:ascii="Times New Roman" w:eastAsia="Times New Roman" w:hAnsi="Times New Roman"/>
          <w:noProof/>
          <w:color w:val="0D0D0D" w:themeColor="text1" w:themeTint="F2"/>
          <w:sz w:val="24"/>
          <w:szCs w:val="24"/>
        </w:rPr>
        <w:footnoteReference w:id="14"/>
      </w:r>
      <w:r>
        <w:rPr>
          <w:rFonts w:ascii="Times New Roman" w:eastAsia="Times New Roman" w:hAnsi="Times New Roman"/>
          <w:noProof/>
          <w:color w:val="0D0D0D" w:themeColor="text1" w:themeTint="F2"/>
          <w:sz w:val="24"/>
          <w:szCs w:val="24"/>
        </w:rPr>
        <w:t xml:space="preserve"> stipulates the accessibility requirements that all new buses and coaches shall fulfi</w:t>
      </w:r>
      <w:r>
        <w:rPr>
          <w:rFonts w:ascii="Times New Roman" w:eastAsia="Times New Roman" w:hAnsi="Times New Roman"/>
          <w:noProof/>
          <w:color w:val="0D0D0D" w:themeColor="text1" w:themeTint="F2"/>
          <w:sz w:val="24"/>
          <w:szCs w:val="24"/>
        </w:rPr>
        <w:t>l in order to authorize their sale, registration or putting into service within the EU.</w:t>
      </w:r>
    </w:p>
    <w:p w:rsidR="00E03D72" w:rsidRDefault="00052157">
      <w:pPr>
        <w:spacing w:after="240" w:line="240" w:lineRule="auto"/>
        <w:jc w:val="both"/>
        <w:rPr>
          <w:rFonts w:ascii="Times New Roman" w:eastAsia="Times New Roman" w:hAnsi="Times New Roman"/>
          <w:noProof/>
          <w:color w:val="0D0D0D" w:themeColor="text1" w:themeTint="F2"/>
          <w:sz w:val="24"/>
          <w:szCs w:val="24"/>
        </w:rPr>
      </w:pPr>
      <w:r>
        <w:rPr>
          <w:rFonts w:ascii="Times New Roman" w:eastAsia="Times New Roman" w:hAnsi="Times New Roman"/>
          <w:noProof/>
          <w:color w:val="0D0D0D" w:themeColor="text1" w:themeTint="F2"/>
          <w:sz w:val="24"/>
          <w:szCs w:val="24"/>
        </w:rPr>
        <w:t>A significant part of coach transport occurs in an intra-community context: passengers are either travelling on cross-border services, or on domestic services outside t</w:t>
      </w:r>
      <w:r>
        <w:rPr>
          <w:rFonts w:ascii="Times New Roman" w:eastAsia="Times New Roman" w:hAnsi="Times New Roman"/>
          <w:noProof/>
          <w:color w:val="0D0D0D" w:themeColor="text1" w:themeTint="F2"/>
          <w:sz w:val="24"/>
          <w:szCs w:val="24"/>
        </w:rPr>
        <w:t>heir own Member State. In order to protect the interests of such passengers, Regulation (EC) No 2006/2004</w:t>
      </w:r>
      <w:r>
        <w:rPr>
          <w:rStyle w:val="FootnoteReference"/>
          <w:rFonts w:ascii="Times New Roman" w:eastAsia="Times New Roman" w:hAnsi="Times New Roman"/>
          <w:noProof/>
          <w:color w:val="0D0D0D" w:themeColor="text1" w:themeTint="F2"/>
          <w:sz w:val="24"/>
          <w:szCs w:val="24"/>
        </w:rPr>
        <w:footnoteReference w:id="15"/>
      </w:r>
      <w:r>
        <w:rPr>
          <w:rFonts w:ascii="Times New Roman" w:eastAsia="Times New Roman" w:hAnsi="Times New Roman"/>
          <w:noProof/>
          <w:color w:val="0D0D0D" w:themeColor="text1" w:themeTint="F2"/>
          <w:sz w:val="24"/>
          <w:szCs w:val="24"/>
        </w:rPr>
        <w:t xml:space="preserve"> provides an appropriate framework within which national enforcement bodies can cooperate with each other and defend the collective interest of consum</w:t>
      </w:r>
      <w:r>
        <w:rPr>
          <w:rFonts w:ascii="Times New Roman" w:eastAsia="Times New Roman" w:hAnsi="Times New Roman"/>
          <w:noProof/>
          <w:color w:val="0D0D0D" w:themeColor="text1" w:themeTint="F2"/>
          <w:sz w:val="24"/>
          <w:szCs w:val="24"/>
        </w:rPr>
        <w:t>ers in a cross-border context.</w:t>
      </w:r>
    </w:p>
    <w:p w:rsidR="00E03D72" w:rsidRDefault="00052157">
      <w:pPr>
        <w:keepNext/>
        <w:spacing w:after="240" w:line="240" w:lineRule="auto"/>
        <w:ind w:left="567" w:hanging="567"/>
        <w:jc w:val="both"/>
        <w:outlineLvl w:val="1"/>
        <w:rPr>
          <w:rFonts w:ascii="Times New Roman" w:eastAsia="Times New Roman" w:hAnsi="Times New Roman"/>
          <w:b/>
          <w:smallCaps/>
          <w:noProof/>
          <w:sz w:val="24"/>
          <w:szCs w:val="24"/>
        </w:rPr>
      </w:pPr>
      <w:r>
        <w:rPr>
          <w:rFonts w:ascii="Times New Roman" w:eastAsia="Times New Roman" w:hAnsi="Times New Roman"/>
          <w:b/>
          <w:smallCaps/>
          <w:noProof/>
          <w:sz w:val="24"/>
          <w:szCs w:val="24"/>
        </w:rPr>
        <w:t>3.</w:t>
      </w:r>
      <w:r>
        <w:rPr>
          <w:rFonts w:ascii="Times New Roman" w:eastAsia="Times New Roman" w:hAnsi="Times New Roman"/>
          <w:b/>
          <w:smallCaps/>
          <w:noProof/>
          <w:sz w:val="24"/>
          <w:szCs w:val="24"/>
        </w:rPr>
        <w:tab/>
        <w:t>Member States’ application of the Regulation</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Regulation requires Member States to designate national enforcement bodies (NEBs), which are responsible for enforcing the Regulation and laying down effective, proportionat</w:t>
      </w:r>
      <w:r>
        <w:rPr>
          <w:rFonts w:ascii="Times New Roman" w:eastAsia="Times New Roman" w:hAnsi="Times New Roman"/>
          <w:noProof/>
          <w:sz w:val="24"/>
          <w:szCs w:val="24"/>
        </w:rPr>
        <w:t>e and dissuasive penalties in their national law, in order to sanction operators that breach the Regulation. Member States are also required to designate bus and coach terminals where passengers with disabilities or reduced mobility may receive appropriate</w:t>
      </w:r>
      <w:r>
        <w:rPr>
          <w:rFonts w:ascii="Times New Roman" w:eastAsia="Times New Roman" w:hAnsi="Times New Roman"/>
          <w:noProof/>
          <w:sz w:val="24"/>
          <w:szCs w:val="24"/>
        </w:rPr>
        <w:t xml:space="preserve"> assistance.</w:t>
      </w:r>
    </w:p>
    <w:p w:rsidR="00E03D72" w:rsidRDefault="00052157">
      <w:pPr>
        <w:spacing w:after="240" w:line="240" w:lineRule="auto"/>
        <w:jc w:val="both"/>
        <w:rPr>
          <w:rFonts w:ascii="Times New Roman" w:eastAsia="Times New Roman" w:hAnsi="Times New Roman"/>
          <w:b/>
          <w:i/>
          <w:noProof/>
          <w:sz w:val="24"/>
          <w:szCs w:val="24"/>
        </w:rPr>
      </w:pPr>
      <w:r>
        <w:rPr>
          <w:rFonts w:ascii="Times New Roman" w:eastAsia="Times New Roman" w:hAnsi="Times New Roman"/>
          <w:b/>
          <w:i/>
          <w:noProof/>
          <w:sz w:val="24"/>
          <w:szCs w:val="24"/>
        </w:rPr>
        <w:t>The designation of NEBs</w:t>
      </w:r>
      <w:r>
        <w:rPr>
          <w:rStyle w:val="FootnoteReference"/>
          <w:rFonts w:ascii="Times New Roman" w:eastAsia="Times New Roman" w:hAnsi="Times New Roman"/>
          <w:b/>
          <w:i/>
          <w:noProof/>
          <w:sz w:val="24"/>
          <w:szCs w:val="24"/>
        </w:rPr>
        <w:footnoteReference w:id="16"/>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Most Member States have designated NEBs that were previously responsible for passenger rights in other transport modes. The NEBs are either transport authorities or consumer protection authorities. Some Member States </w:t>
      </w:r>
      <w:r>
        <w:rPr>
          <w:rFonts w:ascii="Times New Roman" w:eastAsia="Times New Roman" w:hAnsi="Times New Roman"/>
          <w:noProof/>
          <w:sz w:val="24"/>
          <w:szCs w:val="24"/>
        </w:rPr>
        <w:t xml:space="preserve">designated several NEBs: a consumer protection authority is often responsible for handling complaints while a transport authority carries out </w:t>
      </w:r>
      <w:r>
        <w:rPr>
          <w:rFonts w:ascii="Times New Roman" w:eastAsia="Times New Roman" w:hAnsi="Times New Roman"/>
          <w:noProof/>
          <w:sz w:val="24"/>
          <w:szCs w:val="24"/>
        </w:rPr>
        <w:lastRenderedPageBreak/>
        <w:t>inspections, imposes sanctions and monitors the accessibility of vehicles and terminals for passengers with disabi</w:t>
      </w:r>
      <w:r>
        <w:rPr>
          <w:rFonts w:ascii="Times New Roman" w:eastAsia="Times New Roman" w:hAnsi="Times New Roman"/>
          <w:noProof/>
          <w:sz w:val="24"/>
          <w:szCs w:val="24"/>
        </w:rPr>
        <w:t>lities. Most Member States designated NEBs at national level only, but there are a small number of Member States where regional authorities also play an important role in enforcing the Regulation.</w:t>
      </w:r>
    </w:p>
    <w:p w:rsidR="00E03D72" w:rsidRDefault="00052157">
      <w:pPr>
        <w:spacing w:after="240" w:line="240" w:lineRule="auto"/>
        <w:jc w:val="both"/>
        <w:rPr>
          <w:rFonts w:ascii="Times New Roman" w:eastAsia="Times New Roman" w:hAnsi="Times New Roman"/>
          <w:b/>
          <w:i/>
          <w:noProof/>
          <w:sz w:val="24"/>
          <w:szCs w:val="24"/>
        </w:rPr>
      </w:pPr>
      <w:r>
        <w:rPr>
          <w:rFonts w:ascii="Times New Roman" w:eastAsia="Times New Roman" w:hAnsi="Times New Roman"/>
          <w:b/>
          <w:i/>
          <w:noProof/>
          <w:sz w:val="24"/>
          <w:szCs w:val="24"/>
        </w:rPr>
        <w:t>Complaint handling</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Passengers may submit complaints about a</w:t>
      </w:r>
      <w:r>
        <w:rPr>
          <w:rFonts w:ascii="Times New Roman" w:eastAsia="Times New Roman" w:hAnsi="Times New Roman"/>
          <w:noProof/>
          <w:sz w:val="24"/>
          <w:szCs w:val="24"/>
        </w:rPr>
        <w:t>lleged infringements of the Regulation to the carrier (the Regulation obliges them to have in place a complaint handling mechanism) or to the NEB.</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Regulation does not stipulate a chronological order in which complaints must be lodged, but it does allow</w:t>
      </w:r>
      <w:r>
        <w:rPr>
          <w:rFonts w:ascii="Times New Roman" w:eastAsia="Times New Roman" w:hAnsi="Times New Roman"/>
          <w:noProof/>
          <w:sz w:val="24"/>
          <w:szCs w:val="24"/>
        </w:rPr>
        <w:t xml:space="preserve"> Member States to require that passengers submit their complaint to the carrier first, with the NEB only acting as an appeal body if the passenger is not satisfied with the answer. In total, 20 Member States have chosen this option. It has the advantage th</w:t>
      </w:r>
      <w:r>
        <w:rPr>
          <w:rFonts w:ascii="Times New Roman" w:eastAsia="Times New Roman" w:hAnsi="Times New Roman"/>
          <w:noProof/>
          <w:sz w:val="24"/>
          <w:szCs w:val="24"/>
        </w:rPr>
        <w:t>at NEBs can process complaints more efficiently and rapidly, as they will have access to the correspondence between the complainant and the carrier from the outset, and will thus have a more comprehensive overview of the case from both parties’ points of v</w:t>
      </w:r>
      <w:r>
        <w:rPr>
          <w:rFonts w:ascii="Times New Roman" w:eastAsia="Times New Roman" w:hAnsi="Times New Roman"/>
          <w:noProof/>
          <w:sz w:val="24"/>
          <w:szCs w:val="24"/>
        </w:rPr>
        <w:t>iew.</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There are no publicly available figures on the number of complaints submitted by passengers to carriers between 2013 and 2015. Although such data would be useful for assessing the operation of the Regulation, carriers are not obliged to collect data o</w:t>
      </w:r>
      <w:r>
        <w:rPr>
          <w:rFonts w:ascii="Times New Roman" w:eastAsia="Times New Roman" w:hAnsi="Times New Roman"/>
          <w:noProof/>
          <w:sz w:val="24"/>
          <w:szCs w:val="24"/>
        </w:rPr>
        <w:t>n complaints or to report to the NEBs.</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It is, however, known that the NEBs have handled very few complaints (see table below). There are various reasons for this: i) the Regulation is relatively recent and many passengers may not be fully aware of their ri</w:t>
      </w:r>
      <w:r>
        <w:rPr>
          <w:rFonts w:ascii="Times New Roman" w:eastAsia="Times New Roman" w:hAnsi="Times New Roman"/>
          <w:noProof/>
          <w:sz w:val="24"/>
          <w:szCs w:val="24"/>
        </w:rPr>
        <w:t>ghts; ii) in most Member States, passengers must first submit their complaints to the carrier, and these companies appear to settle most complaints satisfactorily, meaning that complaints do not reach the NEBs; and iii) in some Member States, only tribunal</w:t>
      </w:r>
      <w:r>
        <w:rPr>
          <w:rFonts w:ascii="Times New Roman" w:eastAsia="Times New Roman" w:hAnsi="Times New Roman"/>
          <w:noProof/>
          <w:sz w:val="24"/>
          <w:szCs w:val="24"/>
        </w:rPr>
        <w:t>s can impose a binding decision on operators, and the slow and costly litigation process discourages passengers from defending their rights.</w:t>
      </w:r>
    </w:p>
    <w:p w:rsidR="00E03D72" w:rsidRDefault="00052157">
      <w:pPr>
        <w:spacing w:after="240" w:line="240" w:lineRule="auto"/>
        <w:jc w:val="both"/>
        <w:rPr>
          <w:rFonts w:ascii="Times New Roman" w:eastAsia="Times New Roman" w:hAnsi="Times New Roman"/>
          <w:b/>
          <w:i/>
          <w:noProof/>
          <w:sz w:val="24"/>
          <w:szCs w:val="24"/>
        </w:rPr>
      </w:pPr>
      <w:r>
        <w:rPr>
          <w:rFonts w:ascii="Times New Roman" w:eastAsia="Times New Roman" w:hAnsi="Times New Roman"/>
          <w:b/>
          <w:i/>
          <w:noProof/>
          <w:sz w:val="24"/>
          <w:szCs w:val="24"/>
        </w:rPr>
        <w:t>Sanctions</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Most Member States’ national legislation provide for a penalty system based solely on fines, but some NEB</w:t>
      </w:r>
      <w:r>
        <w:rPr>
          <w:rFonts w:ascii="Times New Roman" w:eastAsia="Times New Roman" w:hAnsi="Times New Roman"/>
          <w:noProof/>
          <w:sz w:val="24"/>
          <w:szCs w:val="24"/>
        </w:rPr>
        <w:t>s can also withdraw an operator’s licence if it deliberately and systematically breaches the Regulation.</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NEBs have imposed very few sanctions in the first two years since the Regulation became applicable (see table below). Most have found that operators ar</w:t>
      </w:r>
      <w:r>
        <w:rPr>
          <w:rFonts w:ascii="Times New Roman" w:eastAsia="Times New Roman" w:hAnsi="Times New Roman"/>
          <w:noProof/>
          <w:sz w:val="24"/>
          <w:szCs w:val="24"/>
        </w:rPr>
        <w:t>e keen to comply and resolve complaints before it becomes necessary to impose a sanction.</w:t>
      </w:r>
    </w:p>
    <w:p w:rsidR="007B3301" w:rsidRDefault="007B3301">
      <w:pPr>
        <w:spacing w:after="0" w:line="240" w:lineRule="auto"/>
        <w:rPr>
          <w:rFonts w:ascii="Times New Roman" w:hAnsi="Times New Roman"/>
          <w:b/>
          <w:noProof/>
          <w:sz w:val="24"/>
          <w:szCs w:val="24"/>
        </w:rPr>
      </w:pPr>
      <w:r>
        <w:rPr>
          <w:rFonts w:ascii="Times New Roman" w:hAnsi="Times New Roman"/>
          <w:b/>
          <w:noProof/>
          <w:sz w:val="24"/>
          <w:szCs w:val="24"/>
        </w:rPr>
        <w:br w:type="page"/>
      </w:r>
    </w:p>
    <w:p w:rsidR="00E03D72" w:rsidRDefault="00052157">
      <w:pPr>
        <w:spacing w:after="240"/>
        <w:jc w:val="center"/>
        <w:rPr>
          <w:rFonts w:ascii="Times New Roman" w:hAnsi="Times New Roman"/>
          <w:b/>
          <w:noProof/>
          <w:sz w:val="24"/>
          <w:szCs w:val="24"/>
        </w:rPr>
      </w:pPr>
      <w:r>
        <w:rPr>
          <w:rFonts w:ascii="Times New Roman" w:hAnsi="Times New Roman"/>
          <w:b/>
          <w:noProof/>
          <w:sz w:val="24"/>
          <w:szCs w:val="24"/>
        </w:rPr>
        <w:lastRenderedPageBreak/>
        <w:t>Table — Number of complaints handled and sanctions imposed by NEBs</w:t>
      </w:r>
      <w:r>
        <w:rPr>
          <w:rStyle w:val="FootnoteReference"/>
          <w:noProof/>
        </w:rPr>
        <w:footnoteReference w:id="17"/>
      </w:r>
    </w:p>
    <w:tbl>
      <w:tblPr>
        <w:tblStyle w:val="TableGrid"/>
        <w:tblW w:w="8789" w:type="dxa"/>
        <w:tblInd w:w="-34" w:type="dxa"/>
        <w:tblLayout w:type="fixed"/>
        <w:tblLook w:val="04A0" w:firstRow="1" w:lastRow="0" w:firstColumn="1" w:lastColumn="0" w:noHBand="0" w:noVBand="1"/>
      </w:tblPr>
      <w:tblGrid>
        <w:gridCol w:w="1985"/>
        <w:gridCol w:w="3544"/>
        <w:gridCol w:w="3260"/>
      </w:tblGrid>
      <w:tr w:rsidR="00E03D72">
        <w:trPr>
          <w:trHeight w:val="441"/>
        </w:trPr>
        <w:tc>
          <w:tcPr>
            <w:tcW w:w="1985" w:type="dxa"/>
          </w:tcPr>
          <w:p w:rsidR="00E03D72" w:rsidRDefault="00052157">
            <w:pPr>
              <w:spacing w:after="0"/>
              <w:jc w:val="center"/>
              <w:rPr>
                <w:rFonts w:ascii="Times New Roman" w:hAnsi="Times New Roman"/>
                <w:b/>
                <w:noProof/>
                <w:sz w:val="24"/>
                <w:szCs w:val="24"/>
              </w:rPr>
            </w:pPr>
            <w:r>
              <w:rPr>
                <w:rFonts w:ascii="Times New Roman" w:hAnsi="Times New Roman"/>
                <w:b/>
                <w:noProof/>
                <w:sz w:val="24"/>
                <w:szCs w:val="24"/>
              </w:rPr>
              <w:t>Member State</w:t>
            </w:r>
          </w:p>
        </w:tc>
        <w:tc>
          <w:tcPr>
            <w:tcW w:w="3544" w:type="dxa"/>
          </w:tcPr>
          <w:p w:rsidR="00E03D72" w:rsidRDefault="00052157">
            <w:pPr>
              <w:spacing w:after="0"/>
              <w:jc w:val="center"/>
              <w:rPr>
                <w:rFonts w:ascii="Times New Roman" w:hAnsi="Times New Roman"/>
                <w:b/>
                <w:noProof/>
                <w:sz w:val="24"/>
                <w:szCs w:val="24"/>
              </w:rPr>
            </w:pPr>
            <w:r>
              <w:rPr>
                <w:rFonts w:ascii="Times New Roman" w:hAnsi="Times New Roman"/>
                <w:b/>
                <w:noProof/>
                <w:sz w:val="24"/>
                <w:szCs w:val="24"/>
              </w:rPr>
              <w:t>Number of complaints handled</w:t>
            </w:r>
          </w:p>
        </w:tc>
        <w:tc>
          <w:tcPr>
            <w:tcW w:w="3260" w:type="dxa"/>
          </w:tcPr>
          <w:p w:rsidR="00E03D72" w:rsidRDefault="00052157">
            <w:pPr>
              <w:spacing w:after="0"/>
              <w:jc w:val="center"/>
              <w:rPr>
                <w:rFonts w:ascii="Times New Roman" w:hAnsi="Times New Roman"/>
                <w:b/>
                <w:noProof/>
                <w:sz w:val="24"/>
                <w:szCs w:val="24"/>
              </w:rPr>
            </w:pPr>
            <w:r>
              <w:rPr>
                <w:rFonts w:ascii="Times New Roman" w:hAnsi="Times New Roman"/>
                <w:b/>
                <w:noProof/>
                <w:sz w:val="24"/>
                <w:szCs w:val="24"/>
              </w:rPr>
              <w:t>Number of sanctions imposed</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Austria</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N/A</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N/A</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Belgium</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1</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Bulgaria</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9</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Croatia</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Cyprus</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Czech Republic</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132</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9</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Denmark</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Estonia</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Finland</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12</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France</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21</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Germany</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192</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Greece</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N/A</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N/A</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Hungary</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24</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16</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Ireland</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4</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Italy</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N/A</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N/A</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Latvia</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Lithuania</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Luxembourg</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N/A</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N/A</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Malta</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Netherlands</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N/A</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N/A</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Poland</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N/A</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N/A</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Portugal</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N/A</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N/A</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Romania</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Slovakia</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Slovenia</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Spain</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1194</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54</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Sweden</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2</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r>
      <w:tr w:rsidR="00E03D72">
        <w:tc>
          <w:tcPr>
            <w:tcW w:w="1985" w:type="dxa"/>
          </w:tcPr>
          <w:p w:rsidR="00E03D72" w:rsidRDefault="00052157">
            <w:pPr>
              <w:spacing w:after="0"/>
              <w:jc w:val="both"/>
              <w:rPr>
                <w:rFonts w:ascii="Times New Roman" w:hAnsi="Times New Roman"/>
                <w:noProof/>
                <w:sz w:val="24"/>
                <w:szCs w:val="24"/>
              </w:rPr>
            </w:pPr>
            <w:r>
              <w:rPr>
                <w:rFonts w:ascii="Times New Roman" w:hAnsi="Times New Roman"/>
                <w:noProof/>
                <w:sz w:val="24"/>
                <w:szCs w:val="24"/>
              </w:rPr>
              <w:t>United Kingdom</w:t>
            </w:r>
          </w:p>
        </w:tc>
        <w:tc>
          <w:tcPr>
            <w:tcW w:w="3544"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4</w:t>
            </w:r>
          </w:p>
        </w:tc>
        <w:tc>
          <w:tcPr>
            <w:tcW w:w="3260" w:type="dxa"/>
          </w:tcPr>
          <w:p w:rsidR="00E03D72" w:rsidRDefault="00052157">
            <w:pPr>
              <w:spacing w:after="0"/>
              <w:jc w:val="center"/>
              <w:rPr>
                <w:rFonts w:ascii="Times New Roman" w:hAnsi="Times New Roman"/>
                <w:noProof/>
                <w:sz w:val="24"/>
                <w:szCs w:val="24"/>
              </w:rPr>
            </w:pPr>
            <w:r>
              <w:rPr>
                <w:rFonts w:ascii="Times New Roman" w:hAnsi="Times New Roman"/>
                <w:noProof/>
                <w:sz w:val="24"/>
                <w:szCs w:val="24"/>
              </w:rPr>
              <w:t>0</w:t>
            </w:r>
          </w:p>
        </w:tc>
      </w:tr>
    </w:tbl>
    <w:p w:rsidR="00E03D72" w:rsidRDefault="00E03D72">
      <w:pPr>
        <w:spacing w:after="240" w:line="240" w:lineRule="auto"/>
        <w:jc w:val="both"/>
        <w:rPr>
          <w:rFonts w:ascii="Times New Roman" w:eastAsia="Times New Roman" w:hAnsi="Times New Roman"/>
          <w:b/>
          <w:i/>
          <w:noProof/>
          <w:sz w:val="24"/>
          <w:szCs w:val="24"/>
        </w:rPr>
      </w:pPr>
    </w:p>
    <w:p w:rsidR="007B3301" w:rsidRDefault="007B3301">
      <w:pPr>
        <w:spacing w:after="0" w:line="240" w:lineRule="auto"/>
        <w:rPr>
          <w:rFonts w:ascii="Times New Roman" w:eastAsia="Times New Roman" w:hAnsi="Times New Roman"/>
          <w:b/>
          <w:i/>
          <w:noProof/>
          <w:sz w:val="24"/>
          <w:szCs w:val="24"/>
        </w:rPr>
      </w:pPr>
      <w:r>
        <w:rPr>
          <w:rFonts w:ascii="Times New Roman" w:eastAsia="Times New Roman" w:hAnsi="Times New Roman"/>
          <w:b/>
          <w:i/>
          <w:noProof/>
          <w:sz w:val="24"/>
          <w:szCs w:val="24"/>
        </w:rPr>
        <w:br w:type="page"/>
      </w:r>
    </w:p>
    <w:p w:rsidR="00E03D72" w:rsidRDefault="00052157">
      <w:pPr>
        <w:spacing w:after="240" w:line="240" w:lineRule="auto"/>
        <w:jc w:val="both"/>
        <w:rPr>
          <w:rFonts w:ascii="Times New Roman" w:eastAsia="Times New Roman" w:hAnsi="Times New Roman"/>
          <w:b/>
          <w:i/>
          <w:noProof/>
          <w:sz w:val="24"/>
          <w:szCs w:val="24"/>
        </w:rPr>
      </w:pPr>
      <w:bookmarkStart w:id="1" w:name="_GoBack"/>
      <w:bookmarkEnd w:id="1"/>
      <w:r>
        <w:rPr>
          <w:rFonts w:ascii="Times New Roman" w:eastAsia="Times New Roman" w:hAnsi="Times New Roman"/>
          <w:b/>
          <w:i/>
          <w:noProof/>
          <w:sz w:val="24"/>
          <w:szCs w:val="24"/>
        </w:rPr>
        <w:lastRenderedPageBreak/>
        <w:t>Other enforcement and communication activities</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Handling complaints and penalising non</w:t>
      </w:r>
      <w:r>
        <w:rPr>
          <w:rFonts w:ascii="Times New Roman" w:eastAsia="Times New Roman" w:hAnsi="Times New Roman"/>
          <w:noProof/>
          <w:sz w:val="24"/>
          <w:szCs w:val="24"/>
        </w:rPr>
        <w:noBreakHyphen/>
        <w:t>compliance are just two of</w:t>
      </w:r>
      <w:r>
        <w:rPr>
          <w:rFonts w:ascii="Times New Roman" w:eastAsia="Times New Roman" w:hAnsi="Times New Roman"/>
          <w:noProof/>
          <w:sz w:val="24"/>
          <w:szCs w:val="24"/>
        </w:rPr>
        <w:t xml:space="preserve"> the examples given in the Regulation of the possible measures that can be used to enforce bus and coach passenger rights. Many NEBs have been proactive and have taken additional action</w:t>
      </w:r>
      <w:r>
        <w:rPr>
          <w:rStyle w:val="FootnoteReference"/>
          <w:rFonts w:ascii="Times New Roman" w:eastAsia="Times New Roman" w:hAnsi="Times New Roman"/>
          <w:noProof/>
          <w:sz w:val="24"/>
          <w:szCs w:val="24"/>
        </w:rPr>
        <w:footnoteReference w:id="18"/>
      </w:r>
      <w:r>
        <w:rPr>
          <w:rFonts w:ascii="Times New Roman" w:eastAsia="Times New Roman" w:hAnsi="Times New Roman"/>
          <w:noProof/>
          <w:sz w:val="24"/>
          <w:szCs w:val="24"/>
        </w:rPr>
        <w:t>.</w:t>
      </w:r>
    </w:p>
    <w:p w:rsidR="00E03D72" w:rsidRDefault="00052157">
      <w:pPr>
        <w:spacing w:after="240" w:line="240" w:lineRule="auto"/>
        <w:jc w:val="both"/>
        <w:rPr>
          <w:rFonts w:ascii="Times New Roman" w:eastAsia="Times New Roman" w:hAnsi="Times New Roman"/>
          <w:b/>
          <w:i/>
          <w:noProof/>
          <w:sz w:val="24"/>
          <w:szCs w:val="24"/>
        </w:rPr>
      </w:pPr>
      <w:r>
        <w:rPr>
          <w:rFonts w:ascii="Times New Roman" w:eastAsia="Times New Roman" w:hAnsi="Times New Roman"/>
          <w:b/>
          <w:i/>
          <w:noProof/>
          <w:sz w:val="24"/>
          <w:szCs w:val="24"/>
        </w:rPr>
        <w:t>Designation of bus and coach terminals where passengers with disabil</w:t>
      </w:r>
      <w:r>
        <w:rPr>
          <w:rFonts w:ascii="Times New Roman" w:eastAsia="Times New Roman" w:hAnsi="Times New Roman"/>
          <w:b/>
          <w:i/>
          <w:noProof/>
          <w:sz w:val="24"/>
          <w:szCs w:val="24"/>
        </w:rPr>
        <w:t>ities and passengers with reduced mobility can receive assistance</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Regulation requires Member States to designate staffed and equipped bus and coach terminals which will provide appropriate assistance to passengers with disabilities or with reduced mobi</w:t>
      </w:r>
      <w:r>
        <w:rPr>
          <w:rFonts w:ascii="Times New Roman" w:eastAsia="Times New Roman" w:hAnsi="Times New Roman"/>
          <w:noProof/>
          <w:sz w:val="24"/>
          <w:szCs w:val="24"/>
        </w:rPr>
        <w:t>lity. Providing assistance at bus and coach terminals is of paramount importance, as</w:t>
      </w:r>
      <w:r>
        <w:rPr>
          <w:noProof/>
        </w:rPr>
        <w:t xml:space="preserve"> </w:t>
      </w:r>
      <w:r>
        <w:rPr>
          <w:rFonts w:ascii="Times New Roman" w:eastAsia="Times New Roman" w:hAnsi="Times New Roman"/>
          <w:noProof/>
          <w:sz w:val="24"/>
          <w:szCs w:val="24"/>
        </w:rPr>
        <w:t>passengers with disabilities or reduced mobility most often need help when boarding or alighting from buses and coaches, and this requirement can, in the majority of cases</w:t>
      </w:r>
      <w:r>
        <w:rPr>
          <w:rFonts w:ascii="Times New Roman" w:eastAsia="Times New Roman" w:hAnsi="Times New Roman"/>
          <w:noProof/>
          <w:sz w:val="24"/>
          <w:szCs w:val="24"/>
        </w:rPr>
        <w:t xml:space="preserve">, be most easily met at terminals with a high volume of passenger traffic. </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approach taken by Member States varies: some of the larger and more highly populated Member States have designated only one or a very small number of terminals, which does not </w:t>
      </w:r>
      <w:r>
        <w:rPr>
          <w:rFonts w:ascii="Times New Roman" w:eastAsia="Times New Roman" w:hAnsi="Times New Roman"/>
          <w:noProof/>
          <w:sz w:val="24"/>
          <w:szCs w:val="24"/>
        </w:rPr>
        <w:t>correspond to either the size of the country or the volume of passengers carried by buses and coaches</w:t>
      </w:r>
      <w:r>
        <w:rPr>
          <w:rStyle w:val="FootnoteReference"/>
          <w:rFonts w:ascii="Times New Roman" w:eastAsia="Times New Roman" w:hAnsi="Times New Roman"/>
          <w:noProof/>
          <w:sz w:val="24"/>
          <w:szCs w:val="24"/>
        </w:rPr>
        <w:footnoteReference w:id="19"/>
      </w:r>
      <w:r>
        <w:rPr>
          <w:rFonts w:ascii="Times New Roman" w:eastAsia="Times New Roman" w:hAnsi="Times New Roman"/>
          <w:noProof/>
          <w:sz w:val="24"/>
          <w:szCs w:val="24"/>
        </w:rPr>
        <w:t xml:space="preserve">.. </w:t>
      </w:r>
    </w:p>
    <w:p w:rsidR="00E03D72" w:rsidRDefault="00052157">
      <w:pPr>
        <w:spacing w:after="240" w:line="240" w:lineRule="auto"/>
        <w:jc w:val="both"/>
        <w:rPr>
          <w:rFonts w:ascii="Times New Roman" w:eastAsia="Times New Roman" w:hAnsi="Times New Roman"/>
          <w:b/>
          <w:i/>
          <w:noProof/>
          <w:sz w:val="24"/>
          <w:szCs w:val="24"/>
        </w:rPr>
      </w:pPr>
      <w:r>
        <w:rPr>
          <w:rFonts w:ascii="Times New Roman" w:eastAsia="Times New Roman" w:hAnsi="Times New Roman"/>
          <w:noProof/>
          <w:sz w:val="24"/>
          <w:szCs w:val="24"/>
        </w:rPr>
        <w:t>A number of other Member States also initially designated unstaffed bus stops without proper facilities, which clearly did not satisfy the requirement</w:t>
      </w:r>
      <w:r>
        <w:rPr>
          <w:rFonts w:ascii="Times New Roman" w:eastAsia="Times New Roman" w:hAnsi="Times New Roman"/>
          <w:noProof/>
          <w:sz w:val="24"/>
          <w:szCs w:val="24"/>
        </w:rPr>
        <w:t>s of the Regulation</w:t>
      </w:r>
      <w:r>
        <w:rPr>
          <w:rStyle w:val="FootnoteReference"/>
          <w:rFonts w:ascii="Times New Roman" w:eastAsia="Times New Roman" w:hAnsi="Times New Roman"/>
          <w:noProof/>
          <w:sz w:val="24"/>
          <w:szCs w:val="24"/>
        </w:rPr>
        <w:footnoteReference w:id="20"/>
      </w:r>
      <w:r>
        <w:rPr>
          <w:rFonts w:ascii="Times New Roman" w:eastAsia="Times New Roman" w:hAnsi="Times New Roman"/>
          <w:noProof/>
          <w:sz w:val="24"/>
          <w:szCs w:val="24"/>
        </w:rPr>
        <w:t>. They withdrew these designations following the Commission’s intervention</w:t>
      </w:r>
      <w:r>
        <w:rPr>
          <w:rStyle w:val="FootnoteReference"/>
          <w:rFonts w:ascii="Times New Roman" w:eastAsia="Times New Roman" w:hAnsi="Times New Roman"/>
          <w:noProof/>
          <w:sz w:val="24"/>
          <w:szCs w:val="24"/>
        </w:rPr>
        <w:footnoteReference w:id="21"/>
      </w:r>
      <w:r>
        <w:rPr>
          <w:rFonts w:ascii="Times New Roman" w:eastAsia="Times New Roman" w:hAnsi="Times New Roman"/>
          <w:noProof/>
          <w:sz w:val="24"/>
          <w:szCs w:val="24"/>
        </w:rPr>
        <w:t xml:space="preserve">. </w:t>
      </w:r>
    </w:p>
    <w:p w:rsidR="00E03D72" w:rsidRDefault="00052157">
      <w:pPr>
        <w:keepNext/>
        <w:spacing w:after="240" w:line="240" w:lineRule="auto"/>
        <w:ind w:left="567" w:hanging="567"/>
        <w:jc w:val="both"/>
        <w:outlineLvl w:val="1"/>
        <w:rPr>
          <w:rFonts w:ascii="Times New Roman" w:eastAsia="Times New Roman" w:hAnsi="Times New Roman"/>
          <w:b/>
          <w:smallCaps/>
          <w:noProof/>
          <w:sz w:val="24"/>
          <w:szCs w:val="24"/>
        </w:rPr>
      </w:pPr>
      <w:r>
        <w:rPr>
          <w:rFonts w:ascii="Times New Roman" w:eastAsia="Times New Roman" w:hAnsi="Times New Roman"/>
          <w:b/>
          <w:smallCaps/>
          <w:noProof/>
          <w:sz w:val="24"/>
          <w:szCs w:val="24"/>
        </w:rPr>
        <w:t>4.</w:t>
      </w:r>
      <w:r>
        <w:rPr>
          <w:rFonts w:ascii="Times New Roman" w:eastAsia="Times New Roman" w:hAnsi="Times New Roman"/>
          <w:b/>
          <w:smallCaps/>
          <w:noProof/>
          <w:sz w:val="24"/>
          <w:szCs w:val="24"/>
        </w:rPr>
        <w:tab/>
        <w:t>Operation of the Regulation and action for improvement</w:t>
      </w:r>
    </w:p>
    <w:p w:rsidR="00E03D72" w:rsidRDefault="00052157">
      <w:pPr>
        <w:keepNext/>
        <w:spacing w:after="240" w:line="240" w:lineRule="auto"/>
        <w:ind w:left="567" w:hanging="567"/>
        <w:jc w:val="both"/>
        <w:outlineLvl w:val="1"/>
        <w:rPr>
          <w:rFonts w:ascii="Times New Roman" w:eastAsia="Times New Roman" w:hAnsi="Times New Roman"/>
          <w:b/>
          <w:noProof/>
          <w:sz w:val="24"/>
          <w:szCs w:val="24"/>
        </w:rPr>
      </w:pPr>
      <w:r>
        <w:rPr>
          <w:rFonts w:ascii="Times New Roman" w:eastAsia="Times New Roman" w:hAnsi="Times New Roman"/>
          <w:b/>
          <w:noProof/>
          <w:sz w:val="24"/>
          <w:szCs w:val="24"/>
        </w:rPr>
        <w:t>4.1</w:t>
      </w:r>
      <w:r>
        <w:rPr>
          <w:rFonts w:ascii="Times New Roman" w:eastAsia="Times New Roman" w:hAnsi="Times New Roman"/>
          <w:b/>
          <w:noProof/>
          <w:sz w:val="24"/>
          <w:szCs w:val="24"/>
        </w:rPr>
        <w:tab/>
        <w:t>Assessment of the operation of the Regulation</w:t>
      </w:r>
      <w:r>
        <w:rPr>
          <w:rFonts w:ascii="Times New Roman" w:eastAsia="Times New Roman" w:hAnsi="Times New Roman"/>
          <w:b/>
          <w:noProof/>
          <w:sz w:val="24"/>
          <w:szCs w:val="24"/>
        </w:rPr>
        <w:tab/>
      </w:r>
    </w:p>
    <w:p w:rsidR="00E03D72" w:rsidRDefault="00052157">
      <w:pPr>
        <w:spacing w:after="240" w:line="240" w:lineRule="auto"/>
        <w:jc w:val="both"/>
        <w:rPr>
          <w:rFonts w:ascii="Times New Roman" w:eastAsia="Times New Roman" w:hAnsi="Times New Roman"/>
          <w:b/>
          <w:i/>
          <w:noProof/>
          <w:sz w:val="24"/>
          <w:szCs w:val="24"/>
        </w:rPr>
      </w:pPr>
      <w:r>
        <w:rPr>
          <w:rFonts w:ascii="Times New Roman" w:eastAsia="Times New Roman" w:hAnsi="Times New Roman"/>
          <w:b/>
          <w:i/>
          <w:noProof/>
          <w:sz w:val="24"/>
          <w:szCs w:val="24"/>
        </w:rPr>
        <w:t>Results of the consultation</w:t>
      </w:r>
    </w:p>
    <w:p w:rsidR="00E03D72" w:rsidRDefault="00052157">
      <w:pPr>
        <w:spacing w:after="240" w:line="240" w:lineRule="auto"/>
        <w:jc w:val="both"/>
        <w:rPr>
          <w:rFonts w:ascii="Times New Roman" w:eastAsia="Times New Roman" w:hAnsi="Times New Roman"/>
          <w:noProof/>
          <w:color w:val="95B3D7" w:themeColor="accent1" w:themeTint="99"/>
          <w:sz w:val="24"/>
          <w:szCs w:val="24"/>
        </w:rPr>
      </w:pPr>
      <w:r>
        <w:rPr>
          <w:rFonts w:ascii="Times New Roman" w:eastAsia="Times New Roman" w:hAnsi="Times New Roman"/>
          <w:noProof/>
          <w:sz w:val="24"/>
          <w:szCs w:val="24"/>
        </w:rPr>
        <w:t xml:space="preserve">In January 2016, the </w:t>
      </w:r>
      <w:r>
        <w:rPr>
          <w:rFonts w:ascii="Times New Roman" w:eastAsia="Times New Roman" w:hAnsi="Times New Roman"/>
          <w:noProof/>
          <w:sz w:val="24"/>
          <w:szCs w:val="24"/>
        </w:rPr>
        <w:t>Commission invited various bodies representing passengers and the industry at EU level to share their views on the operation of the Regulation</w:t>
      </w:r>
      <w:r>
        <w:rPr>
          <w:rStyle w:val="FootnoteReference"/>
          <w:rFonts w:ascii="Times New Roman" w:eastAsia="Times New Roman" w:hAnsi="Times New Roman"/>
          <w:noProof/>
          <w:sz w:val="24"/>
          <w:szCs w:val="24"/>
        </w:rPr>
        <w:footnoteReference w:id="22"/>
      </w:r>
      <w:r>
        <w:rPr>
          <w:rFonts w:ascii="Times New Roman" w:eastAsia="Times New Roman" w:hAnsi="Times New Roman"/>
          <w:noProof/>
          <w:sz w:val="24"/>
          <w:szCs w:val="24"/>
        </w:rPr>
        <w:t>.</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All participants agreed that two factors have a major impact on the operation of the Regulation:</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lastRenderedPageBreak/>
        <w:t xml:space="preserve">- The lack of </w:t>
      </w:r>
      <w:r>
        <w:rPr>
          <w:rFonts w:ascii="Times New Roman" w:eastAsia="Times New Roman" w:hAnsi="Times New Roman"/>
          <w:noProof/>
          <w:sz w:val="24"/>
          <w:szCs w:val="24"/>
        </w:rPr>
        <w:t xml:space="preserve">suitable bus and coach terminals in several Member States is one of the most significant barriers to the development of bus and coach transport: modern, accessible, and safe terminals connected with other modes of transport could convince new users to opt </w:t>
      </w:r>
      <w:r>
        <w:rPr>
          <w:rFonts w:ascii="Times New Roman" w:eastAsia="Times New Roman" w:hAnsi="Times New Roman"/>
          <w:noProof/>
          <w:sz w:val="24"/>
          <w:szCs w:val="24"/>
        </w:rPr>
        <w:t>for bus and coach transport. Bus and coach terminals also play a key role in applying the Regulation: a high quality terminal can give passengers easier access to information about the services and about their rights at terminals, terminal staff can provid</w:t>
      </w:r>
      <w:r>
        <w:rPr>
          <w:rFonts w:ascii="Times New Roman" w:eastAsia="Times New Roman" w:hAnsi="Times New Roman"/>
          <w:noProof/>
          <w:sz w:val="24"/>
          <w:szCs w:val="24"/>
        </w:rPr>
        <w:t>e passengers with disabilities with the assistance they need, and passengers can be better assisted when there are transport disruptions.</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The Regulation did not introduce new accessibility requirements for buses, coaches and terminals, and it therefore d</w:t>
      </w:r>
      <w:r>
        <w:rPr>
          <w:rFonts w:ascii="Times New Roman" w:eastAsia="Times New Roman" w:hAnsi="Times New Roman"/>
          <w:noProof/>
          <w:sz w:val="24"/>
          <w:szCs w:val="24"/>
        </w:rPr>
        <w:t>id not contribute significantly to improving the accessibility of vehicles and of the transport infrastructure (bus stops and terminals) for passengers with disabilities or reduced mobility. In order to make bus and coach transport accessible for these pas</w:t>
      </w:r>
      <w:r>
        <w:rPr>
          <w:rFonts w:ascii="Times New Roman" w:eastAsia="Times New Roman" w:hAnsi="Times New Roman"/>
          <w:noProof/>
          <w:sz w:val="24"/>
          <w:szCs w:val="24"/>
        </w:rPr>
        <w:t>sengers, both the vehicles and the terminals must be accessible. The measures introduced by several Member States, under which operators will in future be required to use only fleets that can carry passengers</w:t>
      </w:r>
      <w:r>
        <w:rPr>
          <w:rStyle w:val="FootnoteReference"/>
          <w:rFonts w:ascii="Times New Roman" w:eastAsia="Times New Roman" w:hAnsi="Times New Roman"/>
          <w:noProof/>
          <w:sz w:val="24"/>
          <w:szCs w:val="24"/>
          <w:vertAlign w:val="baseline"/>
        </w:rPr>
        <w:t xml:space="preserve"> </w:t>
      </w:r>
      <w:r>
        <w:rPr>
          <w:rFonts w:ascii="Times New Roman" w:eastAsia="Times New Roman" w:hAnsi="Times New Roman"/>
          <w:noProof/>
          <w:sz w:val="24"/>
          <w:szCs w:val="24"/>
        </w:rPr>
        <w:t>with disabilities or reduced mobility</w:t>
      </w:r>
      <w:r>
        <w:rPr>
          <w:rStyle w:val="FootnoteReference"/>
          <w:rFonts w:ascii="Times New Roman" w:eastAsia="Times New Roman" w:hAnsi="Times New Roman"/>
          <w:noProof/>
          <w:sz w:val="24"/>
          <w:szCs w:val="24"/>
        </w:rPr>
        <w:footnoteReference w:id="23"/>
      </w:r>
      <w:r>
        <w:rPr>
          <w:rFonts w:ascii="Times New Roman" w:eastAsia="Times New Roman" w:hAnsi="Times New Roman"/>
          <w:noProof/>
          <w:sz w:val="24"/>
          <w:szCs w:val="24"/>
        </w:rPr>
        <w:t>, will th</w:t>
      </w:r>
      <w:r>
        <w:rPr>
          <w:rFonts w:ascii="Times New Roman" w:eastAsia="Times New Roman" w:hAnsi="Times New Roman"/>
          <w:noProof/>
          <w:sz w:val="24"/>
          <w:szCs w:val="24"/>
        </w:rPr>
        <w:t xml:space="preserve">erefore have only limited results if the infrastructure remains inadequate. The Commission is, however, also aware of local and regional initiatives where operators have worked closely with organisations representing people with disabilities to make their </w:t>
      </w:r>
      <w:r>
        <w:rPr>
          <w:rFonts w:ascii="Times New Roman" w:eastAsia="Times New Roman" w:hAnsi="Times New Roman"/>
          <w:noProof/>
          <w:sz w:val="24"/>
          <w:szCs w:val="24"/>
        </w:rPr>
        <w:t>services accessible to them</w:t>
      </w:r>
      <w:r>
        <w:rPr>
          <w:rStyle w:val="FootnoteReference"/>
          <w:rFonts w:ascii="Times New Roman" w:eastAsia="Times New Roman" w:hAnsi="Times New Roman"/>
          <w:noProof/>
          <w:sz w:val="24"/>
          <w:szCs w:val="24"/>
        </w:rPr>
        <w:footnoteReference w:id="24"/>
      </w:r>
      <w:r>
        <w:rPr>
          <w:rFonts w:ascii="Times New Roman" w:eastAsia="Times New Roman" w:hAnsi="Times New Roman"/>
          <w:noProof/>
          <w:sz w:val="24"/>
          <w:szCs w:val="24"/>
        </w:rPr>
        <w:t xml:space="preserve">.  </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Whilst the various parties consulted agreed on the points above, there was a clear division between organisations representing industry and passenger organisations as to the impact of the Regulation. The organisations repres</w:t>
      </w:r>
      <w:r>
        <w:rPr>
          <w:rFonts w:ascii="Times New Roman" w:eastAsia="Times New Roman" w:hAnsi="Times New Roman"/>
          <w:noProof/>
          <w:sz w:val="24"/>
          <w:szCs w:val="24"/>
        </w:rPr>
        <w:t>enting carriers felt that the Regulation reflected the optimal balance between the carriers’ obligations and passenger rights, taking the specific constraints of the sector into account, and provided the necessary level of flexibility.</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Organisations repres</w:t>
      </w:r>
      <w:r>
        <w:rPr>
          <w:rFonts w:ascii="Times New Roman" w:eastAsia="Times New Roman" w:hAnsi="Times New Roman"/>
          <w:noProof/>
          <w:sz w:val="24"/>
          <w:szCs w:val="24"/>
        </w:rPr>
        <w:t>enting passengers (EDF and EPF) regretted that most provisions contained in the Regulation applied only to regular services with a scheduled distance of 250 km or longer. In practice, this means that the overwhelming majority of regular bus and coach journ</w:t>
      </w:r>
      <w:r>
        <w:rPr>
          <w:rFonts w:ascii="Times New Roman" w:eastAsia="Times New Roman" w:hAnsi="Times New Roman"/>
          <w:noProof/>
          <w:sz w:val="24"/>
          <w:szCs w:val="24"/>
        </w:rPr>
        <w:t>eys are only subject to the core provisions of the Regulation</w:t>
      </w:r>
      <w:r>
        <w:rPr>
          <w:rStyle w:val="FootnoteReference"/>
          <w:rFonts w:ascii="Times New Roman" w:eastAsia="Times New Roman" w:hAnsi="Times New Roman"/>
          <w:noProof/>
          <w:sz w:val="24"/>
          <w:szCs w:val="24"/>
        </w:rPr>
        <w:footnoteReference w:id="25"/>
      </w:r>
      <w:r>
        <w:rPr>
          <w:rFonts w:ascii="Times New Roman" w:eastAsia="Times New Roman" w:hAnsi="Times New Roman"/>
          <w:noProof/>
          <w:sz w:val="24"/>
          <w:szCs w:val="24"/>
        </w:rPr>
        <w:t>. Passengers’ organisations also criticised Member States for granting too many exemptions</w:t>
      </w:r>
      <w:r>
        <w:rPr>
          <w:rStyle w:val="FootnoteReference"/>
          <w:rFonts w:ascii="Times New Roman" w:eastAsia="Times New Roman" w:hAnsi="Times New Roman"/>
          <w:noProof/>
          <w:sz w:val="24"/>
          <w:szCs w:val="24"/>
        </w:rPr>
        <w:footnoteReference w:id="26"/>
      </w:r>
      <w:r>
        <w:rPr>
          <w:rFonts w:ascii="Times New Roman" w:eastAsia="Times New Roman" w:hAnsi="Times New Roman"/>
          <w:noProof/>
          <w:sz w:val="24"/>
          <w:szCs w:val="24"/>
        </w:rPr>
        <w:t xml:space="preserve">. In their opinion, the extensive use of exemptions deprives passengers of the full enjoyment of their </w:t>
      </w:r>
      <w:r>
        <w:rPr>
          <w:rFonts w:ascii="Times New Roman" w:eastAsia="Times New Roman" w:hAnsi="Times New Roman"/>
          <w:noProof/>
          <w:sz w:val="24"/>
          <w:szCs w:val="24"/>
        </w:rPr>
        <w:t>rights and of legal certainty (particularly as it is difficult for passengers to know which Member States apply which exemptions).</w:t>
      </w:r>
    </w:p>
    <w:p w:rsidR="00E03D72" w:rsidRDefault="00052157">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parties consulted felt that there was no need to amend any specific provisions of the Regulation, but that the current Re</w:t>
      </w:r>
      <w:r>
        <w:rPr>
          <w:rFonts w:ascii="Times New Roman" w:eastAsia="Times New Roman" w:hAnsi="Times New Roman"/>
          <w:noProof/>
          <w:sz w:val="24"/>
          <w:szCs w:val="24"/>
        </w:rPr>
        <w:t>gulation should be better applied by operators and more strictly enforced by the national authorities.</w:t>
      </w:r>
    </w:p>
    <w:p w:rsidR="00E03D72" w:rsidRDefault="00052157">
      <w:pPr>
        <w:spacing w:after="240" w:line="240" w:lineRule="auto"/>
        <w:jc w:val="both"/>
        <w:rPr>
          <w:rFonts w:ascii="Times New Roman" w:eastAsia="Times New Roman" w:hAnsi="Times New Roman"/>
          <w:b/>
          <w:i/>
          <w:noProof/>
          <w:sz w:val="24"/>
          <w:szCs w:val="24"/>
        </w:rPr>
      </w:pPr>
      <w:r>
        <w:rPr>
          <w:rFonts w:ascii="Times New Roman" w:eastAsia="Times New Roman" w:hAnsi="Times New Roman"/>
          <w:b/>
          <w:i/>
          <w:noProof/>
          <w:sz w:val="24"/>
          <w:szCs w:val="24"/>
        </w:rPr>
        <w:lastRenderedPageBreak/>
        <w:t>Assessment by the Commission</w:t>
      </w:r>
    </w:p>
    <w:p w:rsidR="00E03D72" w:rsidRDefault="00052157">
      <w:pPr>
        <w:spacing w:after="240" w:line="240" w:lineRule="auto"/>
        <w:jc w:val="both"/>
        <w:rPr>
          <w:rFonts w:ascii="Times New Roman" w:eastAsia="Times New Roman" w:hAnsi="Times New Roman"/>
          <w:noProof/>
          <w:color w:val="95B3D7" w:themeColor="accent1" w:themeTint="99"/>
          <w:sz w:val="24"/>
          <w:szCs w:val="24"/>
        </w:rPr>
      </w:pPr>
      <w:r>
        <w:rPr>
          <w:rFonts w:ascii="Times New Roman" w:eastAsia="Times New Roman" w:hAnsi="Times New Roman"/>
          <w:noProof/>
          <w:sz w:val="24"/>
          <w:szCs w:val="24"/>
        </w:rPr>
        <w:t>The Commission has not identified any deliberate or serious breaches of the Regulation.</w:t>
      </w:r>
      <w:r>
        <w:rPr>
          <w:rFonts w:ascii="Times New Roman" w:eastAsia="Times New Roman" w:hAnsi="Times New Roman"/>
          <w:noProof/>
          <w:color w:val="95B3D7" w:themeColor="accent1" w:themeTint="99"/>
          <w:sz w:val="24"/>
          <w:szCs w:val="24"/>
        </w:rPr>
        <w:t xml:space="preserve"> </w:t>
      </w:r>
      <w:r>
        <w:rPr>
          <w:rFonts w:ascii="Times New Roman" w:eastAsia="Times New Roman" w:hAnsi="Times New Roman"/>
          <w:noProof/>
          <w:sz w:val="24"/>
          <w:szCs w:val="24"/>
        </w:rPr>
        <w:t xml:space="preserve">Most individual complaints of which </w:t>
      </w:r>
      <w:r>
        <w:rPr>
          <w:rFonts w:ascii="Times New Roman" w:eastAsia="Times New Roman" w:hAnsi="Times New Roman"/>
          <w:noProof/>
          <w:sz w:val="24"/>
          <w:szCs w:val="24"/>
        </w:rPr>
        <w:t>the Commission is aware relate to the lack of information, assistance or compensation provided in the event of long delays or cancellations</w:t>
      </w:r>
      <w:r>
        <w:rPr>
          <w:rStyle w:val="FootnoteReference"/>
          <w:rFonts w:ascii="Times New Roman" w:eastAsia="Times New Roman" w:hAnsi="Times New Roman"/>
          <w:noProof/>
          <w:sz w:val="24"/>
          <w:szCs w:val="24"/>
        </w:rPr>
        <w:footnoteReference w:id="27"/>
      </w:r>
      <w:r>
        <w:rPr>
          <w:rFonts w:ascii="Times New Roman" w:eastAsia="Times New Roman" w:hAnsi="Times New Roman"/>
          <w:noProof/>
          <w:sz w:val="24"/>
          <w:szCs w:val="24"/>
        </w:rPr>
        <w:t>.</w:t>
      </w:r>
      <w:r>
        <w:rPr>
          <w:rFonts w:ascii="Times New Roman" w:eastAsia="Times New Roman" w:hAnsi="Times New Roman"/>
          <w:noProof/>
          <w:color w:val="95B3D7" w:themeColor="accent1" w:themeTint="99"/>
          <w:sz w:val="24"/>
          <w:szCs w:val="24"/>
        </w:rPr>
        <w:t xml:space="preserve"> </w:t>
      </w:r>
      <w:r>
        <w:rPr>
          <w:rFonts w:ascii="Times New Roman" w:eastAsia="Times New Roman" w:hAnsi="Times New Roman"/>
          <w:noProof/>
          <w:sz w:val="24"/>
          <w:szCs w:val="24"/>
        </w:rPr>
        <w:t>The reports provided by the NEBs suggest that many complaints fall outside the scope of the Regulation</w:t>
      </w:r>
      <w:r>
        <w:rPr>
          <w:rStyle w:val="FootnoteReference"/>
          <w:rFonts w:ascii="Times New Roman" w:eastAsia="Times New Roman" w:hAnsi="Times New Roman"/>
          <w:noProof/>
          <w:sz w:val="24"/>
          <w:szCs w:val="24"/>
        </w:rPr>
        <w:footnoteReference w:id="28"/>
      </w:r>
      <w:r>
        <w:rPr>
          <w:rFonts w:ascii="Times New Roman" w:eastAsia="Times New Roman" w:hAnsi="Times New Roman"/>
          <w:noProof/>
          <w:sz w:val="24"/>
          <w:szCs w:val="24"/>
        </w:rPr>
        <w:t>.</w:t>
      </w:r>
    </w:p>
    <w:p w:rsidR="00E03D72" w:rsidRDefault="00052157">
      <w:pPr>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Despite </w:t>
      </w:r>
      <w:r>
        <w:rPr>
          <w:rFonts w:ascii="Times New Roman" w:eastAsia="Times New Roman" w:hAnsi="Times New Roman"/>
          <w:noProof/>
          <w:sz w:val="24"/>
          <w:szCs w:val="24"/>
        </w:rPr>
        <w:t>this positive overall picture, the Commission identified a number of factors that are preventing the Regulation from being applied more efficiently:</w:t>
      </w:r>
    </w:p>
    <w:p w:rsidR="00E03D72" w:rsidRDefault="00052157">
      <w:pPr>
        <w:spacing w:after="120" w:line="240" w:lineRule="auto"/>
        <w:ind w:left="567" w:hanging="567"/>
        <w:jc w:val="both"/>
        <w:rPr>
          <w:rFonts w:ascii="Times New Roman" w:eastAsia="Times New Roman" w:hAnsi="Times New Roman"/>
          <w:i/>
          <w:noProof/>
          <w:sz w:val="24"/>
          <w:szCs w:val="24"/>
        </w:rPr>
      </w:pPr>
      <w:r>
        <w:rPr>
          <w:rFonts w:ascii="Times New Roman" w:eastAsia="Times New Roman" w:hAnsi="Times New Roman"/>
          <w:i/>
          <w:noProof/>
          <w:sz w:val="24"/>
          <w:szCs w:val="24"/>
        </w:rPr>
        <w:t xml:space="preserve">a) </w:t>
      </w:r>
      <w:r>
        <w:rPr>
          <w:rFonts w:ascii="Times New Roman" w:eastAsia="Times New Roman" w:hAnsi="Times New Roman"/>
          <w:i/>
          <w:noProof/>
          <w:sz w:val="24"/>
          <w:szCs w:val="24"/>
        </w:rPr>
        <w:tab/>
        <w:t>Passengers and operators are not sufficiently aware of their rights and obligations</w:t>
      </w:r>
    </w:p>
    <w:p w:rsidR="00E03D72" w:rsidRDefault="00052157">
      <w:pPr>
        <w:spacing w:after="120" w:line="240" w:lineRule="auto"/>
        <w:ind w:left="567"/>
        <w:jc w:val="both"/>
        <w:rPr>
          <w:rFonts w:ascii="Times New Roman" w:eastAsia="Times New Roman" w:hAnsi="Times New Roman"/>
          <w:noProof/>
          <w:sz w:val="24"/>
          <w:szCs w:val="24"/>
        </w:rPr>
      </w:pPr>
      <w:r>
        <w:rPr>
          <w:rFonts w:ascii="Times New Roman" w:eastAsia="Times New Roman" w:hAnsi="Times New Roman"/>
          <w:noProof/>
          <w:sz w:val="24"/>
          <w:szCs w:val="24"/>
        </w:rPr>
        <w:t>As the Regulation i</w:t>
      </w:r>
      <w:r>
        <w:rPr>
          <w:rFonts w:ascii="Times New Roman" w:eastAsia="Times New Roman" w:hAnsi="Times New Roman"/>
          <w:noProof/>
          <w:sz w:val="24"/>
          <w:szCs w:val="24"/>
        </w:rPr>
        <w:t>s relatively recent, members of the public are not sufficiently aware of it. NEBs and representatives of parties concerned indicated that many operators were not aware of the Regulation when it was adopted, and lack of awareness is still a problem in certa</w:t>
      </w:r>
      <w:r>
        <w:rPr>
          <w:rFonts w:ascii="Times New Roman" w:eastAsia="Times New Roman" w:hAnsi="Times New Roman"/>
          <w:noProof/>
          <w:sz w:val="24"/>
          <w:szCs w:val="24"/>
        </w:rPr>
        <w:t>in Member States. It is therefore essential for NEBs, national and EU-level representative bodies, and the Commission to continue to educate passengers about their rights and operators about their obligations.</w:t>
      </w:r>
      <w:r>
        <w:rPr>
          <w:rFonts w:ascii="Times New Roman" w:eastAsia="Times New Roman" w:hAnsi="Times New Roman"/>
          <w:noProof/>
          <w:sz w:val="24"/>
          <w:szCs w:val="24"/>
        </w:rPr>
        <w:tab/>
      </w:r>
    </w:p>
    <w:p w:rsidR="00E03D72" w:rsidRDefault="00052157">
      <w:pPr>
        <w:spacing w:after="120" w:line="240" w:lineRule="auto"/>
        <w:ind w:left="567" w:hanging="567"/>
        <w:jc w:val="both"/>
        <w:rPr>
          <w:rFonts w:ascii="Times New Roman" w:eastAsia="Times New Roman" w:hAnsi="Times New Roman"/>
          <w:i/>
          <w:noProof/>
          <w:sz w:val="24"/>
          <w:szCs w:val="24"/>
        </w:rPr>
      </w:pPr>
      <w:r>
        <w:rPr>
          <w:rFonts w:ascii="Times New Roman" w:eastAsia="Times New Roman" w:hAnsi="Times New Roman"/>
          <w:i/>
          <w:noProof/>
          <w:sz w:val="24"/>
          <w:szCs w:val="24"/>
        </w:rPr>
        <w:t xml:space="preserve">b) </w:t>
      </w:r>
      <w:r>
        <w:rPr>
          <w:rFonts w:ascii="Times New Roman" w:eastAsia="Times New Roman" w:hAnsi="Times New Roman"/>
          <w:i/>
          <w:noProof/>
          <w:sz w:val="24"/>
          <w:szCs w:val="24"/>
        </w:rPr>
        <w:tab/>
        <w:t>Enforcement is lagging behind in some Mem</w:t>
      </w:r>
      <w:r>
        <w:rPr>
          <w:rFonts w:ascii="Times New Roman" w:eastAsia="Times New Roman" w:hAnsi="Times New Roman"/>
          <w:i/>
          <w:noProof/>
          <w:sz w:val="24"/>
          <w:szCs w:val="24"/>
        </w:rPr>
        <w:t xml:space="preserve">ber States </w:t>
      </w:r>
      <w:r>
        <w:rPr>
          <w:rFonts w:ascii="Times New Roman" w:eastAsia="Times New Roman" w:hAnsi="Times New Roman"/>
          <w:noProof/>
          <w:sz w:val="24"/>
          <w:szCs w:val="24"/>
        </w:rPr>
        <w:tab/>
      </w:r>
    </w:p>
    <w:p w:rsidR="00E03D72" w:rsidRDefault="00052157">
      <w:pPr>
        <w:spacing w:after="120" w:line="240" w:lineRule="auto"/>
        <w:ind w:left="567"/>
        <w:jc w:val="both"/>
        <w:rPr>
          <w:rFonts w:ascii="Times New Roman" w:eastAsia="Times New Roman" w:hAnsi="Times New Roman"/>
          <w:noProof/>
          <w:sz w:val="24"/>
          <w:szCs w:val="24"/>
        </w:rPr>
      </w:pPr>
      <w:r>
        <w:rPr>
          <w:rFonts w:ascii="Times New Roman" w:eastAsia="Times New Roman" w:hAnsi="Times New Roman"/>
          <w:noProof/>
          <w:sz w:val="24"/>
          <w:szCs w:val="24"/>
        </w:rPr>
        <w:t>Member States were late in taking measures to apply the Regulation. By 1 March 2013, the date on which the Regulation became applicable, none of the Member States had adopted all the national measures needed. Some Member States adopted the req</w:t>
      </w:r>
      <w:r>
        <w:rPr>
          <w:rFonts w:ascii="Times New Roman" w:eastAsia="Times New Roman" w:hAnsi="Times New Roman"/>
          <w:noProof/>
          <w:sz w:val="24"/>
          <w:szCs w:val="24"/>
        </w:rPr>
        <w:t>uired measures with a delay of two years.</w:t>
      </w:r>
    </w:p>
    <w:p w:rsidR="00E03D72" w:rsidRDefault="00052157">
      <w:pPr>
        <w:spacing w:after="120" w:line="240" w:lineRule="auto"/>
        <w:ind w:left="567"/>
        <w:jc w:val="both"/>
        <w:rPr>
          <w:rFonts w:ascii="Times New Roman" w:eastAsia="Times New Roman" w:hAnsi="Times New Roman"/>
          <w:noProof/>
          <w:sz w:val="24"/>
          <w:szCs w:val="24"/>
        </w:rPr>
      </w:pPr>
      <w:r>
        <w:rPr>
          <w:rFonts w:ascii="Times New Roman" w:eastAsia="Times New Roman" w:hAnsi="Times New Roman"/>
          <w:noProof/>
          <w:sz w:val="24"/>
          <w:szCs w:val="24"/>
        </w:rPr>
        <w:t>The approach taken by NEBs to enforcing the Regulation varies widely. While some are very proactive in informing passengers about their rights and monitoring the Regulation’s application, others do little beyond ha</w:t>
      </w:r>
      <w:r>
        <w:rPr>
          <w:rFonts w:ascii="Times New Roman" w:eastAsia="Times New Roman" w:hAnsi="Times New Roman"/>
          <w:noProof/>
          <w:sz w:val="24"/>
          <w:szCs w:val="24"/>
        </w:rPr>
        <w:t xml:space="preserve">ndling complaints.  </w:t>
      </w:r>
    </w:p>
    <w:p w:rsidR="00E03D72" w:rsidRDefault="00052157">
      <w:pPr>
        <w:spacing w:after="120" w:line="240" w:lineRule="auto"/>
        <w:ind w:left="567"/>
        <w:jc w:val="both"/>
        <w:rPr>
          <w:rFonts w:ascii="Times New Roman" w:eastAsia="Times New Roman" w:hAnsi="Times New Roman"/>
          <w:noProof/>
          <w:sz w:val="24"/>
          <w:szCs w:val="24"/>
        </w:rPr>
      </w:pPr>
      <w:r>
        <w:rPr>
          <w:rFonts w:ascii="Times New Roman" w:eastAsia="Times New Roman" w:hAnsi="Times New Roman"/>
          <w:noProof/>
          <w:sz w:val="24"/>
          <w:szCs w:val="24"/>
        </w:rPr>
        <w:t>There are also significant differences in the actual enforcement of passenger rights. Some Member States have no alternative dispute resolution mechanism</w:t>
      </w:r>
      <w:r>
        <w:rPr>
          <w:rStyle w:val="FootnoteReference"/>
          <w:rFonts w:ascii="Times New Roman" w:eastAsia="Times New Roman" w:hAnsi="Times New Roman"/>
          <w:noProof/>
          <w:sz w:val="24"/>
          <w:szCs w:val="24"/>
        </w:rPr>
        <w:footnoteReference w:id="29"/>
      </w:r>
      <w:r>
        <w:rPr>
          <w:rFonts w:ascii="Times New Roman" w:eastAsia="Times New Roman" w:hAnsi="Times New Roman"/>
          <w:noProof/>
          <w:sz w:val="24"/>
          <w:szCs w:val="24"/>
        </w:rPr>
        <w:t>, meaning that passengers have to pursue their claims in court, which is costly a</w:t>
      </w:r>
      <w:r>
        <w:rPr>
          <w:rFonts w:ascii="Times New Roman" w:eastAsia="Times New Roman" w:hAnsi="Times New Roman"/>
          <w:noProof/>
          <w:sz w:val="24"/>
          <w:szCs w:val="24"/>
        </w:rPr>
        <w:t>nd time-consuming, and therefore discourages them from enforcing their rights.</w:t>
      </w:r>
    </w:p>
    <w:p w:rsidR="00E03D72" w:rsidRDefault="00052157">
      <w:pPr>
        <w:spacing w:after="120" w:line="240" w:lineRule="auto"/>
        <w:ind w:left="567" w:hanging="567"/>
        <w:jc w:val="both"/>
        <w:rPr>
          <w:rFonts w:ascii="Times New Roman" w:eastAsia="Times New Roman" w:hAnsi="Times New Roman"/>
          <w:i/>
          <w:noProof/>
          <w:sz w:val="24"/>
          <w:szCs w:val="24"/>
        </w:rPr>
      </w:pPr>
      <w:r>
        <w:rPr>
          <w:rFonts w:ascii="Times New Roman" w:eastAsia="Times New Roman" w:hAnsi="Times New Roman"/>
          <w:i/>
          <w:noProof/>
          <w:sz w:val="24"/>
          <w:szCs w:val="24"/>
        </w:rPr>
        <w:t xml:space="preserve">c) </w:t>
      </w:r>
      <w:r>
        <w:rPr>
          <w:rFonts w:ascii="Times New Roman" w:eastAsia="Times New Roman" w:hAnsi="Times New Roman"/>
          <w:i/>
          <w:noProof/>
          <w:sz w:val="24"/>
          <w:szCs w:val="24"/>
        </w:rPr>
        <w:tab/>
        <w:t>Difficulty in interpreting certain provisions</w:t>
      </w:r>
    </w:p>
    <w:p w:rsidR="00E03D72" w:rsidRDefault="00052157">
      <w:pPr>
        <w:spacing w:after="120" w:line="240" w:lineRule="auto"/>
        <w:ind w:left="567"/>
        <w:jc w:val="both"/>
        <w:rPr>
          <w:rFonts w:ascii="Times New Roman" w:eastAsia="Times New Roman" w:hAnsi="Times New Roman"/>
          <w:noProof/>
          <w:sz w:val="24"/>
          <w:szCs w:val="24"/>
        </w:rPr>
      </w:pPr>
      <w:r>
        <w:rPr>
          <w:rFonts w:ascii="Times New Roman" w:eastAsia="Times New Roman" w:hAnsi="Times New Roman"/>
          <w:noProof/>
          <w:sz w:val="24"/>
          <w:szCs w:val="24"/>
        </w:rPr>
        <w:t>Some provisions in the Regulation have been interpreted differently by different NEBs and operators.</w:t>
      </w:r>
    </w:p>
    <w:p w:rsidR="00E03D72" w:rsidRDefault="00052157">
      <w:pPr>
        <w:spacing w:after="240" w:line="240" w:lineRule="auto"/>
        <w:ind w:left="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representative bodies </w:t>
      </w:r>
      <w:r>
        <w:rPr>
          <w:rFonts w:ascii="Times New Roman" w:eastAsia="Times New Roman" w:hAnsi="Times New Roman"/>
          <w:noProof/>
          <w:sz w:val="24"/>
          <w:szCs w:val="24"/>
        </w:rPr>
        <w:t>and the NEBs agreed that the Regulation does not need to be amended in order to clarify these provisions, but that the Commission and NEBs should agree on how the provisions should be applied in practice.</w:t>
      </w:r>
    </w:p>
    <w:p w:rsidR="00E03D72" w:rsidRDefault="00052157">
      <w:pPr>
        <w:keepNext/>
        <w:spacing w:after="240" w:line="240" w:lineRule="auto"/>
        <w:ind w:left="567" w:hanging="567"/>
        <w:jc w:val="both"/>
        <w:outlineLvl w:val="1"/>
        <w:rPr>
          <w:rFonts w:ascii="Times New Roman" w:eastAsia="Times New Roman" w:hAnsi="Times New Roman"/>
          <w:b/>
          <w:noProof/>
          <w:sz w:val="24"/>
          <w:szCs w:val="24"/>
        </w:rPr>
      </w:pPr>
      <w:r>
        <w:rPr>
          <w:rFonts w:ascii="Times New Roman" w:eastAsia="Times New Roman" w:hAnsi="Times New Roman"/>
          <w:b/>
          <w:noProof/>
          <w:sz w:val="24"/>
          <w:szCs w:val="24"/>
        </w:rPr>
        <w:lastRenderedPageBreak/>
        <w:t>4.2</w:t>
      </w:r>
      <w:r>
        <w:rPr>
          <w:rFonts w:ascii="Times New Roman" w:eastAsia="Times New Roman" w:hAnsi="Times New Roman"/>
          <w:b/>
          <w:noProof/>
          <w:sz w:val="24"/>
          <w:szCs w:val="24"/>
        </w:rPr>
        <w:tab/>
        <w:t>Commission action to improve application of the</w:t>
      </w:r>
      <w:r>
        <w:rPr>
          <w:rFonts w:ascii="Times New Roman" w:eastAsia="Times New Roman" w:hAnsi="Times New Roman"/>
          <w:b/>
          <w:noProof/>
          <w:sz w:val="24"/>
          <w:szCs w:val="24"/>
        </w:rPr>
        <w:t xml:space="preserve"> Regulation</w:t>
      </w:r>
    </w:p>
    <w:p w:rsidR="00E03D72" w:rsidRDefault="00052157">
      <w:pPr>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Commission took the following measures to address the issues identified above:</w:t>
      </w:r>
    </w:p>
    <w:p w:rsidR="00E03D72" w:rsidRDefault="00052157">
      <w:pPr>
        <w:spacing w:after="120" w:line="240" w:lineRule="auto"/>
        <w:ind w:left="567" w:hanging="567"/>
        <w:jc w:val="both"/>
        <w:rPr>
          <w:rFonts w:ascii="Times New Roman" w:eastAsia="Times New Roman" w:hAnsi="Times New Roman"/>
          <w:i/>
          <w:noProof/>
          <w:sz w:val="24"/>
          <w:szCs w:val="24"/>
        </w:rPr>
      </w:pPr>
      <w:r>
        <w:rPr>
          <w:rFonts w:ascii="Times New Roman" w:eastAsia="Times New Roman" w:hAnsi="Times New Roman"/>
          <w:i/>
          <w:noProof/>
          <w:sz w:val="24"/>
          <w:szCs w:val="24"/>
        </w:rPr>
        <w:t xml:space="preserve">a) </w:t>
      </w:r>
      <w:r>
        <w:rPr>
          <w:rFonts w:ascii="Times New Roman" w:eastAsia="Times New Roman" w:hAnsi="Times New Roman"/>
          <w:i/>
          <w:noProof/>
          <w:sz w:val="24"/>
          <w:szCs w:val="24"/>
        </w:rPr>
        <w:tab/>
        <w:t>Actions to raise awareness of passengers’ rights and operators’ obligations</w:t>
      </w:r>
    </w:p>
    <w:p w:rsidR="00E03D72" w:rsidRDefault="00052157">
      <w:pPr>
        <w:spacing w:after="120" w:line="240" w:lineRule="auto"/>
        <w:ind w:left="567"/>
        <w:jc w:val="both"/>
        <w:rPr>
          <w:rFonts w:ascii="Times New Roman" w:eastAsia="Times New Roman" w:hAnsi="Times New Roman"/>
          <w:noProof/>
          <w:sz w:val="24"/>
          <w:szCs w:val="24"/>
        </w:rPr>
      </w:pPr>
      <w:r>
        <w:rPr>
          <w:rFonts w:ascii="Times New Roman" w:eastAsia="Times New Roman" w:hAnsi="Times New Roman"/>
          <w:noProof/>
          <w:sz w:val="24"/>
          <w:szCs w:val="24"/>
        </w:rPr>
        <w:t>In June 2013, the Commission launched a two-year information campaign on passenge</w:t>
      </w:r>
      <w:r>
        <w:rPr>
          <w:rFonts w:ascii="Times New Roman" w:eastAsia="Times New Roman" w:hAnsi="Times New Roman"/>
          <w:noProof/>
          <w:sz w:val="24"/>
          <w:szCs w:val="24"/>
        </w:rPr>
        <w:t>r rights for all modes of transport, including bus and coach. This included the publication of posters and leaflets that were distributed throughout Europe, the use of social media, a mobile phone application and attendance at tourism fairs.</w:t>
      </w:r>
    </w:p>
    <w:p w:rsidR="00E03D72" w:rsidRDefault="00052157">
      <w:pPr>
        <w:spacing w:after="120" w:line="240" w:lineRule="auto"/>
        <w:ind w:left="567"/>
        <w:jc w:val="both"/>
        <w:rPr>
          <w:rFonts w:ascii="Times New Roman" w:eastAsia="Times New Roman" w:hAnsi="Times New Roman"/>
          <w:noProof/>
          <w:sz w:val="24"/>
          <w:szCs w:val="24"/>
        </w:rPr>
      </w:pPr>
      <w:r>
        <w:rPr>
          <w:rFonts w:ascii="Times New Roman" w:eastAsia="Times New Roman" w:hAnsi="Times New Roman"/>
          <w:noProof/>
          <w:sz w:val="24"/>
          <w:szCs w:val="24"/>
        </w:rPr>
        <w:t>The Commission</w:t>
      </w:r>
      <w:r>
        <w:rPr>
          <w:rFonts w:ascii="Times New Roman" w:eastAsia="Times New Roman" w:hAnsi="Times New Roman"/>
          <w:noProof/>
          <w:sz w:val="24"/>
          <w:szCs w:val="24"/>
        </w:rPr>
        <w:t xml:space="preserve"> published a summary of the Regulation, which is widely used by NEBs and operators to inform passengers about their rights.</w:t>
      </w:r>
    </w:p>
    <w:p w:rsidR="00E03D72" w:rsidRDefault="00052157">
      <w:pPr>
        <w:spacing w:after="120" w:line="240" w:lineRule="auto"/>
        <w:ind w:left="567" w:hanging="567"/>
        <w:jc w:val="both"/>
        <w:rPr>
          <w:rFonts w:ascii="Times New Roman" w:eastAsia="Times New Roman" w:hAnsi="Times New Roman"/>
          <w:i/>
          <w:noProof/>
          <w:sz w:val="24"/>
          <w:szCs w:val="24"/>
        </w:rPr>
      </w:pPr>
      <w:r>
        <w:rPr>
          <w:rFonts w:ascii="Times New Roman" w:eastAsia="Times New Roman" w:hAnsi="Times New Roman"/>
          <w:i/>
          <w:noProof/>
          <w:sz w:val="24"/>
          <w:szCs w:val="24"/>
        </w:rPr>
        <w:t xml:space="preserve">b) </w:t>
      </w:r>
      <w:r>
        <w:rPr>
          <w:rFonts w:ascii="Times New Roman" w:eastAsia="Times New Roman" w:hAnsi="Times New Roman"/>
          <w:i/>
          <w:noProof/>
          <w:sz w:val="24"/>
          <w:szCs w:val="24"/>
        </w:rPr>
        <w:tab/>
        <w:t>Actions to improve enforcement</w:t>
      </w:r>
    </w:p>
    <w:p w:rsidR="00E03D72" w:rsidRDefault="00052157">
      <w:pPr>
        <w:spacing w:after="120" w:line="240" w:lineRule="auto"/>
        <w:ind w:left="567"/>
        <w:jc w:val="both"/>
        <w:rPr>
          <w:rFonts w:ascii="Times New Roman" w:eastAsia="Times New Roman" w:hAnsi="Times New Roman"/>
          <w:noProof/>
          <w:sz w:val="24"/>
          <w:szCs w:val="24"/>
        </w:rPr>
      </w:pPr>
      <w:r>
        <w:rPr>
          <w:rFonts w:ascii="Times New Roman" w:eastAsia="Times New Roman" w:hAnsi="Times New Roman"/>
          <w:noProof/>
          <w:sz w:val="24"/>
          <w:szCs w:val="24"/>
        </w:rPr>
        <w:t>The Commission launched infringement procedures against Member States that had failed to designat</w:t>
      </w:r>
      <w:r>
        <w:rPr>
          <w:rFonts w:ascii="Times New Roman" w:eastAsia="Times New Roman" w:hAnsi="Times New Roman"/>
          <w:noProof/>
          <w:sz w:val="24"/>
          <w:szCs w:val="24"/>
        </w:rPr>
        <w:t>e a national enforcement body, to lay down penalties in their national law to sanction operators that breach the Regulation or to designate bus and coach terminals where passengers with disabilities or reduced mobility may receive appropriate assistance.</w:t>
      </w:r>
      <w:r>
        <w:rPr>
          <w:rStyle w:val="FootnoteReference"/>
          <w:rFonts w:ascii="Times New Roman" w:eastAsia="Times New Roman" w:hAnsi="Times New Roman"/>
          <w:noProof/>
          <w:sz w:val="24"/>
          <w:szCs w:val="24"/>
        </w:rPr>
        <w:footnoteReference w:id="30"/>
      </w:r>
      <w:r>
        <w:rPr>
          <w:rFonts w:ascii="Times New Roman" w:eastAsia="Times New Roman" w:hAnsi="Times New Roman"/>
          <w:noProof/>
          <w:sz w:val="24"/>
          <w:szCs w:val="24"/>
        </w:rPr>
        <w:t xml:space="preserve"> </w:t>
      </w:r>
      <w:r>
        <w:rPr>
          <w:rFonts w:ascii="Times New Roman" w:eastAsia="Times New Roman" w:hAnsi="Times New Roman"/>
          <w:noProof/>
          <w:sz w:val="24"/>
          <w:szCs w:val="24"/>
        </w:rPr>
        <w:t>By July 2015 all the Member States had adopted the necessary measures and the infringement proceedings were closed.</w:t>
      </w:r>
    </w:p>
    <w:p w:rsidR="00E03D72" w:rsidRDefault="00052157">
      <w:pPr>
        <w:spacing w:after="120" w:line="240" w:lineRule="auto"/>
        <w:ind w:left="567"/>
        <w:jc w:val="both"/>
        <w:rPr>
          <w:rFonts w:ascii="Times New Roman" w:eastAsia="Times New Roman" w:hAnsi="Times New Roman"/>
          <w:noProof/>
          <w:sz w:val="24"/>
          <w:szCs w:val="24"/>
        </w:rPr>
      </w:pPr>
      <w:r>
        <w:rPr>
          <w:rFonts w:ascii="Times New Roman" w:eastAsia="Times New Roman" w:hAnsi="Times New Roman"/>
          <w:noProof/>
          <w:sz w:val="24"/>
          <w:szCs w:val="24"/>
        </w:rPr>
        <w:t>The Commission organised annual EU</w:t>
      </w:r>
      <w:r>
        <w:rPr>
          <w:rFonts w:ascii="Times New Roman" w:eastAsia="Times New Roman" w:hAnsi="Times New Roman"/>
          <w:noProof/>
          <w:sz w:val="24"/>
          <w:szCs w:val="24"/>
        </w:rPr>
        <w:noBreakHyphen/>
        <w:t xml:space="preserve">level meetings at which NEBs and stakeholders could share their experiences about the application of the </w:t>
      </w:r>
      <w:r>
        <w:rPr>
          <w:rFonts w:ascii="Times New Roman" w:eastAsia="Times New Roman" w:hAnsi="Times New Roman"/>
          <w:noProof/>
          <w:sz w:val="24"/>
          <w:szCs w:val="24"/>
        </w:rPr>
        <w:t>Regulation and exchange details of good practice.</w:t>
      </w:r>
    </w:p>
    <w:p w:rsidR="00E03D72" w:rsidRDefault="00052157">
      <w:pPr>
        <w:spacing w:after="120" w:line="240" w:lineRule="auto"/>
        <w:ind w:left="567"/>
        <w:jc w:val="both"/>
        <w:rPr>
          <w:rFonts w:ascii="Times New Roman" w:eastAsia="Times New Roman" w:hAnsi="Times New Roman"/>
          <w:noProof/>
          <w:sz w:val="24"/>
          <w:szCs w:val="24"/>
        </w:rPr>
      </w:pPr>
      <w:r>
        <w:rPr>
          <w:rFonts w:ascii="Times New Roman" w:eastAsia="Times New Roman" w:hAnsi="Times New Roman"/>
          <w:noProof/>
          <w:sz w:val="24"/>
          <w:szCs w:val="24"/>
        </w:rPr>
        <w:t>In addition, the Commission provided guidance and information on good practice at the annual meetings held with the NEBs, in order to improve their cooperation with one another.</w:t>
      </w:r>
    </w:p>
    <w:p w:rsidR="00E03D72" w:rsidRDefault="00052157">
      <w:pPr>
        <w:spacing w:after="120" w:line="240" w:lineRule="auto"/>
        <w:ind w:left="567" w:hanging="567"/>
        <w:jc w:val="both"/>
        <w:rPr>
          <w:rFonts w:ascii="Times New Roman" w:eastAsia="Times New Roman" w:hAnsi="Times New Roman"/>
          <w:i/>
          <w:noProof/>
          <w:sz w:val="24"/>
          <w:szCs w:val="24"/>
        </w:rPr>
      </w:pPr>
      <w:r>
        <w:rPr>
          <w:rFonts w:ascii="Times New Roman" w:eastAsia="Times New Roman" w:hAnsi="Times New Roman"/>
          <w:i/>
          <w:noProof/>
          <w:sz w:val="24"/>
          <w:szCs w:val="24"/>
        </w:rPr>
        <w:t xml:space="preserve">c) </w:t>
      </w:r>
      <w:r>
        <w:rPr>
          <w:rFonts w:ascii="Times New Roman" w:eastAsia="Times New Roman" w:hAnsi="Times New Roman"/>
          <w:i/>
          <w:noProof/>
          <w:sz w:val="24"/>
          <w:szCs w:val="24"/>
        </w:rPr>
        <w:tab/>
        <w:t xml:space="preserve">Actions to ensure </w:t>
      </w:r>
      <w:r>
        <w:rPr>
          <w:rFonts w:ascii="Times New Roman" w:eastAsia="Times New Roman" w:hAnsi="Times New Roman"/>
          <w:i/>
          <w:noProof/>
          <w:sz w:val="24"/>
          <w:szCs w:val="24"/>
        </w:rPr>
        <w:t>uniform application of the Regulation</w:t>
      </w:r>
    </w:p>
    <w:p w:rsidR="00E03D72" w:rsidRDefault="00052157">
      <w:pPr>
        <w:spacing w:after="240" w:line="240" w:lineRule="auto"/>
        <w:ind w:left="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At the annual meetings with the NEBs and representative bodies, and through written correspondence, the Commission provided clarification as to the practical application of several provisions in the Regulation. This </w:t>
      </w:r>
      <w:r>
        <w:rPr>
          <w:rFonts w:ascii="Times New Roman" w:eastAsia="Times New Roman" w:hAnsi="Times New Roman"/>
          <w:noProof/>
          <w:sz w:val="24"/>
          <w:szCs w:val="24"/>
        </w:rPr>
        <w:t>has helped to ensure uniform application of the provisions throughout the EU</w:t>
      </w:r>
      <w:r>
        <w:rPr>
          <w:rStyle w:val="FootnoteReference"/>
          <w:rFonts w:ascii="Times New Roman" w:eastAsia="Times New Roman" w:hAnsi="Times New Roman"/>
          <w:noProof/>
          <w:sz w:val="24"/>
          <w:szCs w:val="24"/>
        </w:rPr>
        <w:footnoteReference w:id="31"/>
      </w:r>
      <w:r>
        <w:rPr>
          <w:rFonts w:ascii="Times New Roman" w:eastAsia="Times New Roman" w:hAnsi="Times New Roman"/>
          <w:noProof/>
          <w:sz w:val="24"/>
          <w:szCs w:val="24"/>
        </w:rPr>
        <w:t>.</w:t>
      </w:r>
    </w:p>
    <w:p w:rsidR="00E03D72" w:rsidRDefault="00052157">
      <w:pPr>
        <w:keepNext/>
        <w:spacing w:after="240" w:line="240" w:lineRule="auto"/>
        <w:ind w:left="567" w:hanging="567"/>
        <w:jc w:val="both"/>
        <w:outlineLvl w:val="1"/>
        <w:rPr>
          <w:rFonts w:ascii="Times New Roman" w:eastAsia="Times New Roman" w:hAnsi="Times New Roman"/>
          <w:b/>
          <w:smallCaps/>
          <w:noProof/>
          <w:sz w:val="24"/>
          <w:szCs w:val="24"/>
        </w:rPr>
      </w:pPr>
      <w:r>
        <w:rPr>
          <w:rFonts w:ascii="Times New Roman" w:eastAsia="Times New Roman" w:hAnsi="Times New Roman"/>
          <w:b/>
          <w:smallCaps/>
          <w:noProof/>
          <w:sz w:val="24"/>
          <w:szCs w:val="24"/>
        </w:rPr>
        <w:t>5.</w:t>
      </w:r>
      <w:r>
        <w:rPr>
          <w:rFonts w:ascii="Times New Roman" w:eastAsia="Times New Roman" w:hAnsi="Times New Roman"/>
          <w:b/>
          <w:smallCaps/>
          <w:noProof/>
          <w:sz w:val="24"/>
          <w:szCs w:val="24"/>
        </w:rPr>
        <w:tab/>
        <w:t>Conclusions and next steps</w:t>
      </w:r>
    </w:p>
    <w:p w:rsidR="00E03D72" w:rsidRDefault="00052157">
      <w:pPr>
        <w:spacing w:after="240"/>
        <w:jc w:val="both"/>
        <w:rPr>
          <w:rFonts w:ascii="Times New Roman" w:eastAsia="Times New Roman" w:hAnsi="Times New Roman"/>
          <w:noProof/>
          <w:sz w:val="24"/>
          <w:szCs w:val="24"/>
        </w:rPr>
      </w:pPr>
      <w:r>
        <w:rPr>
          <w:rFonts w:ascii="Times New Roman" w:eastAsia="Times New Roman" w:hAnsi="Times New Roman"/>
          <w:noProof/>
          <w:sz w:val="24"/>
          <w:szCs w:val="24"/>
        </w:rPr>
        <w:t>In the light of the limited experience of application of the Regulation gained to date, the Commission considers there to be no justification for a</w:t>
      </w:r>
      <w:r>
        <w:rPr>
          <w:rFonts w:ascii="Times New Roman" w:eastAsia="Times New Roman" w:hAnsi="Times New Roman"/>
          <w:noProof/>
          <w:sz w:val="24"/>
          <w:szCs w:val="24"/>
        </w:rPr>
        <w:t>mending it.</w:t>
      </w:r>
    </w:p>
    <w:p w:rsidR="00E03D72" w:rsidRDefault="00052157">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stakeholders and the NEBs agree that several of the obstacles that are preventing passengers from enjoying their rights or having them enforced can be removed by applying the current Regulation more effectively. The Commission is therefore </w:t>
      </w:r>
      <w:r>
        <w:rPr>
          <w:rFonts w:ascii="Times New Roman" w:eastAsia="Times New Roman" w:hAnsi="Times New Roman"/>
          <w:noProof/>
          <w:sz w:val="24"/>
          <w:szCs w:val="24"/>
        </w:rPr>
        <w:t>taking action and recommending to stakeholders and NEBs as follows:</w:t>
      </w:r>
    </w:p>
    <w:p w:rsidR="00E03D72" w:rsidRDefault="00052157">
      <w:pPr>
        <w:pStyle w:val="ListParagraph"/>
        <w:numPr>
          <w:ilvl w:val="0"/>
          <w:numId w:val="43"/>
        </w:numPr>
        <w:spacing w:after="120"/>
        <w:ind w:left="567" w:hanging="567"/>
        <w:contextualSpacing w:val="0"/>
        <w:jc w:val="both"/>
        <w:rPr>
          <w:noProof/>
        </w:rPr>
      </w:pPr>
      <w:r>
        <w:rPr>
          <w:noProof/>
        </w:rPr>
        <w:lastRenderedPageBreak/>
        <w:t xml:space="preserve">The Commission organises its third information campaign between the spring of 2016 and the end of 2017 to raise passengers’ awareness of their rights, focusing on social media. It invites </w:t>
      </w:r>
      <w:r>
        <w:rPr>
          <w:noProof/>
        </w:rPr>
        <w:t>NEBs, the industry and passenger rights organisations to combine their efforts and to launch similar campaigns at their level.</w:t>
      </w:r>
    </w:p>
    <w:p w:rsidR="00E03D72" w:rsidRDefault="00052157">
      <w:pPr>
        <w:pStyle w:val="ListParagraph"/>
        <w:numPr>
          <w:ilvl w:val="0"/>
          <w:numId w:val="43"/>
        </w:numPr>
        <w:spacing w:after="120"/>
        <w:ind w:left="567" w:hanging="567"/>
        <w:contextualSpacing w:val="0"/>
        <w:jc w:val="both"/>
        <w:rPr>
          <w:noProof/>
        </w:rPr>
      </w:pPr>
      <w:r>
        <w:rPr>
          <w:noProof/>
        </w:rPr>
        <w:t xml:space="preserve">NEBs are encouraged to carry out inspections of buses, coaches and terminals, </w:t>
      </w:r>
      <w:r>
        <w:rPr>
          <w:i/>
          <w:noProof/>
        </w:rPr>
        <w:t>inter alia</w:t>
      </w:r>
      <w:r>
        <w:rPr>
          <w:noProof/>
        </w:rPr>
        <w:t xml:space="preserve"> to verify how the Regulation is being ap</w:t>
      </w:r>
      <w:r>
        <w:rPr>
          <w:noProof/>
        </w:rPr>
        <w:t>plied in practice and to educate operators about their obligations under the Regulation. NEBs are also encouraged to check carriers’ homepages to ensure that they contain information on passenger rights and that general contract terms comply with the Regul</w:t>
      </w:r>
      <w:r>
        <w:rPr>
          <w:noProof/>
        </w:rPr>
        <w:t>ation.</w:t>
      </w:r>
    </w:p>
    <w:p w:rsidR="00E03D72" w:rsidRDefault="00052157">
      <w:pPr>
        <w:pStyle w:val="ListParagraph"/>
        <w:numPr>
          <w:ilvl w:val="0"/>
          <w:numId w:val="43"/>
        </w:numPr>
        <w:spacing w:after="120"/>
        <w:ind w:left="567" w:hanging="567"/>
        <w:contextualSpacing w:val="0"/>
        <w:jc w:val="both"/>
        <w:rPr>
          <w:noProof/>
        </w:rPr>
      </w:pPr>
      <w:r>
        <w:rPr>
          <w:noProof/>
        </w:rPr>
        <w:t>Member States that do not currently offer an alternative dispute resolution mechanism for passenger rights are encouraged to put such a mechanism in place, in accordance with Directive 2013/11/EU</w:t>
      </w:r>
      <w:r>
        <w:rPr>
          <w:rStyle w:val="FootnoteReference"/>
          <w:noProof/>
        </w:rPr>
        <w:footnoteReference w:id="32"/>
      </w:r>
      <w:r>
        <w:rPr>
          <w:noProof/>
        </w:rPr>
        <w:t>, so as to give passengers quicker and less expensive</w:t>
      </w:r>
      <w:r>
        <w:rPr>
          <w:noProof/>
        </w:rPr>
        <w:t xml:space="preserve"> means to seek redress.</w:t>
      </w:r>
    </w:p>
    <w:p w:rsidR="00E03D72" w:rsidRDefault="00052157">
      <w:pPr>
        <w:pStyle w:val="ListParagraph"/>
        <w:numPr>
          <w:ilvl w:val="0"/>
          <w:numId w:val="43"/>
        </w:numPr>
        <w:spacing w:after="120"/>
        <w:ind w:left="567" w:hanging="567"/>
        <w:contextualSpacing w:val="0"/>
        <w:jc w:val="both"/>
        <w:rPr>
          <w:noProof/>
        </w:rPr>
      </w:pPr>
      <w:r>
        <w:rPr>
          <w:noProof/>
        </w:rPr>
        <w:t>The Commission will continue to organise regular meetings with NEBs and representative bodies, with a view to reaching a common understanding on the interpretation and implementation of the Regulation, and to promoting cooperation a</w:t>
      </w:r>
      <w:r>
        <w:rPr>
          <w:noProof/>
        </w:rPr>
        <w:t>nd the sharing of experiences (relating to both difficulties encountered and good practice).</w:t>
      </w:r>
    </w:p>
    <w:p w:rsidR="00E03D72" w:rsidRDefault="00052157">
      <w:pPr>
        <w:pStyle w:val="ListParagraph"/>
        <w:numPr>
          <w:ilvl w:val="0"/>
          <w:numId w:val="43"/>
        </w:numPr>
        <w:spacing w:after="120"/>
        <w:ind w:left="567" w:hanging="567"/>
        <w:contextualSpacing w:val="0"/>
        <w:jc w:val="both"/>
        <w:rPr>
          <w:noProof/>
        </w:rPr>
      </w:pPr>
      <w:r>
        <w:rPr>
          <w:noProof/>
        </w:rPr>
        <w:t>The Commission will, if the need arises, publish general interpretative guidelines to accompany the Regulation, in order to clarify the meaning of certain provisio</w:t>
      </w:r>
      <w:r>
        <w:rPr>
          <w:noProof/>
        </w:rPr>
        <w:t>ns (as it has done in the past for other transport modes), and/or good practice documents on specific issues (e.g. how to respond better to the specific needs of people with disabilities or reduced mobility).</w:t>
      </w:r>
    </w:p>
    <w:p w:rsidR="00E03D72" w:rsidRDefault="00052157">
      <w:pPr>
        <w:pStyle w:val="ListParagraph"/>
        <w:numPr>
          <w:ilvl w:val="0"/>
          <w:numId w:val="43"/>
        </w:numPr>
        <w:spacing w:after="120"/>
        <w:ind w:left="567" w:hanging="567"/>
        <w:contextualSpacing w:val="0"/>
        <w:jc w:val="both"/>
        <w:rPr>
          <w:noProof/>
        </w:rPr>
      </w:pPr>
      <w:r>
        <w:rPr>
          <w:noProof/>
        </w:rPr>
        <w:t>The Commission is collecting information on loc</w:t>
      </w:r>
      <w:r>
        <w:rPr>
          <w:noProof/>
        </w:rPr>
        <w:t>al and national good practice for improving the accessibility of bus and coach transport for passengers with disabilities or reduced mobility. It will present these to NEBs and representative bodies at their regular meetings. It is also considering publish</w:t>
      </w:r>
      <w:r>
        <w:rPr>
          <w:noProof/>
        </w:rPr>
        <w:t>ing information on good practices related to the transport of passengers with disabilities or reduced mobility in all modes of transport.</w:t>
      </w:r>
    </w:p>
    <w:p w:rsidR="00E03D72" w:rsidRDefault="00052157">
      <w:pPr>
        <w:pStyle w:val="ListParagraph"/>
        <w:numPr>
          <w:ilvl w:val="0"/>
          <w:numId w:val="43"/>
        </w:numPr>
        <w:spacing w:after="120"/>
        <w:ind w:left="567" w:hanging="567"/>
        <w:contextualSpacing w:val="0"/>
        <w:jc w:val="both"/>
        <w:rPr>
          <w:noProof/>
        </w:rPr>
      </w:pPr>
      <w:r>
        <w:rPr>
          <w:noProof/>
        </w:rPr>
        <w:t xml:space="preserve">The Commission encourages national and local authorities and private investors to ensure multimodal connection of bus </w:t>
      </w:r>
      <w:r>
        <w:rPr>
          <w:noProof/>
        </w:rPr>
        <w:t>and coaches stations and terminals to other modes,  notably to railvays and to regional and local transport in urban nodes, in line with the objectives of the TEN-T Regulation</w:t>
      </w:r>
      <w:r>
        <w:rPr>
          <w:rStyle w:val="FootnoteReference"/>
          <w:noProof/>
        </w:rPr>
        <w:footnoteReference w:id="33"/>
      </w:r>
      <w:r>
        <w:rPr>
          <w:noProof/>
        </w:rPr>
        <w:t xml:space="preserve">and to refurbish the existing bus and coach terminals or build new state-of-art </w:t>
      </w:r>
      <w:r>
        <w:rPr>
          <w:noProof/>
        </w:rPr>
        <w:t>terminals which are also fully accessible for persons with disability or reduced mobility. Such actions might receive EU support from the funding instrument entitled Connecting Europe Facility</w:t>
      </w:r>
      <w:r>
        <w:rPr>
          <w:rStyle w:val="FootnoteReference"/>
          <w:noProof/>
        </w:rPr>
        <w:footnoteReference w:id="34"/>
      </w:r>
      <w:r>
        <w:rPr>
          <w:noProof/>
        </w:rPr>
        <w:t xml:space="preserve"> if the terminal in question is located at the urban node of th</w:t>
      </w:r>
      <w:r>
        <w:rPr>
          <w:noProof/>
        </w:rPr>
        <w:t>e TEN-T network, or otherwise from the European Structural and Investment Funds which also support the development of collective transport.</w:t>
      </w:r>
    </w:p>
    <w:p w:rsidR="00E03D72" w:rsidRDefault="00052157">
      <w:pPr>
        <w:pStyle w:val="ListParagraph"/>
        <w:numPr>
          <w:ilvl w:val="0"/>
          <w:numId w:val="43"/>
        </w:numPr>
        <w:spacing w:after="120"/>
        <w:ind w:left="567" w:hanging="567"/>
        <w:contextualSpacing w:val="0"/>
        <w:jc w:val="both"/>
        <w:rPr>
          <w:noProof/>
        </w:rPr>
      </w:pPr>
      <w:r>
        <w:rPr>
          <w:noProof/>
        </w:rPr>
        <w:lastRenderedPageBreak/>
        <w:t>The Commission encourages Member States that currently grant exemptions from the Regulation</w:t>
      </w:r>
      <w:r>
        <w:rPr>
          <w:rStyle w:val="FootnoteReference"/>
          <w:noProof/>
        </w:rPr>
        <w:footnoteReference w:id="35"/>
      </w:r>
      <w:r>
        <w:rPr>
          <w:noProof/>
        </w:rPr>
        <w:t xml:space="preserve"> or parts of it to revie</w:t>
      </w:r>
      <w:r>
        <w:rPr>
          <w:noProof/>
        </w:rPr>
        <w:t>w whether, in the light of current experience, it is necessary to continue these exemptions.</w:t>
      </w:r>
    </w:p>
    <w:sectPr w:rsidR="00E03D7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157" w:rsidRDefault="00052157">
      <w:pPr>
        <w:spacing w:after="0" w:line="240" w:lineRule="auto"/>
      </w:pPr>
      <w:r>
        <w:separator/>
      </w:r>
    </w:p>
  </w:endnote>
  <w:endnote w:type="continuationSeparator" w:id="0">
    <w:p w:rsidR="00052157" w:rsidRDefault="00052157">
      <w:pPr>
        <w:spacing w:after="0" w:line="240" w:lineRule="auto"/>
      </w:pPr>
      <w:r>
        <w:continuationSeparator/>
      </w:r>
    </w:p>
  </w:endnote>
  <w:endnote w:type="continuationNotice" w:id="1">
    <w:p w:rsidR="00052157" w:rsidRDefault="000521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72" w:rsidRDefault="00E03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72" w:rsidRDefault="00052157">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72" w:rsidRDefault="00E03D7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72" w:rsidRDefault="00E03D7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72" w:rsidRDefault="00052157">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7B3301">
      <w:rPr>
        <w:rFonts w:ascii="Times New Roman" w:hAnsi="Times New Roman"/>
        <w:noProof/>
        <w:sz w:val="24"/>
        <w:szCs w:val="24"/>
      </w:rPr>
      <w:t>13</w:t>
    </w:r>
    <w:r>
      <w:rPr>
        <w:rFonts w:ascii="Times New Roman" w:hAnsi="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72" w:rsidRDefault="00E03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157" w:rsidRDefault="00052157">
      <w:pPr>
        <w:spacing w:after="0" w:line="240" w:lineRule="auto"/>
      </w:pPr>
      <w:r>
        <w:separator/>
      </w:r>
    </w:p>
  </w:footnote>
  <w:footnote w:type="continuationSeparator" w:id="0">
    <w:p w:rsidR="00052157" w:rsidRDefault="00052157">
      <w:pPr>
        <w:spacing w:after="0" w:line="240" w:lineRule="auto"/>
      </w:pPr>
      <w:r>
        <w:continuationSeparator/>
      </w:r>
    </w:p>
  </w:footnote>
  <w:footnote w:type="continuationNotice" w:id="1">
    <w:p w:rsidR="00052157" w:rsidRDefault="00052157">
      <w:pPr>
        <w:spacing w:after="0" w:line="240" w:lineRule="auto"/>
      </w:pPr>
    </w:p>
  </w:footnote>
  <w:footnote w:id="2">
    <w:p w:rsidR="00E03D72" w:rsidRDefault="00052157">
      <w:pPr>
        <w:pStyle w:val="FootnoteText"/>
      </w:pPr>
      <w:r>
        <w:rPr>
          <w:rStyle w:val="FootnoteReference"/>
        </w:rPr>
        <w:footnoteRef/>
      </w:r>
      <w:r>
        <w:t xml:space="preserve"> </w:t>
      </w:r>
      <w:r>
        <w:tab/>
        <w:t xml:space="preserve">Regulation (EU) No 181/2011 of the European Parliament and of the Council of 16 February 2011 concerning the rights of </w:t>
      </w:r>
      <w:r>
        <w:t>passengers in bus and coach transport and amending Regulation (EC) No 2006/2004 (OJ L 55, 28.2.2011, p. 1).</w:t>
      </w:r>
    </w:p>
  </w:footnote>
  <w:footnote w:id="3">
    <w:p w:rsidR="00E03D72" w:rsidRDefault="00052157">
      <w:pPr>
        <w:pStyle w:val="FootnoteText"/>
      </w:pPr>
      <w:r>
        <w:rPr>
          <w:rStyle w:val="FootnoteReference"/>
        </w:rPr>
        <w:footnoteRef/>
      </w:r>
      <w:r>
        <w:t xml:space="preserve"> </w:t>
      </w:r>
      <w:r>
        <w:tab/>
        <w:t>National authorities designated by the Member States to enforce the Regulation were required to publish a report by 1 June 2015 on their enforcem</w:t>
      </w:r>
      <w:r>
        <w:t>ent of the Regulation over the previous two calendar years. Most authorities published their reports on their homepages.</w:t>
      </w:r>
    </w:p>
  </w:footnote>
  <w:footnote w:id="4">
    <w:p w:rsidR="00E03D72" w:rsidRDefault="00052157">
      <w:pPr>
        <w:pStyle w:val="FootnoteText"/>
        <w:rPr>
          <w:i/>
        </w:rPr>
      </w:pPr>
      <w:r>
        <w:rPr>
          <w:rStyle w:val="FootnoteReference"/>
        </w:rPr>
        <w:footnoteRef/>
      </w:r>
      <w:r>
        <w:t xml:space="preserve"> </w:t>
      </w:r>
      <w:r>
        <w:tab/>
        <w:t>The Commission invited organisations representing passengers (including those with disabilities), carriers and terminal operators at</w:t>
      </w:r>
      <w:r>
        <w:t xml:space="preserve"> EU level to send observations on the operation of the Regulation in writing and to attend a meeting held in Brussels on 1 March 2016. The following organisations responded to the invitation to send contributions: the Association of Pan-European Coach Term</w:t>
      </w:r>
      <w:r>
        <w:t>inals (APC), the European Alliance for Coach Tourism (ECTA), the European Disability Forum (EDF), the European Passengers’ Federation (EPF), the European Passenger Transport Operators (EPTO), the International Road Transport Union (IRU) and the Internation</w:t>
      </w:r>
      <w:r>
        <w:t>al Association of Public Transport (UITP). In addition, spontaneous contributions were received from a German passenger organisation, ProRail and a French coach company, Ouibus.</w:t>
      </w:r>
    </w:p>
  </w:footnote>
  <w:footnote w:id="5">
    <w:p w:rsidR="00E03D72" w:rsidRDefault="00052157">
      <w:pPr>
        <w:pStyle w:val="FootnoteText"/>
      </w:pPr>
      <w:r>
        <w:rPr>
          <w:rStyle w:val="FootnoteReference"/>
        </w:rPr>
        <w:footnoteRef/>
      </w:r>
      <w:r>
        <w:tab/>
        <w:t>http://ec.europa.eu/transport/modes/road/studies/doc/2016-04-passenger-trans</w:t>
      </w:r>
      <w:r>
        <w:t>port-by-coach-in-europe.pdf</w:t>
      </w:r>
    </w:p>
    <w:p w:rsidR="00E03D72" w:rsidRDefault="00E03D72">
      <w:pPr>
        <w:pStyle w:val="FootnoteText"/>
      </w:pPr>
    </w:p>
  </w:footnote>
  <w:footnote w:id="6">
    <w:p w:rsidR="00E03D72" w:rsidRDefault="00052157">
      <w:pPr>
        <w:pStyle w:val="FootnoteText"/>
      </w:pPr>
      <w:r>
        <w:rPr>
          <w:rStyle w:val="FootnoteReference"/>
        </w:rPr>
        <w:footnoteRef/>
      </w:r>
      <w:r>
        <w:tab/>
        <w:t xml:space="preserve">EU Transport in Figures — Statistical Pocketbook 2015. </w:t>
      </w:r>
    </w:p>
  </w:footnote>
  <w:footnote w:id="7">
    <w:p w:rsidR="00E03D72" w:rsidRDefault="00052157">
      <w:pPr>
        <w:pStyle w:val="FootnoteText"/>
      </w:pPr>
      <w:r>
        <w:rPr>
          <w:rStyle w:val="FootnoteReference"/>
        </w:rPr>
        <w:footnoteRef/>
      </w:r>
      <w:r>
        <w:tab/>
        <w:t>COM(2008) 817 final.</w:t>
      </w:r>
    </w:p>
  </w:footnote>
  <w:footnote w:id="8">
    <w:p w:rsidR="00E03D72" w:rsidRDefault="00052157">
      <w:pPr>
        <w:pStyle w:val="FootnoteText"/>
      </w:pPr>
      <w:r>
        <w:rPr>
          <w:rStyle w:val="FootnoteReference"/>
        </w:rPr>
        <w:footnoteRef/>
      </w:r>
      <w:r>
        <w:t xml:space="preserve"> </w:t>
      </w:r>
      <w:r>
        <w:tab/>
        <w:t>Following the liberalisation of the German market in 2013, the number of authorised long-distance regular coach services rose from 86 to 277 be</w:t>
      </w:r>
      <w:r>
        <w:t>tween December 2012 and January 2015. These services transported between 17 and 19 million passengers in 2014. The French domestic market was liberalised in August 2015. In the first 6 months following the change in regulation, long-distance coaches transp</w:t>
      </w:r>
      <w:r>
        <w:t xml:space="preserve">orted 1.5 million passengers between 168 destinations (in the whole of 2013, only 110 000 passengers travelled by long-distance domestic coaches, and there were only 68 destinations on offer). Source: Comprehensive Study on Passenger Transport by Coach in </w:t>
      </w:r>
      <w:r>
        <w:t>Europe (2016).</w:t>
      </w:r>
    </w:p>
  </w:footnote>
  <w:footnote w:id="9">
    <w:p w:rsidR="00E03D72" w:rsidRDefault="00052157">
      <w:pPr>
        <w:pStyle w:val="FootnoteText"/>
      </w:pPr>
      <w:r>
        <w:rPr>
          <w:rStyle w:val="FootnoteReference"/>
        </w:rPr>
        <w:footnoteRef/>
      </w:r>
      <w:r>
        <w:t xml:space="preserve"> </w:t>
      </w:r>
      <w:r>
        <w:tab/>
        <w:t>e.g. unlike other transport modes, long delays or the cancellation of a journey at arrival does not trigger compensation.</w:t>
      </w:r>
    </w:p>
  </w:footnote>
  <w:footnote w:id="10">
    <w:p w:rsidR="00E03D72" w:rsidRDefault="00052157">
      <w:pPr>
        <w:pStyle w:val="FootnoteText"/>
      </w:pPr>
      <w:r>
        <w:rPr>
          <w:rStyle w:val="FootnoteReference"/>
        </w:rPr>
        <w:footnoteRef/>
      </w:r>
      <w:r>
        <w:t xml:space="preserve"> </w:t>
      </w:r>
      <w:r>
        <w:tab/>
        <w:t>The 2013 National Travel Survey in the UK, the 2012 NTA National Household Travel Survey in Ireland, and a survey</w:t>
      </w:r>
      <w:r>
        <w:t xml:space="preserve"> conducted by IGES consultancy in Germany in 2013.</w:t>
      </w:r>
    </w:p>
  </w:footnote>
  <w:footnote w:id="11">
    <w:p w:rsidR="00E03D72" w:rsidRDefault="00052157">
      <w:pPr>
        <w:pStyle w:val="FootnoteText"/>
      </w:pPr>
      <w:r>
        <w:rPr>
          <w:rStyle w:val="FootnoteReference"/>
        </w:rPr>
        <w:footnoteRef/>
      </w:r>
      <w:r>
        <w:tab/>
        <w:t xml:space="preserve"> In addition, a limited number of provisions (the most important being on the compensation and assistance that carriers are required to provide in case of death, injury, loss or damage caused by road acc</w:t>
      </w:r>
      <w:r>
        <w:t>idents) also apply to ‘occasional services’, where the group of passengers is constituted on the initiative of the customer or the carrier.</w:t>
      </w:r>
    </w:p>
  </w:footnote>
  <w:footnote w:id="12">
    <w:p w:rsidR="00E03D72" w:rsidRDefault="00052157">
      <w:pPr>
        <w:pStyle w:val="FootnoteText"/>
      </w:pPr>
      <w:r>
        <w:rPr>
          <w:rStyle w:val="FootnoteReference"/>
        </w:rPr>
        <w:footnoteRef/>
      </w:r>
      <w:r>
        <w:tab/>
        <w:t xml:space="preserve"> http://ec.europa.eu/transport/themes/passengers/road/doc/exemptions-from-bus-coach-passengers-rights-and-obligati</w:t>
      </w:r>
      <w:r>
        <w:t>ons.pdf</w:t>
      </w:r>
    </w:p>
  </w:footnote>
  <w:footnote w:id="13">
    <w:p w:rsidR="00E03D72" w:rsidRDefault="00052157">
      <w:pPr>
        <w:pStyle w:val="FootnoteText"/>
      </w:pPr>
      <w:r>
        <w:rPr>
          <w:rStyle w:val="FootnoteReference"/>
          <w:color w:val="0D0D0D" w:themeColor="text1" w:themeTint="F2"/>
        </w:rPr>
        <w:footnoteRef/>
      </w:r>
      <w:r>
        <w:tab/>
        <w:t xml:space="preserve"> Directive (EU) No 2015/2302 of the European Parliament and of the Council of 25 November 2015 on package travel and linked travel arrangements, amending Regulation (EC) No 2006/2004 and Directive 2011/83/EU of the European Parliament and of the </w:t>
      </w:r>
      <w:r>
        <w:t>Council and repealing Council Directive 90/314/EEC (OJ L 326, 11.12.2015, p. 1). This Directive has to be transposed within the national laws of Member States by 1 January 2018. Until that date, Directive 90/314/EEC is applicable.</w:t>
      </w:r>
    </w:p>
  </w:footnote>
  <w:footnote w:id="14">
    <w:p w:rsidR="00E03D72" w:rsidRDefault="00052157">
      <w:pPr>
        <w:pStyle w:val="FootnoteText"/>
      </w:pPr>
      <w:r>
        <w:rPr>
          <w:rStyle w:val="FootnoteReference"/>
        </w:rPr>
        <w:footnoteRef/>
      </w:r>
      <w:r>
        <w:t xml:space="preserve"> Regulation (EC) No 661/</w:t>
      </w:r>
      <w:r>
        <w:t>2009 of the European Parliament and of the Council of 13 July 2009 concerning type-approval requirements for the general safety of motor vehicles, their trailers and systems, components and separate technical units intended therefor (OJ L 200, 31.7.2009, p</w:t>
      </w:r>
      <w:r>
        <w:t>. 1).</w:t>
      </w:r>
    </w:p>
  </w:footnote>
  <w:footnote w:id="15">
    <w:p w:rsidR="00E03D72" w:rsidRDefault="00052157">
      <w:pPr>
        <w:pStyle w:val="FootnoteText"/>
      </w:pPr>
      <w:r>
        <w:rPr>
          <w:rStyle w:val="FootnoteReference"/>
        </w:rPr>
        <w:footnoteRef/>
      </w:r>
      <w:r>
        <w:tab/>
        <w:t xml:space="preserve"> Regulation (EC) No 2006/2004 of the European Parliament and of the Council of 27 October 2004 on cooperation between national authorities responsible for the enforcement of consumer protection laws (OJ L 364, 9.12.2004, p. 1).</w:t>
      </w:r>
    </w:p>
  </w:footnote>
  <w:footnote w:id="16">
    <w:p w:rsidR="00E03D72" w:rsidRDefault="00052157">
      <w:pPr>
        <w:pStyle w:val="FootnoteText"/>
      </w:pPr>
      <w:r>
        <w:rPr>
          <w:rStyle w:val="FootnoteReference"/>
          <w:color w:val="0D0D0D" w:themeColor="text1" w:themeTint="F2"/>
        </w:rPr>
        <w:footnoteRef/>
      </w:r>
      <w:r>
        <w:tab/>
        <w:t xml:space="preserve"> </w:t>
      </w:r>
      <w:r>
        <w:rPr>
          <w:color w:val="0D0D0D" w:themeColor="text1" w:themeTint="F2"/>
        </w:rPr>
        <w:t>For a list of NEB</w:t>
      </w:r>
      <w:r>
        <w:rPr>
          <w:color w:val="0D0D0D" w:themeColor="text1" w:themeTint="F2"/>
        </w:rPr>
        <w:t>s responsible for enforcement of the Regulation, see:</w:t>
      </w:r>
      <w:r>
        <w:rPr>
          <w:color w:val="0D0D0D" w:themeColor="text1" w:themeTint="F2"/>
        </w:rPr>
        <w:tab/>
      </w:r>
      <w:r>
        <w:rPr>
          <w:color w:val="0D0D0D" w:themeColor="text1" w:themeTint="F2"/>
        </w:rPr>
        <w:br/>
      </w:r>
      <w:r>
        <w:t>http://ec.europa.eu/transport/themes/passengers/road/doc/2011_0181_national_enforcement_bodies.pdf</w:t>
      </w:r>
    </w:p>
  </w:footnote>
  <w:footnote w:id="17">
    <w:p w:rsidR="00E03D72" w:rsidRDefault="00052157">
      <w:pPr>
        <w:pStyle w:val="FootnoteText"/>
      </w:pPr>
      <w:r>
        <w:rPr>
          <w:rStyle w:val="FootnoteReference"/>
        </w:rPr>
        <w:footnoteRef/>
      </w:r>
      <w:r>
        <w:tab/>
        <w:t xml:space="preserve"> The figures are taken from the NEBs’ activity reports and show the situation for the period from 1 </w:t>
      </w:r>
      <w:r>
        <w:t>March 2013 to 1 January 2015. Where no figures are available (N/A), this indicates that there was no operational NEB in that Member State during the reporting period, that there was no penalty system in place to sanction operators that breached the Regulat</w:t>
      </w:r>
      <w:r>
        <w:t>ion, or that the NEB did not publish its activity report.</w:t>
      </w:r>
    </w:p>
    <w:p w:rsidR="00E03D72" w:rsidRDefault="00052157">
      <w:pPr>
        <w:pStyle w:val="FootnoteText"/>
      </w:pPr>
      <w:r>
        <w:tab/>
        <w:t>Not all NEB reports indicate the reasons for the complaints, and the above figures might include complaints that fall outside the scope of the Regulation.</w:t>
      </w:r>
    </w:p>
  </w:footnote>
  <w:footnote w:id="18">
    <w:p w:rsidR="00E03D72" w:rsidRDefault="00052157">
      <w:pPr>
        <w:pStyle w:val="FootnoteText"/>
      </w:pPr>
      <w:r>
        <w:rPr>
          <w:rStyle w:val="FootnoteReference"/>
        </w:rPr>
        <w:footnoteRef/>
      </w:r>
      <w:r>
        <w:tab/>
        <w:t xml:space="preserve"> e.g. the Bulgarian, German, Estonian, S</w:t>
      </w:r>
      <w:r>
        <w:t>panish, French, Lithuanian, Finnish and Swedish NEBs inspected carriers and terminals. In addition, the German NEB organised meetings with the operators before the Regulation became applicable to prepare them for its application and published leaflets on b</w:t>
      </w:r>
      <w:r>
        <w:t xml:space="preserve">us and coach passenger rights. The Finnish NEBs attended travel fairs to educate passengers about their rights. </w:t>
      </w:r>
    </w:p>
  </w:footnote>
  <w:footnote w:id="19">
    <w:p w:rsidR="00E03D72" w:rsidRDefault="00052157">
      <w:pPr>
        <w:pStyle w:val="FootnoteText"/>
      </w:pPr>
      <w:r>
        <w:rPr>
          <w:rStyle w:val="FootnoteReference"/>
        </w:rPr>
        <w:footnoteRef/>
      </w:r>
      <w:r>
        <w:t xml:space="preserve"> Although, in order to provide passengers with disabilities or reduced mobility with appropriate assistance, all staffed terminals with signif</w:t>
      </w:r>
      <w:r>
        <w:t>icant passenger flow should be designated as being able to assist passengers, Member States can comply with their obligation under the Regulation by designating only one terminal. Furthermore, they are not required to designate a terminal with a significan</w:t>
      </w:r>
      <w:r>
        <w:t xml:space="preserve">t number of passengers departing or arriving.    </w:t>
      </w:r>
    </w:p>
  </w:footnote>
  <w:footnote w:id="20">
    <w:p w:rsidR="00E03D72" w:rsidRDefault="00052157">
      <w:pPr>
        <w:pStyle w:val="FootnoteText"/>
      </w:pPr>
      <w:r>
        <w:rPr>
          <w:rStyle w:val="FootnoteReference"/>
        </w:rPr>
        <w:footnoteRef/>
      </w:r>
      <w:r>
        <w:t xml:space="preserve"> For the definition of terminals, see Article 3(m) of the Regulation.</w:t>
      </w:r>
    </w:p>
  </w:footnote>
  <w:footnote w:id="21">
    <w:p w:rsidR="00E03D72" w:rsidRDefault="00052157">
      <w:pPr>
        <w:pStyle w:val="FootnoteText"/>
      </w:pPr>
      <w:r>
        <w:rPr>
          <w:rStyle w:val="FootnoteReference"/>
        </w:rPr>
        <w:footnoteRef/>
      </w:r>
      <w:r>
        <w:t xml:space="preserve"> Please find the list of terminals designated by the Member States and notified to the Commission at:</w:t>
      </w:r>
    </w:p>
    <w:p w:rsidR="00E03D72" w:rsidRDefault="00052157">
      <w:pPr>
        <w:pStyle w:val="FootnoteText"/>
      </w:pPr>
      <w:r>
        <w:t xml:space="preserve"> http://ec.europa.eu/transport/themes/passengers/road/doc/designated_bus_terminals.pdf</w:t>
      </w:r>
    </w:p>
  </w:footnote>
  <w:footnote w:id="22">
    <w:p w:rsidR="00E03D72" w:rsidRDefault="00052157">
      <w:pPr>
        <w:pStyle w:val="FootnoteText"/>
      </w:pPr>
      <w:r>
        <w:rPr>
          <w:rStyle w:val="FootnoteReference"/>
        </w:rPr>
        <w:footnoteRef/>
      </w:r>
      <w:r>
        <w:t xml:space="preserve"> See footnote 3. </w:t>
      </w:r>
    </w:p>
  </w:footnote>
  <w:footnote w:id="23">
    <w:p w:rsidR="00E03D72" w:rsidRDefault="00052157">
      <w:pPr>
        <w:pStyle w:val="FootnoteText"/>
      </w:pPr>
      <w:r>
        <w:rPr>
          <w:rStyle w:val="FootnoteReference"/>
        </w:rPr>
        <w:footnoteRef/>
      </w:r>
      <w:r>
        <w:t xml:space="preserve"> France and Germany will require operators to use only coaches that are able to carry passengers with disabilities by 2018, Spain and the UK by 2020.</w:t>
      </w:r>
      <w:r>
        <w:t xml:space="preserve"> Source: Comprehensive Study on Passenger Transport by Coach in Europe (2016).</w:t>
      </w:r>
    </w:p>
  </w:footnote>
  <w:footnote w:id="24">
    <w:p w:rsidR="00E03D72" w:rsidRDefault="00052157">
      <w:pPr>
        <w:pStyle w:val="FootnoteText"/>
      </w:pPr>
      <w:r>
        <w:rPr>
          <w:rStyle w:val="FootnoteReference"/>
        </w:rPr>
        <w:footnoteRef/>
      </w:r>
      <w:r>
        <w:t xml:space="preserve"> Among others, the public transport company in Wallonia (Belgium), the Société Régionale Wallonne du Transport, has been carrying out an audit of the accessibility of its bus lines since 2013, with the help of local organisations representing people with d</w:t>
      </w:r>
      <w:r>
        <w:t xml:space="preserve">isabilities, and the owner of the Riga International Coach Terminal worked with the disability organisation Apeirons to make the terminal fully accessible for passengers with disabilities or reduced mobility. </w:t>
      </w:r>
    </w:p>
  </w:footnote>
  <w:footnote w:id="25">
    <w:p w:rsidR="00E03D72" w:rsidRDefault="00052157">
      <w:pPr>
        <w:pStyle w:val="FootnoteText"/>
      </w:pPr>
      <w:r>
        <w:rPr>
          <w:rStyle w:val="FootnoteReference"/>
        </w:rPr>
        <w:footnoteRef/>
      </w:r>
      <w:r>
        <w:t xml:space="preserve"> See Section 2 of this report.</w:t>
      </w:r>
    </w:p>
  </w:footnote>
  <w:footnote w:id="26">
    <w:p w:rsidR="00E03D72" w:rsidRDefault="00052157">
      <w:pPr>
        <w:pStyle w:val="FootnoteText"/>
      </w:pPr>
      <w:r>
        <w:rPr>
          <w:rStyle w:val="FootnoteReference"/>
        </w:rPr>
        <w:footnoteRef/>
      </w:r>
      <w:r>
        <w:t xml:space="preserve"> See Section </w:t>
      </w:r>
      <w:r>
        <w:t>2 above on the use of exemptions by Member States.</w:t>
      </w:r>
    </w:p>
  </w:footnote>
  <w:footnote w:id="27">
    <w:p w:rsidR="00E03D72" w:rsidRDefault="00052157">
      <w:pPr>
        <w:pStyle w:val="FootnoteText"/>
      </w:pPr>
      <w:r>
        <w:rPr>
          <w:rStyle w:val="FootnoteReference"/>
        </w:rPr>
        <w:footnoteRef/>
      </w:r>
      <w:r>
        <w:t xml:space="preserve"> Some NEB reports indicate the reasons for complaints. In addition, Europe Direct Contact Centre (EDCC), a service financed by the Commission which provides information on EU law free of charge to the gen</w:t>
      </w:r>
      <w:r>
        <w:t>eral public and businesses, indicated that over 80 % of the 99 queries they received since the date on which the Regulation became applicable relate to passenger rights in the event of delay or cancellation.</w:t>
      </w:r>
      <w:r>
        <w:rPr>
          <w:highlight w:val="yellow"/>
        </w:rPr>
        <w:t xml:space="preserve"> </w:t>
      </w:r>
    </w:p>
  </w:footnote>
  <w:footnote w:id="28">
    <w:p w:rsidR="00E03D72" w:rsidRDefault="00052157">
      <w:pPr>
        <w:pStyle w:val="FootnoteText"/>
      </w:pPr>
      <w:r>
        <w:rPr>
          <w:rStyle w:val="FootnoteReference"/>
        </w:rPr>
        <w:footnoteRef/>
      </w:r>
      <w:r>
        <w:t xml:space="preserve"> e.g. if a passenger’s luggage was lost or sto</w:t>
      </w:r>
      <w:r>
        <w:t>len during the journey, or a passenger could not sit in the seat     he/she had reserved.</w:t>
      </w:r>
    </w:p>
  </w:footnote>
  <w:footnote w:id="29">
    <w:p w:rsidR="00E03D72" w:rsidRDefault="00052157">
      <w:pPr>
        <w:pStyle w:val="FootnoteText"/>
      </w:pPr>
      <w:r>
        <w:rPr>
          <w:rStyle w:val="FootnoteReference"/>
        </w:rPr>
        <w:footnoteRef/>
      </w:r>
      <w:r>
        <w:t xml:space="preserve"> According to Directive 2013/11/EU of the European Parliament and of the Council of 21 May 2013 on alternative dispute resolution for consumer disputes (OJ L 165, 18</w:t>
      </w:r>
      <w:r>
        <w:t>.6.2013, p. 63) consumers resident in the EU should have access to alternative dispute resolution procedures for contractual disputes with EU-established traders, including those in the transport sector.</w:t>
      </w:r>
    </w:p>
  </w:footnote>
  <w:footnote w:id="30">
    <w:p w:rsidR="00E03D72" w:rsidRDefault="00052157">
      <w:pPr>
        <w:pStyle w:val="FootnoteText"/>
      </w:pPr>
      <w:r>
        <w:rPr>
          <w:rStyle w:val="FootnoteReference"/>
        </w:rPr>
        <w:footnoteRef/>
      </w:r>
      <w:r>
        <w:t xml:space="preserve"> Reasoned opinions were sent to Austria, Greece, It</w:t>
      </w:r>
      <w:r>
        <w:t>aly, Luxembourg and Portugal and letters of formal notice   were sent to seven other Member States.</w:t>
      </w:r>
    </w:p>
  </w:footnote>
  <w:footnote w:id="31">
    <w:p w:rsidR="00E03D72" w:rsidRDefault="00052157">
      <w:pPr>
        <w:pStyle w:val="FootnoteText"/>
      </w:pPr>
      <w:r>
        <w:rPr>
          <w:rStyle w:val="FootnoteReference"/>
        </w:rPr>
        <w:footnoteRef/>
      </w:r>
      <w:r>
        <w:t xml:space="preserve"> The Commission clarified, for example, that in cases where the scheduled distance of a service is 250 km or more, the provisions of the entire Regulation </w:t>
      </w:r>
      <w:r>
        <w:t>should apply to all passengers, even if they travel with the service on a journey which is shorter than 250 km.</w:t>
      </w:r>
    </w:p>
  </w:footnote>
  <w:footnote w:id="32">
    <w:p w:rsidR="00E03D72" w:rsidRDefault="00052157">
      <w:pPr>
        <w:pStyle w:val="FootnoteText"/>
      </w:pPr>
      <w:r>
        <w:rPr>
          <w:rStyle w:val="FootnoteReference"/>
        </w:rPr>
        <w:footnoteRef/>
      </w:r>
      <w:r>
        <w:t xml:space="preserve"> See footnote 28.</w:t>
      </w:r>
    </w:p>
  </w:footnote>
  <w:footnote w:id="33">
    <w:p w:rsidR="00E03D72" w:rsidRDefault="00052157">
      <w:pPr>
        <w:pStyle w:val="FootnoteText"/>
        <w:rPr>
          <w:lang w:val="hu-HU"/>
        </w:rPr>
      </w:pPr>
      <w:r>
        <w:rPr>
          <w:rStyle w:val="FootnoteReference"/>
        </w:rPr>
        <w:footnoteRef/>
      </w:r>
      <w:r>
        <w:t xml:space="preserve"> Regulation (EU) No 1315/2013 on Union guidelines for the development of the trans-European transport network (OJ L 348, 20.</w:t>
      </w:r>
      <w:r>
        <w:t>12.2013, p. 1).</w:t>
      </w:r>
    </w:p>
  </w:footnote>
  <w:footnote w:id="34">
    <w:p w:rsidR="00E03D72" w:rsidRDefault="00052157">
      <w:pPr>
        <w:pStyle w:val="FootnoteText"/>
        <w:rPr>
          <w:lang w:val="hu-HU"/>
        </w:rPr>
      </w:pPr>
      <w:r>
        <w:rPr>
          <w:rStyle w:val="FootnoteReference"/>
        </w:rPr>
        <w:footnoteRef/>
      </w:r>
      <w:r>
        <w:t xml:space="preserve"> See for the detailed conditions for the application to Connecting Europe Facility funds Regulation (EU) No 1315/2013 of the European Parliament and of the Council of 11 December 2013 on Union guidelines for the development of the trans-Eu</w:t>
      </w:r>
      <w:r>
        <w:t>ropean transport network and repealing Decision No 661/2010/EU (OJ L 348, 20.12.2013, p.1) and Regulation (EU) No 1316/2013 of the European Parliament and of the Council of 11 December 2013 establishing the Connecting Europe Facility (OJ L 348, 20.12.2013,</w:t>
      </w:r>
      <w:r>
        <w:t xml:space="preserve"> p. 129)</w:t>
      </w:r>
    </w:p>
  </w:footnote>
  <w:footnote w:id="35">
    <w:p w:rsidR="00E03D72" w:rsidRDefault="00052157">
      <w:pPr>
        <w:pStyle w:val="FootnoteText"/>
      </w:pPr>
      <w:r>
        <w:rPr>
          <w:rStyle w:val="FootnoteReference"/>
        </w:rPr>
        <w:footnoteRef/>
      </w:r>
      <w:r>
        <w:t xml:space="preserve"> See Section 2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72" w:rsidRDefault="00E03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72" w:rsidRDefault="00E03D7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72" w:rsidRDefault="00E03D7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72" w:rsidRDefault="00E03D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72" w:rsidRDefault="00E03D7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72" w:rsidRDefault="00E03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ECB"/>
    <w:multiLevelType w:val="hybridMultilevel"/>
    <w:tmpl w:val="5E565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313294B"/>
    <w:multiLevelType w:val="hybridMultilevel"/>
    <w:tmpl w:val="CD58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5B581E"/>
    <w:multiLevelType w:val="hybridMultilevel"/>
    <w:tmpl w:val="89E4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706058"/>
    <w:multiLevelType w:val="hybridMultilevel"/>
    <w:tmpl w:val="9BD6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510383"/>
    <w:multiLevelType w:val="hybridMultilevel"/>
    <w:tmpl w:val="C82854C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AF26D49"/>
    <w:multiLevelType w:val="hybridMultilevel"/>
    <w:tmpl w:val="A68275F6"/>
    <w:lvl w:ilvl="0" w:tplc="3DF2C38E">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6">
    <w:nsid w:val="1DEB7B4E"/>
    <w:multiLevelType w:val="hybridMultilevel"/>
    <w:tmpl w:val="88386784"/>
    <w:lvl w:ilvl="0" w:tplc="4BC05A7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857BEF"/>
    <w:multiLevelType w:val="hybridMultilevel"/>
    <w:tmpl w:val="8020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8B60FE"/>
    <w:multiLevelType w:val="hybridMultilevel"/>
    <w:tmpl w:val="57D0632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nsid w:val="26386E47"/>
    <w:multiLevelType w:val="hybridMultilevel"/>
    <w:tmpl w:val="8DBCE6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27EA6345"/>
    <w:multiLevelType w:val="hybridMultilevel"/>
    <w:tmpl w:val="A3768B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30975262"/>
    <w:multiLevelType w:val="hybridMultilevel"/>
    <w:tmpl w:val="7C02F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1194AB9"/>
    <w:multiLevelType w:val="hybridMultilevel"/>
    <w:tmpl w:val="E45A077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2A9420B"/>
    <w:multiLevelType w:val="hybridMultilevel"/>
    <w:tmpl w:val="0C56AB8C"/>
    <w:lvl w:ilvl="0" w:tplc="08090001">
      <w:start w:val="1"/>
      <w:numFmt w:val="bullet"/>
      <w:lvlText w:val=""/>
      <w:lvlJc w:val="left"/>
      <w:pPr>
        <w:tabs>
          <w:tab w:val="num" w:pos="1296"/>
        </w:tabs>
        <w:ind w:left="1296" w:hanging="567"/>
      </w:pPr>
      <w:rPr>
        <w:rFonts w:ascii="Symbol" w:hAnsi="Symbol" w:hint="default"/>
      </w:rPr>
    </w:lvl>
    <w:lvl w:ilvl="1" w:tplc="08090003">
      <w:numFmt w:val="bullet"/>
      <w:lvlText w:val="-"/>
      <w:lvlJc w:val="left"/>
      <w:pPr>
        <w:tabs>
          <w:tab w:val="num" w:pos="2169"/>
        </w:tabs>
        <w:ind w:left="2169" w:hanging="360"/>
      </w:pPr>
      <w:rPr>
        <w:rFonts w:ascii="Times New Roman" w:eastAsia="Times New Roman" w:hAnsi="Times New Roman" w:cs="Times New Roman" w:hint="default"/>
      </w:rPr>
    </w:lvl>
    <w:lvl w:ilvl="2" w:tplc="08090005">
      <w:start w:val="1"/>
      <w:numFmt w:val="bullet"/>
      <w:lvlText w:val=""/>
      <w:lvlJc w:val="left"/>
      <w:pPr>
        <w:tabs>
          <w:tab w:val="num" w:pos="2889"/>
        </w:tabs>
        <w:ind w:left="2889" w:hanging="360"/>
      </w:pPr>
      <w:rPr>
        <w:rFonts w:ascii="Wingdings" w:hAnsi="Wingdings" w:hint="default"/>
      </w:rPr>
    </w:lvl>
    <w:lvl w:ilvl="3" w:tplc="08090001">
      <w:start w:val="1"/>
      <w:numFmt w:val="bullet"/>
      <w:lvlText w:val=""/>
      <w:lvlJc w:val="left"/>
      <w:pPr>
        <w:tabs>
          <w:tab w:val="num" w:pos="3609"/>
        </w:tabs>
        <w:ind w:left="3609" w:hanging="360"/>
      </w:pPr>
      <w:rPr>
        <w:rFonts w:ascii="Symbol" w:hAnsi="Symbol" w:hint="default"/>
      </w:rPr>
    </w:lvl>
    <w:lvl w:ilvl="4" w:tplc="08090003">
      <w:start w:val="1"/>
      <w:numFmt w:val="bullet"/>
      <w:lvlText w:val="o"/>
      <w:lvlJc w:val="left"/>
      <w:pPr>
        <w:tabs>
          <w:tab w:val="num" w:pos="4329"/>
        </w:tabs>
        <w:ind w:left="4329" w:hanging="360"/>
      </w:pPr>
      <w:rPr>
        <w:rFonts w:ascii="Courier New" w:hAnsi="Courier New" w:cs="Courier New" w:hint="default"/>
      </w:rPr>
    </w:lvl>
    <w:lvl w:ilvl="5" w:tplc="08090005" w:tentative="1">
      <w:start w:val="1"/>
      <w:numFmt w:val="bullet"/>
      <w:lvlText w:val=""/>
      <w:lvlJc w:val="left"/>
      <w:pPr>
        <w:tabs>
          <w:tab w:val="num" w:pos="5049"/>
        </w:tabs>
        <w:ind w:left="5049" w:hanging="360"/>
      </w:pPr>
      <w:rPr>
        <w:rFonts w:ascii="Wingdings" w:hAnsi="Wingdings" w:hint="default"/>
      </w:rPr>
    </w:lvl>
    <w:lvl w:ilvl="6" w:tplc="08090001" w:tentative="1">
      <w:start w:val="1"/>
      <w:numFmt w:val="bullet"/>
      <w:lvlText w:val=""/>
      <w:lvlJc w:val="left"/>
      <w:pPr>
        <w:tabs>
          <w:tab w:val="num" w:pos="5769"/>
        </w:tabs>
        <w:ind w:left="5769" w:hanging="360"/>
      </w:pPr>
      <w:rPr>
        <w:rFonts w:ascii="Symbol" w:hAnsi="Symbol" w:hint="default"/>
      </w:rPr>
    </w:lvl>
    <w:lvl w:ilvl="7" w:tplc="08090003" w:tentative="1">
      <w:start w:val="1"/>
      <w:numFmt w:val="bullet"/>
      <w:lvlText w:val="o"/>
      <w:lvlJc w:val="left"/>
      <w:pPr>
        <w:tabs>
          <w:tab w:val="num" w:pos="6489"/>
        </w:tabs>
        <w:ind w:left="6489" w:hanging="360"/>
      </w:pPr>
      <w:rPr>
        <w:rFonts w:ascii="Courier New" w:hAnsi="Courier New" w:cs="Courier New" w:hint="default"/>
      </w:rPr>
    </w:lvl>
    <w:lvl w:ilvl="8" w:tplc="08090005" w:tentative="1">
      <w:start w:val="1"/>
      <w:numFmt w:val="bullet"/>
      <w:lvlText w:val=""/>
      <w:lvlJc w:val="left"/>
      <w:pPr>
        <w:tabs>
          <w:tab w:val="num" w:pos="7209"/>
        </w:tabs>
        <w:ind w:left="7209" w:hanging="360"/>
      </w:pPr>
      <w:rPr>
        <w:rFonts w:ascii="Wingdings" w:hAnsi="Wingdings" w:hint="default"/>
      </w:rPr>
    </w:lvl>
  </w:abstractNum>
  <w:abstractNum w:abstractNumId="14">
    <w:nsid w:val="338F246A"/>
    <w:multiLevelType w:val="hybridMultilevel"/>
    <w:tmpl w:val="4AF4F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972198B"/>
    <w:multiLevelType w:val="hybridMultilevel"/>
    <w:tmpl w:val="1A7E9D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AB609B"/>
    <w:multiLevelType w:val="hybridMultilevel"/>
    <w:tmpl w:val="ADDA2F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5B20AB"/>
    <w:multiLevelType w:val="hybridMultilevel"/>
    <w:tmpl w:val="5EAE94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9B6284"/>
    <w:multiLevelType w:val="hybridMultilevel"/>
    <w:tmpl w:val="FB2C6B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EB5F01"/>
    <w:multiLevelType w:val="hybridMultilevel"/>
    <w:tmpl w:val="2F3C84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nsid w:val="447B5BDD"/>
    <w:multiLevelType w:val="hybridMultilevel"/>
    <w:tmpl w:val="A9C69014"/>
    <w:lvl w:ilvl="0" w:tplc="08090001">
      <w:start w:val="1"/>
      <w:numFmt w:val="bullet"/>
      <w:lvlText w:val=""/>
      <w:lvlJc w:val="left"/>
      <w:pPr>
        <w:ind w:left="6120" w:hanging="360"/>
      </w:pPr>
      <w:rPr>
        <w:rFonts w:ascii="Symbol" w:hAnsi="Symbol" w:hint="default"/>
      </w:rPr>
    </w:lvl>
    <w:lvl w:ilvl="1" w:tplc="08090003">
      <w:start w:val="1"/>
      <w:numFmt w:val="bullet"/>
      <w:lvlText w:val="o"/>
      <w:lvlJc w:val="left"/>
      <w:pPr>
        <w:ind w:left="6840" w:hanging="360"/>
      </w:pPr>
      <w:rPr>
        <w:rFonts w:ascii="Courier New" w:hAnsi="Courier New" w:cs="Courier New" w:hint="default"/>
      </w:rPr>
    </w:lvl>
    <w:lvl w:ilvl="2" w:tplc="08090005">
      <w:start w:val="1"/>
      <w:numFmt w:val="bullet"/>
      <w:lvlText w:val=""/>
      <w:lvlJc w:val="left"/>
      <w:pPr>
        <w:ind w:left="7560" w:hanging="360"/>
      </w:pPr>
      <w:rPr>
        <w:rFonts w:ascii="Wingdings" w:hAnsi="Wingdings" w:hint="default"/>
      </w:rPr>
    </w:lvl>
    <w:lvl w:ilvl="3" w:tplc="08090001">
      <w:start w:val="1"/>
      <w:numFmt w:val="bullet"/>
      <w:lvlText w:val=""/>
      <w:lvlJc w:val="left"/>
      <w:pPr>
        <w:ind w:left="8280" w:hanging="360"/>
      </w:pPr>
      <w:rPr>
        <w:rFonts w:ascii="Symbol" w:hAnsi="Symbol" w:hint="default"/>
      </w:rPr>
    </w:lvl>
    <w:lvl w:ilvl="4" w:tplc="08090003">
      <w:start w:val="1"/>
      <w:numFmt w:val="bullet"/>
      <w:lvlText w:val="o"/>
      <w:lvlJc w:val="left"/>
      <w:pPr>
        <w:ind w:left="9000" w:hanging="360"/>
      </w:pPr>
      <w:rPr>
        <w:rFonts w:ascii="Courier New" w:hAnsi="Courier New" w:cs="Courier New" w:hint="default"/>
      </w:rPr>
    </w:lvl>
    <w:lvl w:ilvl="5" w:tplc="08090005">
      <w:start w:val="1"/>
      <w:numFmt w:val="bullet"/>
      <w:lvlText w:val=""/>
      <w:lvlJc w:val="left"/>
      <w:pPr>
        <w:ind w:left="9720" w:hanging="360"/>
      </w:pPr>
      <w:rPr>
        <w:rFonts w:ascii="Wingdings" w:hAnsi="Wingdings" w:hint="default"/>
      </w:rPr>
    </w:lvl>
    <w:lvl w:ilvl="6" w:tplc="08090001">
      <w:start w:val="1"/>
      <w:numFmt w:val="bullet"/>
      <w:lvlText w:val=""/>
      <w:lvlJc w:val="left"/>
      <w:pPr>
        <w:ind w:left="10440" w:hanging="360"/>
      </w:pPr>
      <w:rPr>
        <w:rFonts w:ascii="Symbol" w:hAnsi="Symbol" w:hint="default"/>
      </w:rPr>
    </w:lvl>
    <w:lvl w:ilvl="7" w:tplc="08090003">
      <w:start w:val="1"/>
      <w:numFmt w:val="bullet"/>
      <w:lvlText w:val="o"/>
      <w:lvlJc w:val="left"/>
      <w:pPr>
        <w:ind w:left="11160" w:hanging="360"/>
      </w:pPr>
      <w:rPr>
        <w:rFonts w:ascii="Courier New" w:hAnsi="Courier New" w:cs="Courier New" w:hint="default"/>
      </w:rPr>
    </w:lvl>
    <w:lvl w:ilvl="8" w:tplc="08090005">
      <w:start w:val="1"/>
      <w:numFmt w:val="bullet"/>
      <w:lvlText w:val=""/>
      <w:lvlJc w:val="left"/>
      <w:pPr>
        <w:ind w:left="11880" w:hanging="360"/>
      </w:pPr>
      <w:rPr>
        <w:rFonts w:ascii="Wingdings" w:hAnsi="Wingdings" w:hint="default"/>
      </w:rPr>
    </w:lvl>
  </w:abstractNum>
  <w:abstractNum w:abstractNumId="21">
    <w:nsid w:val="47B35768"/>
    <w:multiLevelType w:val="hybridMultilevel"/>
    <w:tmpl w:val="9D44D6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nsid w:val="48052000"/>
    <w:multiLevelType w:val="hybridMultilevel"/>
    <w:tmpl w:val="8E62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662A4C"/>
    <w:multiLevelType w:val="hybridMultilevel"/>
    <w:tmpl w:val="E6FE61B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16605BD"/>
    <w:multiLevelType w:val="hybridMultilevel"/>
    <w:tmpl w:val="A1EC48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52222296"/>
    <w:multiLevelType w:val="hybridMultilevel"/>
    <w:tmpl w:val="29E237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4E778F1"/>
    <w:multiLevelType w:val="hybridMultilevel"/>
    <w:tmpl w:val="7B3E6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50E54DD"/>
    <w:multiLevelType w:val="hybridMultilevel"/>
    <w:tmpl w:val="8D906510"/>
    <w:lvl w:ilvl="0" w:tplc="5B5A14A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576858"/>
    <w:multiLevelType w:val="hybridMultilevel"/>
    <w:tmpl w:val="9242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D421EF"/>
    <w:multiLevelType w:val="hybridMultilevel"/>
    <w:tmpl w:val="3B7C7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8218C4"/>
    <w:multiLevelType w:val="hybridMultilevel"/>
    <w:tmpl w:val="AB52E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5F488A"/>
    <w:multiLevelType w:val="hybridMultilevel"/>
    <w:tmpl w:val="F762FB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31C00DE"/>
    <w:multiLevelType w:val="hybridMultilevel"/>
    <w:tmpl w:val="0058A552"/>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FC7684"/>
    <w:multiLevelType w:val="hybridMultilevel"/>
    <w:tmpl w:val="4614C20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6E958AF"/>
    <w:multiLevelType w:val="hybridMultilevel"/>
    <w:tmpl w:val="E6FE61B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91C3133"/>
    <w:multiLevelType w:val="hybridMultilevel"/>
    <w:tmpl w:val="6A604DF0"/>
    <w:lvl w:ilvl="0" w:tplc="4E1C1862">
      <w:start w:val="1"/>
      <w:numFmt w:val="bullet"/>
      <w:lvlText w:val="•"/>
      <w:lvlJc w:val="left"/>
      <w:pPr>
        <w:tabs>
          <w:tab w:val="num" w:pos="720"/>
        </w:tabs>
        <w:ind w:left="720" w:hanging="360"/>
      </w:pPr>
      <w:rPr>
        <w:rFonts w:ascii="Times New Roman" w:hAnsi="Times New Roman" w:hint="default"/>
      </w:rPr>
    </w:lvl>
    <w:lvl w:ilvl="1" w:tplc="BF466B1E">
      <w:start w:val="1"/>
      <w:numFmt w:val="bullet"/>
      <w:lvlText w:val="•"/>
      <w:lvlJc w:val="left"/>
      <w:pPr>
        <w:tabs>
          <w:tab w:val="num" w:pos="1440"/>
        </w:tabs>
        <w:ind w:left="1440" w:hanging="360"/>
      </w:pPr>
      <w:rPr>
        <w:rFonts w:ascii="Times New Roman" w:hAnsi="Times New Roman" w:hint="default"/>
      </w:rPr>
    </w:lvl>
    <w:lvl w:ilvl="2" w:tplc="E9027290" w:tentative="1">
      <w:start w:val="1"/>
      <w:numFmt w:val="bullet"/>
      <w:lvlText w:val="•"/>
      <w:lvlJc w:val="left"/>
      <w:pPr>
        <w:tabs>
          <w:tab w:val="num" w:pos="2160"/>
        </w:tabs>
        <w:ind w:left="2160" w:hanging="360"/>
      </w:pPr>
      <w:rPr>
        <w:rFonts w:ascii="Times New Roman" w:hAnsi="Times New Roman" w:hint="default"/>
      </w:rPr>
    </w:lvl>
    <w:lvl w:ilvl="3" w:tplc="8AD6C3CA" w:tentative="1">
      <w:start w:val="1"/>
      <w:numFmt w:val="bullet"/>
      <w:lvlText w:val="•"/>
      <w:lvlJc w:val="left"/>
      <w:pPr>
        <w:tabs>
          <w:tab w:val="num" w:pos="2880"/>
        </w:tabs>
        <w:ind w:left="2880" w:hanging="360"/>
      </w:pPr>
      <w:rPr>
        <w:rFonts w:ascii="Times New Roman" w:hAnsi="Times New Roman" w:hint="default"/>
      </w:rPr>
    </w:lvl>
    <w:lvl w:ilvl="4" w:tplc="A91C3910" w:tentative="1">
      <w:start w:val="1"/>
      <w:numFmt w:val="bullet"/>
      <w:lvlText w:val="•"/>
      <w:lvlJc w:val="left"/>
      <w:pPr>
        <w:tabs>
          <w:tab w:val="num" w:pos="3600"/>
        </w:tabs>
        <w:ind w:left="3600" w:hanging="360"/>
      </w:pPr>
      <w:rPr>
        <w:rFonts w:ascii="Times New Roman" w:hAnsi="Times New Roman" w:hint="default"/>
      </w:rPr>
    </w:lvl>
    <w:lvl w:ilvl="5" w:tplc="7F183638" w:tentative="1">
      <w:start w:val="1"/>
      <w:numFmt w:val="bullet"/>
      <w:lvlText w:val="•"/>
      <w:lvlJc w:val="left"/>
      <w:pPr>
        <w:tabs>
          <w:tab w:val="num" w:pos="4320"/>
        </w:tabs>
        <w:ind w:left="4320" w:hanging="360"/>
      </w:pPr>
      <w:rPr>
        <w:rFonts w:ascii="Times New Roman" w:hAnsi="Times New Roman" w:hint="default"/>
      </w:rPr>
    </w:lvl>
    <w:lvl w:ilvl="6" w:tplc="6F5C989A" w:tentative="1">
      <w:start w:val="1"/>
      <w:numFmt w:val="bullet"/>
      <w:lvlText w:val="•"/>
      <w:lvlJc w:val="left"/>
      <w:pPr>
        <w:tabs>
          <w:tab w:val="num" w:pos="5040"/>
        </w:tabs>
        <w:ind w:left="5040" w:hanging="360"/>
      </w:pPr>
      <w:rPr>
        <w:rFonts w:ascii="Times New Roman" w:hAnsi="Times New Roman" w:hint="default"/>
      </w:rPr>
    </w:lvl>
    <w:lvl w:ilvl="7" w:tplc="BCC0BA18" w:tentative="1">
      <w:start w:val="1"/>
      <w:numFmt w:val="bullet"/>
      <w:lvlText w:val="•"/>
      <w:lvlJc w:val="left"/>
      <w:pPr>
        <w:tabs>
          <w:tab w:val="num" w:pos="5760"/>
        </w:tabs>
        <w:ind w:left="5760" w:hanging="360"/>
      </w:pPr>
      <w:rPr>
        <w:rFonts w:ascii="Times New Roman" w:hAnsi="Times New Roman" w:hint="default"/>
      </w:rPr>
    </w:lvl>
    <w:lvl w:ilvl="8" w:tplc="CD4C64A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AC015EA"/>
    <w:multiLevelType w:val="hybridMultilevel"/>
    <w:tmpl w:val="CAF4917E"/>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8B7B5C"/>
    <w:multiLevelType w:val="hybridMultilevel"/>
    <w:tmpl w:val="ACD2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874D61"/>
    <w:multiLevelType w:val="hybridMultilevel"/>
    <w:tmpl w:val="B53E89F2"/>
    <w:lvl w:ilvl="0" w:tplc="3DF2C38E">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9">
    <w:nsid w:val="784539A0"/>
    <w:multiLevelType w:val="hybridMultilevel"/>
    <w:tmpl w:val="FE96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7C215A3E"/>
    <w:multiLevelType w:val="hybridMultilevel"/>
    <w:tmpl w:val="FD02E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EEE3E86"/>
    <w:multiLevelType w:val="hybridMultilevel"/>
    <w:tmpl w:val="CE4818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nsid w:val="7EF95F63"/>
    <w:multiLevelType w:val="hybridMultilevel"/>
    <w:tmpl w:val="CF044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0"/>
  </w:num>
  <w:num w:numId="4">
    <w:abstractNumId w:val="0"/>
  </w:num>
  <w:num w:numId="5">
    <w:abstractNumId w:val="11"/>
  </w:num>
  <w:num w:numId="6">
    <w:abstractNumId w:val="39"/>
  </w:num>
  <w:num w:numId="7">
    <w:abstractNumId w:val="33"/>
    <w:lvlOverride w:ilvl="0"/>
    <w:lvlOverride w:ilvl="1">
      <w:startOverride w:val="1"/>
    </w:lvlOverride>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2"/>
  </w:num>
  <w:num w:numId="11">
    <w:abstractNumId w:val="24"/>
  </w:num>
  <w:num w:numId="12">
    <w:abstractNumId w:val="9"/>
  </w:num>
  <w:num w:numId="13">
    <w:abstractNumId w:val="41"/>
  </w:num>
  <w:num w:numId="14">
    <w:abstractNumId w:val="21"/>
  </w:num>
  <w:num w:numId="15">
    <w:abstractNumId w:val="0"/>
  </w:num>
  <w:num w:numId="16">
    <w:abstractNumId w:val="8"/>
  </w:num>
  <w:num w:numId="17">
    <w:abstractNumId w:val="17"/>
  </w:num>
  <w:num w:numId="18">
    <w:abstractNumId w:val="13"/>
  </w:num>
  <w:num w:numId="19">
    <w:abstractNumId w:val="4"/>
  </w:num>
  <w:num w:numId="20">
    <w:abstractNumId w:val="18"/>
  </w:num>
  <w:num w:numId="21">
    <w:abstractNumId w:val="23"/>
  </w:num>
  <w:num w:numId="22">
    <w:abstractNumId w:val="31"/>
  </w:num>
  <w:num w:numId="23">
    <w:abstractNumId w:val="26"/>
  </w:num>
  <w:num w:numId="24">
    <w:abstractNumId w:val="34"/>
  </w:num>
  <w:num w:numId="25">
    <w:abstractNumId w:val="35"/>
  </w:num>
  <w:num w:numId="26">
    <w:abstractNumId w:val="12"/>
  </w:num>
  <w:num w:numId="27">
    <w:abstractNumId w:val="1"/>
  </w:num>
  <w:num w:numId="28">
    <w:abstractNumId w:val="28"/>
  </w:num>
  <w:num w:numId="29">
    <w:abstractNumId w:val="7"/>
  </w:num>
  <w:num w:numId="30">
    <w:abstractNumId w:val="2"/>
  </w:num>
  <w:num w:numId="31">
    <w:abstractNumId w:val="6"/>
  </w:num>
  <w:num w:numId="32">
    <w:abstractNumId w:val="29"/>
  </w:num>
  <w:num w:numId="33">
    <w:abstractNumId w:val="40"/>
  </w:num>
  <w:num w:numId="34">
    <w:abstractNumId w:val="16"/>
  </w:num>
  <w:num w:numId="35">
    <w:abstractNumId w:val="27"/>
  </w:num>
  <w:num w:numId="36">
    <w:abstractNumId w:val="37"/>
  </w:num>
  <w:num w:numId="37">
    <w:abstractNumId w:val="25"/>
  </w:num>
  <w:num w:numId="38">
    <w:abstractNumId w:val="22"/>
  </w:num>
  <w:num w:numId="39">
    <w:abstractNumId w:val="38"/>
  </w:num>
  <w:num w:numId="40">
    <w:abstractNumId w:val="36"/>
  </w:num>
  <w:num w:numId="41">
    <w:abstractNumId w:val="5"/>
  </w:num>
  <w:num w:numId="42">
    <w:abstractNumId w:val="32"/>
  </w:num>
  <w:num w:numId="43">
    <w:abstractNumId w:val="15"/>
  </w:num>
  <w:num w:numId="44">
    <w:abstractNumId w:val="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6242D43E4DD4853AED2307EAAF93685"/>
    <w:docVar w:name="LW_CROSSREFERENCE" w:val="&lt;UNUSED&gt;"/>
    <w:docVar w:name="LW_DocType" w:val="NORMAL"/>
    <w:docVar w:name="LW_EMISSION" w:val="27.9.2016"/>
    <w:docVar w:name="LW_EMISSION_ISODATE" w:val="2016-09-27"/>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619"/>
    <w:docVar w:name="LW_REF.INTERNE" w:val="&lt;UNUSED&gt;"/>
    <w:docVar w:name="LW_SOUS.TITRE.OBJ.CP" w:val="&lt;UNUSED&gt;"/>
    <w:docVar w:name="LW_SUPERTITRE" w:val="&lt;UNUSED&gt;"/>
    <w:docVar w:name="LW_TITRE.OBJ.CP" w:val="Report on the application of Regulation (EU) No 181/2011 concerning the rights of passengers in bus and coach transport and amending Regulation (EC) No 2006/2004"/>
    <w:docVar w:name="LW_TYPE.DOC.CP" w:val="REPORT FROM THE COMMISSION TO THE EUROPEAN PARLIAMENT AND THE COUNCIL"/>
    <w:docVar w:name="Stamp" w:val="\\dossiers.dgt.cec.eu.int\dossiers\MOVE\MOVE-2016-00780\MOVE-2016-00780-00-00-EN-REV-00.DOCX"/>
  </w:docVars>
  <w:rsids>
    <w:rsidRoot w:val="00E03D72"/>
    <w:rsid w:val="00052157"/>
    <w:rsid w:val="007B3301"/>
    <w:rsid w:val="00E03D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pPr>
      <w:spacing w:after="0" w:line="240" w:lineRule="auto"/>
    </w:pPr>
    <w:rPr>
      <w:szCs w:val="21"/>
    </w:rPr>
  </w:style>
  <w:style w:type="character" w:customStyle="1" w:styleId="PlainTextChar">
    <w:name w:val="Plain Text Char"/>
    <w:link w:val="PlainText"/>
    <w:uiPriority w:val="99"/>
    <w:semiHidden/>
    <w:rPr>
      <w:sz w:val="22"/>
      <w:szCs w:val="21"/>
      <w:lang w:eastAsia="en-US"/>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sz w:val="24"/>
      <w:szCs w:val="24"/>
      <w:lang w:eastAsia="en-GB"/>
    </w:rPr>
  </w:style>
  <w:style w:type="character" w:styleId="Hyperlink">
    <w:name w:val="Hyperlink"/>
    <w:uiPriority w:val="99"/>
    <w:unhideWhenUsed/>
    <w:rPr>
      <w:color w:val="0000FF"/>
      <w:u w:val="single"/>
    </w:rPr>
  </w:style>
  <w:style w:type="paragraph" w:customStyle="1" w:styleId="Briefingheading1">
    <w:name w:val="Briefing heading 1"/>
    <w:basedOn w:val="Normal"/>
    <w:pPr>
      <w:spacing w:after="120"/>
      <w:jc w:val="center"/>
    </w:pPr>
    <w:rPr>
      <w:rFonts w:ascii="Arial" w:hAnsi="Arial" w:cs="Arial"/>
      <w:b/>
    </w:rPr>
  </w:style>
  <w:style w:type="paragraph" w:styleId="FootnoteText">
    <w:name w:val="footnote text"/>
    <w:basedOn w:val="Normal"/>
    <w:autoRedefine/>
    <w:uiPriority w:val="99"/>
    <w:unhideWhenUsed/>
    <w:pPr>
      <w:spacing w:after="0"/>
      <w:ind w:left="142" w:hanging="142"/>
      <w:jc w:val="both"/>
    </w:pPr>
    <w:rPr>
      <w:rFonts w:ascii="Times New Roman" w:hAnsi="Times New Roman"/>
      <w:sz w:val="20"/>
      <w:szCs w:val="20"/>
    </w:rPr>
  </w:style>
  <w:style w:type="character" w:customStyle="1" w:styleId="FootnoteTextChar">
    <w:name w:val="Footnote Text Char"/>
    <w:uiPriority w:val="99"/>
    <w:rPr>
      <w:lang w:eastAsia="en-US"/>
    </w:rPr>
  </w:style>
  <w:style w:type="character" w:styleId="FootnoteReference">
    <w:name w:val="footnote reference"/>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2"/>
      <w:szCs w:val="22"/>
      <w:lang w:val="en-GB" w:eastAsia="en-US"/>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lang w:val="fr-BE"/>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lang w:val="fr-BE"/>
    </w:rPr>
  </w:style>
  <w:style w:type="character" w:customStyle="1" w:styleId="HeaderCoverPageChar">
    <w:name w:val="Header Cover Page Char"/>
    <w:link w:val="HeaderCoverPage"/>
    <w:rPr>
      <w:rFonts w:ascii="Times New Roman" w:hAnsi="Times New Roman"/>
      <w:sz w:val="24"/>
      <w:szCs w:val="22"/>
      <w:lang w:eastAsia="en-US"/>
    </w:r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paragraph" w:customStyle="1" w:styleId="CM4">
    <w:name w:val="CM4"/>
    <w:basedOn w:val="Normal"/>
    <w:next w:val="Normal"/>
    <w:uiPriority w:val="99"/>
    <w:pPr>
      <w:autoSpaceDE w:val="0"/>
      <w:autoSpaceDN w:val="0"/>
      <w:adjustRightInd w:val="0"/>
      <w:spacing w:after="0" w:line="240" w:lineRule="auto"/>
    </w:pPr>
    <w:rPr>
      <w:rFonts w:ascii="Times New Roman" w:eastAsiaTheme="minorHAnsi" w:hAnsi="Times New Roman"/>
      <w:sz w:val="24"/>
      <w:szCs w:val="24"/>
    </w:rPr>
  </w:style>
  <w:style w:type="paragraph" w:styleId="NormalWeb">
    <w:name w:val="Normal (Web)"/>
    <w:basedOn w:val="Normal"/>
    <w:uiPriority w:val="99"/>
    <w:unhideWhenUsed/>
    <w:pPr>
      <w:spacing w:before="180" w:after="180" w:line="300" w:lineRule="atLeast"/>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pPr>
      <w:spacing w:after="0" w:line="240" w:lineRule="auto"/>
    </w:pPr>
    <w:rPr>
      <w:szCs w:val="21"/>
    </w:rPr>
  </w:style>
  <w:style w:type="character" w:customStyle="1" w:styleId="PlainTextChar">
    <w:name w:val="Plain Text Char"/>
    <w:link w:val="PlainText"/>
    <w:uiPriority w:val="99"/>
    <w:semiHidden/>
    <w:rPr>
      <w:sz w:val="22"/>
      <w:szCs w:val="21"/>
      <w:lang w:eastAsia="en-US"/>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sz w:val="24"/>
      <w:szCs w:val="24"/>
      <w:lang w:eastAsia="en-GB"/>
    </w:rPr>
  </w:style>
  <w:style w:type="character" w:styleId="Hyperlink">
    <w:name w:val="Hyperlink"/>
    <w:uiPriority w:val="99"/>
    <w:unhideWhenUsed/>
    <w:rPr>
      <w:color w:val="0000FF"/>
      <w:u w:val="single"/>
    </w:rPr>
  </w:style>
  <w:style w:type="paragraph" w:customStyle="1" w:styleId="Briefingheading1">
    <w:name w:val="Briefing heading 1"/>
    <w:basedOn w:val="Normal"/>
    <w:pPr>
      <w:spacing w:after="120"/>
      <w:jc w:val="center"/>
    </w:pPr>
    <w:rPr>
      <w:rFonts w:ascii="Arial" w:hAnsi="Arial" w:cs="Arial"/>
      <w:b/>
    </w:rPr>
  </w:style>
  <w:style w:type="paragraph" w:styleId="FootnoteText">
    <w:name w:val="footnote text"/>
    <w:basedOn w:val="Normal"/>
    <w:autoRedefine/>
    <w:uiPriority w:val="99"/>
    <w:unhideWhenUsed/>
    <w:pPr>
      <w:spacing w:after="0"/>
      <w:ind w:left="142" w:hanging="142"/>
      <w:jc w:val="both"/>
    </w:pPr>
    <w:rPr>
      <w:rFonts w:ascii="Times New Roman" w:hAnsi="Times New Roman"/>
      <w:sz w:val="20"/>
      <w:szCs w:val="20"/>
    </w:rPr>
  </w:style>
  <w:style w:type="character" w:customStyle="1" w:styleId="FootnoteTextChar">
    <w:name w:val="Footnote Text Char"/>
    <w:uiPriority w:val="99"/>
    <w:rPr>
      <w:lang w:eastAsia="en-US"/>
    </w:rPr>
  </w:style>
  <w:style w:type="character" w:styleId="FootnoteReference">
    <w:name w:val="footnote reference"/>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2"/>
      <w:szCs w:val="22"/>
      <w:lang w:val="en-GB" w:eastAsia="en-US"/>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lang w:val="fr-BE"/>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lang w:val="fr-BE"/>
    </w:rPr>
  </w:style>
  <w:style w:type="character" w:customStyle="1" w:styleId="HeaderCoverPageChar">
    <w:name w:val="Header Cover Page Char"/>
    <w:link w:val="HeaderCoverPage"/>
    <w:rPr>
      <w:rFonts w:ascii="Times New Roman" w:hAnsi="Times New Roman"/>
      <w:sz w:val="24"/>
      <w:szCs w:val="22"/>
      <w:lang w:eastAsia="en-US"/>
    </w:r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paragraph" w:customStyle="1" w:styleId="CM4">
    <w:name w:val="CM4"/>
    <w:basedOn w:val="Normal"/>
    <w:next w:val="Normal"/>
    <w:uiPriority w:val="99"/>
    <w:pPr>
      <w:autoSpaceDE w:val="0"/>
      <w:autoSpaceDN w:val="0"/>
      <w:adjustRightInd w:val="0"/>
      <w:spacing w:after="0" w:line="240" w:lineRule="auto"/>
    </w:pPr>
    <w:rPr>
      <w:rFonts w:ascii="Times New Roman" w:eastAsiaTheme="minorHAnsi" w:hAnsi="Times New Roman"/>
      <w:sz w:val="24"/>
      <w:szCs w:val="24"/>
    </w:rPr>
  </w:style>
  <w:style w:type="paragraph" w:styleId="NormalWeb">
    <w:name w:val="Normal (Web)"/>
    <w:basedOn w:val="Normal"/>
    <w:uiPriority w:val="99"/>
    <w:unhideWhenUsed/>
    <w:pPr>
      <w:spacing w:before="180" w:after="180" w:line="300" w:lineRule="atLeas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9479">
      <w:bodyDiv w:val="1"/>
      <w:marLeft w:val="0"/>
      <w:marRight w:val="0"/>
      <w:marTop w:val="0"/>
      <w:marBottom w:val="0"/>
      <w:divBdr>
        <w:top w:val="none" w:sz="0" w:space="0" w:color="auto"/>
        <w:left w:val="none" w:sz="0" w:space="0" w:color="auto"/>
        <w:bottom w:val="none" w:sz="0" w:space="0" w:color="auto"/>
        <w:right w:val="none" w:sz="0" w:space="0" w:color="auto"/>
      </w:divBdr>
    </w:div>
    <w:div w:id="237907367">
      <w:bodyDiv w:val="1"/>
      <w:marLeft w:val="0"/>
      <w:marRight w:val="0"/>
      <w:marTop w:val="0"/>
      <w:marBottom w:val="0"/>
      <w:divBdr>
        <w:top w:val="none" w:sz="0" w:space="0" w:color="auto"/>
        <w:left w:val="none" w:sz="0" w:space="0" w:color="auto"/>
        <w:bottom w:val="none" w:sz="0" w:space="0" w:color="auto"/>
        <w:right w:val="none" w:sz="0" w:space="0" w:color="auto"/>
      </w:divBdr>
    </w:div>
    <w:div w:id="405734241">
      <w:bodyDiv w:val="1"/>
      <w:marLeft w:val="0"/>
      <w:marRight w:val="0"/>
      <w:marTop w:val="0"/>
      <w:marBottom w:val="0"/>
      <w:divBdr>
        <w:top w:val="none" w:sz="0" w:space="0" w:color="auto"/>
        <w:left w:val="none" w:sz="0" w:space="0" w:color="auto"/>
        <w:bottom w:val="none" w:sz="0" w:space="0" w:color="auto"/>
        <w:right w:val="none" w:sz="0" w:space="0" w:color="auto"/>
      </w:divBdr>
    </w:div>
    <w:div w:id="470563618">
      <w:bodyDiv w:val="1"/>
      <w:marLeft w:val="0"/>
      <w:marRight w:val="0"/>
      <w:marTop w:val="0"/>
      <w:marBottom w:val="0"/>
      <w:divBdr>
        <w:top w:val="none" w:sz="0" w:space="0" w:color="auto"/>
        <w:left w:val="none" w:sz="0" w:space="0" w:color="auto"/>
        <w:bottom w:val="none" w:sz="0" w:space="0" w:color="auto"/>
        <w:right w:val="none" w:sz="0" w:space="0" w:color="auto"/>
      </w:divBdr>
    </w:div>
    <w:div w:id="653413327">
      <w:bodyDiv w:val="1"/>
      <w:marLeft w:val="0"/>
      <w:marRight w:val="0"/>
      <w:marTop w:val="0"/>
      <w:marBottom w:val="0"/>
      <w:divBdr>
        <w:top w:val="none" w:sz="0" w:space="0" w:color="auto"/>
        <w:left w:val="none" w:sz="0" w:space="0" w:color="auto"/>
        <w:bottom w:val="none" w:sz="0" w:space="0" w:color="auto"/>
        <w:right w:val="none" w:sz="0" w:space="0" w:color="auto"/>
      </w:divBdr>
    </w:div>
    <w:div w:id="755177005">
      <w:bodyDiv w:val="1"/>
      <w:marLeft w:val="0"/>
      <w:marRight w:val="0"/>
      <w:marTop w:val="0"/>
      <w:marBottom w:val="0"/>
      <w:divBdr>
        <w:top w:val="none" w:sz="0" w:space="0" w:color="auto"/>
        <w:left w:val="none" w:sz="0" w:space="0" w:color="auto"/>
        <w:bottom w:val="none" w:sz="0" w:space="0" w:color="auto"/>
        <w:right w:val="none" w:sz="0" w:space="0" w:color="auto"/>
      </w:divBdr>
      <w:divsChild>
        <w:div w:id="456069119">
          <w:marLeft w:val="0"/>
          <w:marRight w:val="0"/>
          <w:marTop w:val="100"/>
          <w:marBottom w:val="100"/>
          <w:divBdr>
            <w:top w:val="none" w:sz="0" w:space="0" w:color="auto"/>
            <w:left w:val="none" w:sz="0" w:space="0" w:color="auto"/>
            <w:bottom w:val="none" w:sz="0" w:space="0" w:color="auto"/>
            <w:right w:val="none" w:sz="0" w:space="0" w:color="auto"/>
          </w:divBdr>
        </w:div>
      </w:divsChild>
    </w:div>
    <w:div w:id="848833393">
      <w:bodyDiv w:val="1"/>
      <w:marLeft w:val="0"/>
      <w:marRight w:val="0"/>
      <w:marTop w:val="0"/>
      <w:marBottom w:val="0"/>
      <w:divBdr>
        <w:top w:val="none" w:sz="0" w:space="0" w:color="auto"/>
        <w:left w:val="none" w:sz="0" w:space="0" w:color="auto"/>
        <w:bottom w:val="none" w:sz="0" w:space="0" w:color="auto"/>
        <w:right w:val="none" w:sz="0" w:space="0" w:color="auto"/>
      </w:divBdr>
      <w:divsChild>
        <w:div w:id="6442091">
          <w:marLeft w:val="1166"/>
          <w:marRight w:val="0"/>
          <w:marTop w:val="67"/>
          <w:marBottom w:val="0"/>
          <w:divBdr>
            <w:top w:val="none" w:sz="0" w:space="0" w:color="auto"/>
            <w:left w:val="none" w:sz="0" w:space="0" w:color="auto"/>
            <w:bottom w:val="none" w:sz="0" w:space="0" w:color="auto"/>
            <w:right w:val="none" w:sz="0" w:space="0" w:color="auto"/>
          </w:divBdr>
        </w:div>
        <w:div w:id="799153977">
          <w:marLeft w:val="1166"/>
          <w:marRight w:val="0"/>
          <w:marTop w:val="67"/>
          <w:marBottom w:val="0"/>
          <w:divBdr>
            <w:top w:val="none" w:sz="0" w:space="0" w:color="auto"/>
            <w:left w:val="none" w:sz="0" w:space="0" w:color="auto"/>
            <w:bottom w:val="none" w:sz="0" w:space="0" w:color="auto"/>
            <w:right w:val="none" w:sz="0" w:space="0" w:color="auto"/>
          </w:divBdr>
        </w:div>
        <w:div w:id="846408632">
          <w:marLeft w:val="1166"/>
          <w:marRight w:val="0"/>
          <w:marTop w:val="67"/>
          <w:marBottom w:val="0"/>
          <w:divBdr>
            <w:top w:val="none" w:sz="0" w:space="0" w:color="auto"/>
            <w:left w:val="none" w:sz="0" w:space="0" w:color="auto"/>
            <w:bottom w:val="none" w:sz="0" w:space="0" w:color="auto"/>
            <w:right w:val="none" w:sz="0" w:space="0" w:color="auto"/>
          </w:divBdr>
        </w:div>
        <w:div w:id="888804233">
          <w:marLeft w:val="1166"/>
          <w:marRight w:val="0"/>
          <w:marTop w:val="67"/>
          <w:marBottom w:val="0"/>
          <w:divBdr>
            <w:top w:val="none" w:sz="0" w:space="0" w:color="auto"/>
            <w:left w:val="none" w:sz="0" w:space="0" w:color="auto"/>
            <w:bottom w:val="none" w:sz="0" w:space="0" w:color="auto"/>
            <w:right w:val="none" w:sz="0" w:space="0" w:color="auto"/>
          </w:divBdr>
        </w:div>
        <w:div w:id="1289358451">
          <w:marLeft w:val="1166"/>
          <w:marRight w:val="0"/>
          <w:marTop w:val="67"/>
          <w:marBottom w:val="0"/>
          <w:divBdr>
            <w:top w:val="none" w:sz="0" w:space="0" w:color="auto"/>
            <w:left w:val="none" w:sz="0" w:space="0" w:color="auto"/>
            <w:bottom w:val="none" w:sz="0" w:space="0" w:color="auto"/>
            <w:right w:val="none" w:sz="0" w:space="0" w:color="auto"/>
          </w:divBdr>
        </w:div>
        <w:div w:id="1546601503">
          <w:marLeft w:val="1166"/>
          <w:marRight w:val="0"/>
          <w:marTop w:val="67"/>
          <w:marBottom w:val="0"/>
          <w:divBdr>
            <w:top w:val="none" w:sz="0" w:space="0" w:color="auto"/>
            <w:left w:val="none" w:sz="0" w:space="0" w:color="auto"/>
            <w:bottom w:val="none" w:sz="0" w:space="0" w:color="auto"/>
            <w:right w:val="none" w:sz="0" w:space="0" w:color="auto"/>
          </w:divBdr>
        </w:div>
        <w:div w:id="1753771485">
          <w:marLeft w:val="1166"/>
          <w:marRight w:val="0"/>
          <w:marTop w:val="67"/>
          <w:marBottom w:val="0"/>
          <w:divBdr>
            <w:top w:val="none" w:sz="0" w:space="0" w:color="auto"/>
            <w:left w:val="none" w:sz="0" w:space="0" w:color="auto"/>
            <w:bottom w:val="none" w:sz="0" w:space="0" w:color="auto"/>
            <w:right w:val="none" w:sz="0" w:space="0" w:color="auto"/>
          </w:divBdr>
        </w:div>
      </w:divsChild>
    </w:div>
    <w:div w:id="953709520">
      <w:bodyDiv w:val="1"/>
      <w:marLeft w:val="0"/>
      <w:marRight w:val="0"/>
      <w:marTop w:val="0"/>
      <w:marBottom w:val="0"/>
      <w:divBdr>
        <w:top w:val="none" w:sz="0" w:space="0" w:color="auto"/>
        <w:left w:val="none" w:sz="0" w:space="0" w:color="auto"/>
        <w:bottom w:val="none" w:sz="0" w:space="0" w:color="auto"/>
        <w:right w:val="none" w:sz="0" w:space="0" w:color="auto"/>
      </w:divBdr>
    </w:div>
    <w:div w:id="1054037242">
      <w:bodyDiv w:val="1"/>
      <w:marLeft w:val="0"/>
      <w:marRight w:val="0"/>
      <w:marTop w:val="0"/>
      <w:marBottom w:val="0"/>
      <w:divBdr>
        <w:top w:val="none" w:sz="0" w:space="0" w:color="auto"/>
        <w:left w:val="none" w:sz="0" w:space="0" w:color="auto"/>
        <w:bottom w:val="none" w:sz="0" w:space="0" w:color="auto"/>
        <w:right w:val="none" w:sz="0" w:space="0" w:color="auto"/>
      </w:divBdr>
    </w:div>
    <w:div w:id="1103303093">
      <w:bodyDiv w:val="1"/>
      <w:marLeft w:val="0"/>
      <w:marRight w:val="0"/>
      <w:marTop w:val="0"/>
      <w:marBottom w:val="0"/>
      <w:divBdr>
        <w:top w:val="none" w:sz="0" w:space="0" w:color="auto"/>
        <w:left w:val="none" w:sz="0" w:space="0" w:color="auto"/>
        <w:bottom w:val="none" w:sz="0" w:space="0" w:color="auto"/>
        <w:right w:val="none" w:sz="0" w:space="0" w:color="auto"/>
      </w:divBdr>
    </w:div>
    <w:div w:id="1168445632">
      <w:bodyDiv w:val="1"/>
      <w:marLeft w:val="0"/>
      <w:marRight w:val="0"/>
      <w:marTop w:val="0"/>
      <w:marBottom w:val="0"/>
      <w:divBdr>
        <w:top w:val="none" w:sz="0" w:space="0" w:color="auto"/>
        <w:left w:val="none" w:sz="0" w:space="0" w:color="auto"/>
        <w:bottom w:val="none" w:sz="0" w:space="0" w:color="auto"/>
        <w:right w:val="none" w:sz="0" w:space="0" w:color="auto"/>
      </w:divBdr>
    </w:div>
    <w:div w:id="1214729381">
      <w:bodyDiv w:val="1"/>
      <w:marLeft w:val="0"/>
      <w:marRight w:val="0"/>
      <w:marTop w:val="0"/>
      <w:marBottom w:val="0"/>
      <w:divBdr>
        <w:top w:val="none" w:sz="0" w:space="0" w:color="auto"/>
        <w:left w:val="none" w:sz="0" w:space="0" w:color="auto"/>
        <w:bottom w:val="none" w:sz="0" w:space="0" w:color="auto"/>
        <w:right w:val="none" w:sz="0" w:space="0" w:color="auto"/>
      </w:divBdr>
    </w:div>
    <w:div w:id="1303002630">
      <w:bodyDiv w:val="1"/>
      <w:marLeft w:val="0"/>
      <w:marRight w:val="0"/>
      <w:marTop w:val="0"/>
      <w:marBottom w:val="0"/>
      <w:divBdr>
        <w:top w:val="none" w:sz="0" w:space="0" w:color="auto"/>
        <w:left w:val="none" w:sz="0" w:space="0" w:color="auto"/>
        <w:bottom w:val="none" w:sz="0" w:space="0" w:color="auto"/>
        <w:right w:val="none" w:sz="0" w:space="0" w:color="auto"/>
      </w:divBdr>
    </w:div>
    <w:div w:id="1315798325">
      <w:bodyDiv w:val="1"/>
      <w:marLeft w:val="0"/>
      <w:marRight w:val="0"/>
      <w:marTop w:val="0"/>
      <w:marBottom w:val="0"/>
      <w:divBdr>
        <w:top w:val="none" w:sz="0" w:space="0" w:color="auto"/>
        <w:left w:val="none" w:sz="0" w:space="0" w:color="auto"/>
        <w:bottom w:val="none" w:sz="0" w:space="0" w:color="auto"/>
        <w:right w:val="none" w:sz="0" w:space="0" w:color="auto"/>
      </w:divBdr>
    </w:div>
    <w:div w:id="1444306461">
      <w:bodyDiv w:val="1"/>
      <w:marLeft w:val="0"/>
      <w:marRight w:val="0"/>
      <w:marTop w:val="0"/>
      <w:marBottom w:val="0"/>
      <w:divBdr>
        <w:top w:val="none" w:sz="0" w:space="0" w:color="auto"/>
        <w:left w:val="none" w:sz="0" w:space="0" w:color="auto"/>
        <w:bottom w:val="none" w:sz="0" w:space="0" w:color="auto"/>
        <w:right w:val="none" w:sz="0" w:space="0" w:color="auto"/>
      </w:divBdr>
    </w:div>
    <w:div w:id="1787966783">
      <w:bodyDiv w:val="1"/>
      <w:marLeft w:val="0"/>
      <w:marRight w:val="0"/>
      <w:marTop w:val="0"/>
      <w:marBottom w:val="0"/>
      <w:divBdr>
        <w:top w:val="none" w:sz="0" w:space="0" w:color="auto"/>
        <w:left w:val="none" w:sz="0" w:space="0" w:color="auto"/>
        <w:bottom w:val="none" w:sz="0" w:space="0" w:color="auto"/>
        <w:right w:val="none" w:sz="0" w:space="0" w:color="auto"/>
      </w:divBdr>
      <w:divsChild>
        <w:div w:id="1946770284">
          <w:marLeft w:val="0"/>
          <w:marRight w:val="0"/>
          <w:marTop w:val="100"/>
          <w:marBottom w:val="100"/>
          <w:divBdr>
            <w:top w:val="none" w:sz="0" w:space="0" w:color="auto"/>
            <w:left w:val="none" w:sz="0" w:space="0" w:color="auto"/>
            <w:bottom w:val="none" w:sz="0" w:space="0" w:color="auto"/>
            <w:right w:val="none" w:sz="0" w:space="0" w:color="auto"/>
          </w:divBdr>
        </w:div>
      </w:divsChild>
    </w:div>
    <w:div w:id="1907761086">
      <w:bodyDiv w:val="1"/>
      <w:marLeft w:val="0"/>
      <w:marRight w:val="0"/>
      <w:marTop w:val="0"/>
      <w:marBottom w:val="0"/>
      <w:divBdr>
        <w:top w:val="none" w:sz="0" w:space="0" w:color="auto"/>
        <w:left w:val="none" w:sz="0" w:space="0" w:color="auto"/>
        <w:bottom w:val="none" w:sz="0" w:space="0" w:color="auto"/>
        <w:right w:val="none" w:sz="0" w:space="0" w:color="auto"/>
      </w:divBdr>
    </w:div>
    <w:div w:id="199833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99ED1-4C4D-408B-A554-73A8DBAA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3649</Words>
  <Characters>20800</Characters>
  <Application>Microsoft Office Word</Application>
  <DocSecurity>0</DocSecurity>
  <Lines>173</Lines>
  <Paragraphs>48</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Manager/>
  <Company/>
  <LinksUpToDate>false</LinksUpToDate>
  <CharactersWithSpaces>24401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16</cp:revision>
  <cp:lastPrinted>2016-06-16T13:52:00Z</cp:lastPrinted>
  <dcterms:created xsi:type="dcterms:W3CDTF">2016-08-02T15:44:00Z</dcterms:created>
  <dcterms:modified xsi:type="dcterms:W3CDTF">2016-09-16T10:44:00Z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NewReviewCycle">
    <vt:lpwstr/>
  </property>
  <property fmtid="{D5CDD505-2E9C-101B-9397-08002B2CF9AE}" pid="6" name="DocStatus">
    <vt:lpwstr>Green</vt:lpwstr>
  </property>
</Properties>
</file>