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1EA" w:rsidRPr="00DF61EA" w:rsidRDefault="00ED728E" w:rsidP="00ED728E">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A959FACA49AB4F2792802690AB1007EE" style="width:451.35pt;height:307.35pt">
            <v:imagedata r:id="rId9" o:title=""/>
          </v:shape>
        </w:pict>
      </w:r>
    </w:p>
    <w:bookmarkEnd w:id="0"/>
    <w:p w:rsidR="00E51468" w:rsidRDefault="00E51468" w:rsidP="00E51468">
      <w:pPr>
        <w:sectPr w:rsidR="00E51468" w:rsidSect="00ED728E">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rsidR="00AC5B6A" w:rsidRPr="00AC5B6A" w:rsidRDefault="00AC5B6A" w:rsidP="004E1162">
      <w:pPr>
        <w:spacing w:before="120" w:after="120"/>
        <w:rPr>
          <w:b/>
          <w:i/>
        </w:rPr>
      </w:pPr>
      <w:bookmarkStart w:id="1" w:name="_GoBack"/>
      <w:bookmarkEnd w:id="1"/>
      <w:r w:rsidRPr="00AC5B6A">
        <w:rPr>
          <w:b/>
          <w:i/>
        </w:rPr>
        <w:lastRenderedPageBreak/>
        <w:t>Introduction</w:t>
      </w:r>
    </w:p>
    <w:p w:rsidR="00AC5B6A" w:rsidRDefault="00BB0C89" w:rsidP="006E2124">
      <w:r>
        <w:t>B</w:t>
      </w:r>
      <w:r w:rsidR="00B74AC3" w:rsidRPr="00A72E4B">
        <w:t>etter regulation matter</w:t>
      </w:r>
      <w:r>
        <w:t>s</w:t>
      </w:r>
      <w:r w:rsidR="00B74AC3" w:rsidRPr="00A72E4B">
        <w:t xml:space="preserve">. </w:t>
      </w:r>
      <w:r w:rsidR="003A275F">
        <w:t xml:space="preserve">Legislation is not an end to itself – it is a means to deliver tangible benefits for European citizens and address the common challenges Europe faces. </w:t>
      </w:r>
      <w:r w:rsidR="006444B3">
        <w:t>W</w:t>
      </w:r>
      <w:r w:rsidR="00B74AC3" w:rsidRPr="00A72E4B">
        <w:t>ell-targeted</w:t>
      </w:r>
      <w:r w:rsidR="003A275F">
        <w:t>, evidence-base</w:t>
      </w:r>
      <w:r w:rsidR="00FC530C">
        <w:t>d</w:t>
      </w:r>
      <w:r w:rsidR="00B74AC3" w:rsidRPr="00A72E4B">
        <w:t xml:space="preserve"> and simply written regulation </w:t>
      </w:r>
      <w:r w:rsidR="003A275F">
        <w:t>is more likely to be properly implemented and achieve its goals</w:t>
      </w:r>
      <w:r w:rsidR="00955E65">
        <w:t xml:space="preserve"> on the ground</w:t>
      </w:r>
      <w:r w:rsidR="003A275F">
        <w:t xml:space="preserve">, whether these are economic, societal or environmental. Modern, proportionate rules that are fit for purpose </w:t>
      </w:r>
      <w:r w:rsidR="00955E65">
        <w:t>are</w:t>
      </w:r>
      <w:r w:rsidR="003A275F">
        <w:t xml:space="preserve"> </w:t>
      </w:r>
      <w:r w:rsidR="006444B3" w:rsidRPr="001C0808">
        <w:t xml:space="preserve">essential </w:t>
      </w:r>
      <w:r w:rsidR="003A275F">
        <w:t>for the rule of law</w:t>
      </w:r>
      <w:r w:rsidR="00955E65">
        <w:t xml:space="preserve"> and upholding </w:t>
      </w:r>
      <w:r w:rsidR="00FC530C">
        <w:t xml:space="preserve">of </w:t>
      </w:r>
      <w:r w:rsidR="00955E65">
        <w:t xml:space="preserve">our common values, but also for </w:t>
      </w:r>
      <w:r w:rsidR="003A275F">
        <w:t>th</w:t>
      </w:r>
      <w:r w:rsidR="006444B3">
        <w:t xml:space="preserve">e </w:t>
      </w:r>
      <w:r w:rsidR="003A275F">
        <w:t>efficiency of public</w:t>
      </w:r>
      <w:r w:rsidR="00B74AC3" w:rsidRPr="00A72E4B">
        <w:t xml:space="preserve"> </w:t>
      </w:r>
      <w:r w:rsidR="006444B3">
        <w:t xml:space="preserve">administrations and </w:t>
      </w:r>
      <w:r w:rsidR="00955E65">
        <w:t>businesses</w:t>
      </w:r>
      <w:r w:rsidR="00B74AC3" w:rsidRPr="00A72E4B">
        <w:t xml:space="preserve">. </w:t>
      </w:r>
    </w:p>
    <w:p w:rsidR="00C812B7" w:rsidDel="00CE1195" w:rsidRDefault="00C812B7" w:rsidP="00C812B7">
      <w:r w:rsidDel="00CE1195">
        <w:t>The European Union has</w:t>
      </w:r>
      <w:r w:rsidR="00D44D76">
        <w:t xml:space="preserve"> frequently </w:t>
      </w:r>
      <w:r w:rsidDel="00CE1195">
        <w:t xml:space="preserve">been criticised – </w:t>
      </w:r>
      <w:r w:rsidR="00D44D76">
        <w:t xml:space="preserve">often </w:t>
      </w:r>
      <w:r w:rsidDel="00CE1195">
        <w:t xml:space="preserve">rightly – for producing excessive and badly written regulation and for meddling in the lives of citizens or businesses with too many and too detailed rules. </w:t>
      </w:r>
      <w:r w:rsidR="00955E65">
        <w:t>Reports abound, whether founded or not, of c</w:t>
      </w:r>
      <w:r w:rsidDel="00CE1195">
        <w:t xml:space="preserve">ases of misguided regulation or rules that apparently micro-manage aspects of daily economic </w:t>
      </w:r>
      <w:r w:rsidR="00955E65">
        <w:t>or social life</w:t>
      </w:r>
      <w:r w:rsidDel="00CE1195">
        <w:t>.</w:t>
      </w:r>
      <w:r w:rsidR="00955E65">
        <w:t xml:space="preserve"> At the same time, citizens' expectations are that Europe should focus more on providing effective solutions to the big challenges – jobs and growth, investment, security, migratory flows, and the digital revolution, to name but a few. </w:t>
      </w:r>
    </w:p>
    <w:p w:rsidR="00955E65" w:rsidRDefault="00416E8A" w:rsidP="00504534">
      <w:r>
        <w:t xml:space="preserve">From </w:t>
      </w:r>
      <w:r w:rsidR="00504534">
        <w:t xml:space="preserve">the </w:t>
      </w:r>
      <w:r w:rsidR="00955E65">
        <w:t>start</w:t>
      </w:r>
      <w:r w:rsidR="00504534">
        <w:t xml:space="preserve"> of its mandate, the Juncker Commission </w:t>
      </w:r>
      <w:r w:rsidR="00504534" w:rsidRPr="00C355B8">
        <w:t>made clear</w:t>
      </w:r>
      <w:r w:rsidR="00205C07" w:rsidRPr="00C355B8">
        <w:t xml:space="preserve"> that </w:t>
      </w:r>
      <w:r w:rsidR="00955E65">
        <w:t>we</w:t>
      </w:r>
      <w:r w:rsidR="00205C07" w:rsidRPr="00C355B8">
        <w:t xml:space="preserve"> would</w:t>
      </w:r>
      <w:r w:rsidR="006F1AA4" w:rsidRPr="00C355B8">
        <w:t xml:space="preserve"> </w:t>
      </w:r>
      <w:r w:rsidR="00977A85">
        <w:t xml:space="preserve">break with </w:t>
      </w:r>
      <w:r w:rsidR="00955E65">
        <w:t xml:space="preserve">the </w:t>
      </w:r>
      <w:r w:rsidR="00977A85">
        <w:t xml:space="preserve">past and </w:t>
      </w:r>
      <w:r w:rsidR="006F1AA4" w:rsidRPr="00C355B8">
        <w:t xml:space="preserve">change </w:t>
      </w:r>
      <w:r>
        <w:t>the way the Commission work</w:t>
      </w:r>
      <w:r w:rsidR="00FB582A">
        <w:t>s</w:t>
      </w:r>
      <w:r>
        <w:t xml:space="preserve"> and </w:t>
      </w:r>
      <w:r w:rsidR="00FB582A">
        <w:t>set</w:t>
      </w:r>
      <w:r w:rsidR="00955E65">
        <w:t>s</w:t>
      </w:r>
      <w:r w:rsidR="00FB582A">
        <w:t xml:space="preserve"> its </w:t>
      </w:r>
      <w:r>
        <w:t>policies</w:t>
      </w:r>
      <w:r w:rsidR="00661D10">
        <w:t>, by putting better regulation principles at the heart of its policy-making processes, to make sure its policies deliver better results for citizens, businesses and public authorities</w:t>
      </w:r>
      <w:r>
        <w:t xml:space="preserve">. </w:t>
      </w:r>
      <w:r w:rsidR="00955E65">
        <w:t>We</w:t>
      </w:r>
      <w:r w:rsidR="00661D10">
        <w:t xml:space="preserve"> committed to</w:t>
      </w:r>
      <w:r w:rsidR="00205C07">
        <w:t xml:space="preserve"> be big on the big things</w:t>
      </w:r>
      <w:r w:rsidR="00D44D76">
        <w:t xml:space="preserve"> and small on the small things</w:t>
      </w:r>
      <w:r w:rsidR="00661D10">
        <w:t>,</w:t>
      </w:r>
      <w:r w:rsidR="00205C07">
        <w:t xml:space="preserve"> </w:t>
      </w:r>
      <w:r w:rsidR="00661D10" w:rsidRPr="00416E8A">
        <w:t xml:space="preserve">by focussing </w:t>
      </w:r>
      <w:r w:rsidR="00955E65">
        <w:t>our</w:t>
      </w:r>
      <w:r w:rsidR="00661D10" w:rsidRPr="00416E8A">
        <w:t xml:space="preserve"> action on those issues that really matter to our</w:t>
      </w:r>
      <w:r w:rsidR="00661D10">
        <w:t xml:space="preserve"> citizens and </w:t>
      </w:r>
      <w:r w:rsidR="00205C07">
        <w:t xml:space="preserve">where European action </w:t>
      </w:r>
      <w:r w:rsidR="00977A85">
        <w:t>is</w:t>
      </w:r>
      <w:r w:rsidR="00205C07">
        <w:t xml:space="preserve"> </w:t>
      </w:r>
      <w:r w:rsidR="00DD4686">
        <w:t xml:space="preserve">most </w:t>
      </w:r>
      <w:r w:rsidR="00205C07">
        <w:t>necessary</w:t>
      </w:r>
      <w:r w:rsidR="00661D10">
        <w:t>,</w:t>
      </w:r>
      <w:r w:rsidR="00205C07">
        <w:t xml:space="preserve"> and</w:t>
      </w:r>
      <w:r w:rsidR="00661D10">
        <w:t xml:space="preserve"> making sure that</w:t>
      </w:r>
      <w:r w:rsidR="00205C07">
        <w:t xml:space="preserve"> Member States</w:t>
      </w:r>
      <w:r w:rsidR="00661D10">
        <w:t xml:space="preserve"> </w:t>
      </w:r>
      <w:r w:rsidR="00205C07">
        <w:t xml:space="preserve">take responsibility where </w:t>
      </w:r>
      <w:r w:rsidR="006F1AA4">
        <w:t xml:space="preserve">national action </w:t>
      </w:r>
      <w:r w:rsidR="00977A85">
        <w:t>is</w:t>
      </w:r>
      <w:r w:rsidR="006F1AA4">
        <w:t xml:space="preserve"> more appropriate</w:t>
      </w:r>
      <w:r w:rsidR="00205C07">
        <w:t xml:space="preserve">. </w:t>
      </w:r>
    </w:p>
    <w:p w:rsidR="006F1AA4" w:rsidRDefault="00661D10" w:rsidP="00504534">
      <w:r>
        <w:t xml:space="preserve">And </w:t>
      </w:r>
      <w:r w:rsidR="00955E65">
        <w:t>we</w:t>
      </w:r>
      <w:r>
        <w:t xml:space="preserve"> committed to engage in a</w:t>
      </w:r>
      <w:r>
        <w:rPr>
          <w:sz w:val="23"/>
          <w:szCs w:val="23"/>
        </w:rPr>
        <w:t xml:space="preserve"> close partnership with the European Parliament and </w:t>
      </w:r>
      <w:r w:rsidR="00C812B7">
        <w:rPr>
          <w:sz w:val="23"/>
          <w:szCs w:val="23"/>
        </w:rPr>
        <w:t xml:space="preserve">the Council and </w:t>
      </w:r>
      <w:r>
        <w:rPr>
          <w:sz w:val="23"/>
          <w:szCs w:val="23"/>
        </w:rPr>
        <w:t xml:space="preserve">to cooperate closely with the Member </w:t>
      </w:r>
      <w:r w:rsidRPr="00A72E4B">
        <w:t>States</w:t>
      </w:r>
      <w:r>
        <w:t xml:space="preserve"> to shape the agenda and </w:t>
      </w:r>
      <w:r w:rsidR="00955E65">
        <w:t xml:space="preserve">set joint </w:t>
      </w:r>
      <w:r>
        <w:t>po</w:t>
      </w:r>
      <w:r w:rsidRPr="00A72E4B">
        <w:t>litical prioriti</w:t>
      </w:r>
      <w:r w:rsidR="00955E65">
        <w:t>es</w:t>
      </w:r>
      <w:r>
        <w:t>, so that the European institutions, together, can deliver</w:t>
      </w:r>
      <w:r w:rsidRPr="00A72E4B">
        <w:t xml:space="preserve"> a better, more focused Union.</w:t>
      </w:r>
      <w:r w:rsidR="00C812B7">
        <w:t xml:space="preserve"> </w:t>
      </w:r>
      <w:r w:rsidR="00AD30A8">
        <w:t xml:space="preserve">Concentrating on measures that are really necessary and not doing things that have only marginal benefits or can be better done at national, regional or local level in Member States, also frees up space and means that collectively the institutions can mobilise more quickly to address new </w:t>
      </w:r>
      <w:r w:rsidR="00C812B7">
        <w:t>circumstances</w:t>
      </w:r>
      <w:r w:rsidR="00AD30A8">
        <w:t xml:space="preserve">, as has been the case </w:t>
      </w:r>
      <w:r w:rsidR="00C812B7">
        <w:t>in the migration crisis.</w:t>
      </w:r>
    </w:p>
    <w:p w:rsidR="00FC530C" w:rsidRDefault="004C55B2" w:rsidP="00582408">
      <w:r>
        <w:t xml:space="preserve">Nearly two years into its mandate, the Commission is on track to deliver on </w:t>
      </w:r>
      <w:r w:rsidR="006E6AD3">
        <w:t xml:space="preserve">our better regulation </w:t>
      </w:r>
      <w:r>
        <w:t xml:space="preserve">commitments. </w:t>
      </w:r>
      <w:r w:rsidR="00136C25">
        <w:t>From the</w:t>
      </w:r>
      <w:r w:rsidR="00FB582A">
        <w:t xml:space="preserve"> start, </w:t>
      </w:r>
      <w:r w:rsidR="006E6AD3">
        <w:t xml:space="preserve">our work has been framed by </w:t>
      </w:r>
      <w:r w:rsidR="00661D10">
        <w:t xml:space="preserve">a </w:t>
      </w:r>
      <w:r w:rsidR="00EA252E">
        <w:t xml:space="preserve">focused </w:t>
      </w:r>
      <w:r w:rsidR="00661D10">
        <w:t xml:space="preserve">set of </w:t>
      </w:r>
      <w:r w:rsidR="00EA252E">
        <w:t xml:space="preserve">political </w:t>
      </w:r>
      <w:r w:rsidR="00661D10">
        <w:t>guidelines</w:t>
      </w:r>
      <w:r w:rsidR="00A5547B">
        <w:rPr>
          <w:rStyle w:val="FootnoteReference"/>
        </w:rPr>
        <w:footnoteReference w:id="2"/>
      </w:r>
      <w:r w:rsidR="00EA252E">
        <w:t xml:space="preserve"> </w:t>
      </w:r>
      <w:r w:rsidR="00661D10">
        <w:t xml:space="preserve">to </w:t>
      </w:r>
      <w:r w:rsidR="00136C25">
        <w:t>steer</w:t>
      </w:r>
      <w:r w:rsidR="00661D10">
        <w:t xml:space="preserve"> action over the</w:t>
      </w:r>
      <w:r w:rsidR="00FB582A">
        <w:t xml:space="preserve"> medium term </w:t>
      </w:r>
      <w:r w:rsidR="00661D10">
        <w:t xml:space="preserve">on </w:t>
      </w:r>
      <w:r w:rsidR="00EA252E">
        <w:t xml:space="preserve">the key challenges </w:t>
      </w:r>
      <w:r w:rsidR="00136C25">
        <w:t xml:space="preserve">facing </w:t>
      </w:r>
      <w:r w:rsidR="00EA252E">
        <w:t>the EU</w:t>
      </w:r>
      <w:r w:rsidR="00FB582A">
        <w:t>:</w:t>
      </w:r>
      <w:r w:rsidR="00136C25">
        <w:t xml:space="preserve"> jobs, growth and investment;</w:t>
      </w:r>
      <w:r w:rsidR="00FB582A">
        <w:t xml:space="preserve"> </w:t>
      </w:r>
      <w:r w:rsidR="00EA252E">
        <w:t>migration</w:t>
      </w:r>
      <w:r w:rsidR="00136C25">
        <w:t>;</w:t>
      </w:r>
      <w:r w:rsidR="00EA252E">
        <w:t xml:space="preserve"> security</w:t>
      </w:r>
      <w:r w:rsidR="00136C25">
        <w:t>;</w:t>
      </w:r>
      <w:r w:rsidR="00EA252E">
        <w:t xml:space="preserve"> digital</w:t>
      </w:r>
      <w:r w:rsidR="00136C25">
        <w:t>;</w:t>
      </w:r>
      <w:r w:rsidR="00EA252E">
        <w:t xml:space="preserve"> energy</w:t>
      </w:r>
      <w:r w:rsidR="001E48B1">
        <w:t>;</w:t>
      </w:r>
      <w:r w:rsidR="00EA252E">
        <w:t xml:space="preserve"> or</w:t>
      </w:r>
      <w:r w:rsidR="00136C25">
        <w:t xml:space="preserve"> the deepening of the single market</w:t>
      </w:r>
      <w:r w:rsidR="00EA252E">
        <w:t xml:space="preserve">. </w:t>
      </w:r>
      <w:r w:rsidR="00FB582A">
        <w:t xml:space="preserve">Every year, concrete measures reflecting these strategies are set out in yearly, focused and streamlined </w:t>
      </w:r>
      <w:r w:rsidR="00EA252E">
        <w:t>Work Programme</w:t>
      </w:r>
      <w:r w:rsidR="00FB582A">
        <w:t>s. There were 100 initiatives in the Work Progra</w:t>
      </w:r>
      <w:r w:rsidR="00FC6F3F">
        <w:t>m</w:t>
      </w:r>
      <w:r w:rsidR="00FB582A">
        <w:t>me of 2014. In 2015</w:t>
      </w:r>
      <w:r w:rsidR="00136C25">
        <w:t>,</w:t>
      </w:r>
      <w:r w:rsidR="00FB582A">
        <w:t xml:space="preserve"> the Work Programme </w:t>
      </w:r>
      <w:r w:rsidR="00EA252E">
        <w:t>count</w:t>
      </w:r>
      <w:r w:rsidR="00FB582A">
        <w:t>ed</w:t>
      </w:r>
      <w:r w:rsidR="00EA252E">
        <w:t xml:space="preserve"> </w:t>
      </w:r>
      <w:r w:rsidR="00E51468">
        <w:t>23</w:t>
      </w:r>
      <w:r w:rsidR="00EA252E">
        <w:t xml:space="preserve"> new priority initiatives </w:t>
      </w:r>
      <w:r w:rsidR="00E51468">
        <w:t>and packages</w:t>
      </w:r>
      <w:r w:rsidR="00FB582A">
        <w:t>. The</w:t>
      </w:r>
      <w:r w:rsidR="00977A85">
        <w:t>re</w:t>
      </w:r>
      <w:r w:rsidR="00FB582A">
        <w:t xml:space="preserve"> were </w:t>
      </w:r>
      <w:r w:rsidR="00136C25">
        <w:t xml:space="preserve">also </w:t>
      </w:r>
      <w:r w:rsidR="00FB582A">
        <w:t xml:space="preserve">only </w:t>
      </w:r>
      <w:r w:rsidR="00E51468">
        <w:t>23</w:t>
      </w:r>
      <w:r w:rsidR="00EA252E">
        <w:t xml:space="preserve"> in 2016. </w:t>
      </w:r>
    </w:p>
    <w:p w:rsidR="00EC2DC0" w:rsidRDefault="00FA7B57" w:rsidP="00EC2DC0">
      <w:pPr>
        <w:rPr>
          <w:i/>
          <w:sz w:val="22"/>
          <w:szCs w:val="22"/>
        </w:rPr>
      </w:pPr>
      <w:r>
        <w:rPr>
          <w:noProof/>
          <w:lang w:eastAsia="en-GB"/>
        </w:rPr>
        <w:drawing>
          <wp:anchor distT="0" distB="71755" distL="114300" distR="114300" simplePos="0" relativeHeight="251659264" behindDoc="0" locked="0" layoutInCell="1" allowOverlap="1" wp14:anchorId="5FA1EF03" wp14:editId="625B247F">
            <wp:simplePos x="0" y="0"/>
            <wp:positionH relativeFrom="column">
              <wp:posOffset>268605</wp:posOffset>
            </wp:positionH>
            <wp:positionV relativeFrom="paragraph">
              <wp:posOffset>316865</wp:posOffset>
            </wp:positionV>
            <wp:extent cx="4724400" cy="10382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_4.jpg"/>
                    <pic:cNvPicPr/>
                  </pic:nvPicPr>
                  <pic:blipFill>
                    <a:blip r:embed="rId16">
                      <a:extLst>
                        <a:ext uri="{28A0092B-C50C-407E-A947-70E740481C1C}">
                          <a14:useLocalDpi xmlns:a14="http://schemas.microsoft.com/office/drawing/2010/main" val="0"/>
                        </a:ext>
                      </a:extLst>
                    </a:blip>
                    <a:stretch>
                      <a:fillRect/>
                    </a:stretch>
                  </pic:blipFill>
                  <pic:spPr>
                    <a:xfrm>
                      <a:off x="0" y="0"/>
                      <a:ext cx="4724400" cy="1038225"/>
                    </a:xfrm>
                    <a:prstGeom prst="rect">
                      <a:avLst/>
                    </a:prstGeom>
                  </pic:spPr>
                </pic:pic>
              </a:graphicData>
            </a:graphic>
            <wp14:sizeRelH relativeFrom="page">
              <wp14:pctWidth>0</wp14:pctWidth>
            </wp14:sizeRelH>
            <wp14:sizeRelV relativeFrom="page">
              <wp14:pctHeight>0</wp14:pctHeight>
            </wp14:sizeRelV>
          </wp:anchor>
        </w:drawing>
      </w:r>
      <w:r w:rsidR="00EC2DC0">
        <w:rPr>
          <w:i/>
          <w:sz w:val="22"/>
          <w:szCs w:val="22"/>
        </w:rPr>
        <w:t>Graph 1</w:t>
      </w:r>
      <w:r w:rsidR="00EC2DC0" w:rsidRPr="00EC2DC0">
        <w:rPr>
          <w:i/>
          <w:sz w:val="22"/>
          <w:szCs w:val="22"/>
        </w:rPr>
        <w:t xml:space="preserve">. </w:t>
      </w:r>
      <w:r>
        <w:rPr>
          <w:i/>
          <w:sz w:val="22"/>
          <w:szCs w:val="22"/>
        </w:rPr>
        <w:t>Better regulation in numbers over 2015-16</w:t>
      </w:r>
    </w:p>
    <w:p w:rsidR="00EC2DC0" w:rsidRPr="00EC2DC0" w:rsidRDefault="00EC2DC0" w:rsidP="00EC2DC0">
      <w:pPr>
        <w:rPr>
          <w:i/>
          <w:sz w:val="22"/>
          <w:szCs w:val="22"/>
        </w:rPr>
      </w:pPr>
    </w:p>
    <w:p w:rsidR="00EC2DC0" w:rsidRDefault="00EC2DC0" w:rsidP="00582408">
      <w:r>
        <w:t>At the same time, t</w:t>
      </w:r>
      <w:r w:rsidRPr="00B72FCF">
        <w:t xml:space="preserve">he </w:t>
      </w:r>
      <w:r w:rsidR="00A85000">
        <w:t xml:space="preserve">number of </w:t>
      </w:r>
      <w:r w:rsidRPr="00B72FCF">
        <w:t>proposals for regulations and directives made by the Commission for adoption by the European Parliament and the Council under the ordinary legislative procedure ha</w:t>
      </w:r>
      <w:r w:rsidR="00A85000">
        <w:t>s</w:t>
      </w:r>
      <w:r w:rsidRPr="00B72FCF">
        <w:t xml:space="preserve"> declined from </w:t>
      </w:r>
      <w:r w:rsidR="00FC05E0" w:rsidRPr="00B72FCF">
        <w:t>1</w:t>
      </w:r>
      <w:r w:rsidR="00FC05E0">
        <w:t>59</w:t>
      </w:r>
      <w:r w:rsidR="00FC05E0" w:rsidRPr="00B72FCF">
        <w:t xml:space="preserve"> </w:t>
      </w:r>
      <w:r w:rsidRPr="00B72FCF">
        <w:t>in 2011</w:t>
      </w:r>
      <w:r w:rsidR="00FC530C">
        <w:t xml:space="preserve"> to</w:t>
      </w:r>
      <w:r w:rsidRPr="00B72FCF">
        <w:t xml:space="preserve"> </w:t>
      </w:r>
      <w:r w:rsidR="00FC05E0">
        <w:t>48</w:t>
      </w:r>
      <w:r w:rsidR="00FC05E0" w:rsidRPr="00B72FCF">
        <w:t xml:space="preserve"> </w:t>
      </w:r>
      <w:r w:rsidRPr="00B72FCF">
        <w:t>in 2015. Since 2000</w:t>
      </w:r>
      <w:r>
        <w:t>,</w:t>
      </w:r>
      <w:r w:rsidRPr="00B72FCF">
        <w:t xml:space="preserve"> the number of directives and regulations adopted by Parliament and the Council under the ordinary legislative procedure has varied annually, with the highest level of legislative output </w:t>
      </w:r>
      <w:r w:rsidR="00FC05E0">
        <w:t>141</w:t>
      </w:r>
      <w:r w:rsidRPr="00B72FCF">
        <w:t xml:space="preserve"> in 2009</w:t>
      </w:r>
      <w:r w:rsidR="00A85000">
        <w:t xml:space="preserve">. In </w:t>
      </w:r>
      <w:r w:rsidRPr="00B72FCF">
        <w:t>2015, the first year of the Juncker Commission</w:t>
      </w:r>
      <w:r w:rsidR="00A85000">
        <w:t>, 5</w:t>
      </w:r>
      <w:r w:rsidR="00FC05E0">
        <w:t>6</w:t>
      </w:r>
      <w:r w:rsidR="00A85000">
        <w:t xml:space="preserve"> pieces of legislation were adopted</w:t>
      </w:r>
      <w:r w:rsidRPr="00B72FCF">
        <w:t>.</w:t>
      </w:r>
    </w:p>
    <w:p w:rsidR="00FA7B57" w:rsidRPr="00EC2DC0" w:rsidRDefault="00FA7B57" w:rsidP="00FC05E0">
      <w:pPr>
        <w:spacing w:after="120"/>
        <w:jc w:val="left"/>
        <w:rPr>
          <w:i/>
          <w:sz w:val="22"/>
          <w:szCs w:val="22"/>
        </w:rPr>
      </w:pPr>
      <w:r>
        <w:rPr>
          <w:i/>
          <w:sz w:val="22"/>
          <w:szCs w:val="22"/>
        </w:rPr>
        <w:t>Graph 2</w:t>
      </w:r>
      <w:r w:rsidRPr="00EC2DC0">
        <w:rPr>
          <w:i/>
          <w:sz w:val="22"/>
          <w:szCs w:val="22"/>
        </w:rPr>
        <w:t>. Number of legislative proposals</w:t>
      </w:r>
      <w:r>
        <w:rPr>
          <w:i/>
          <w:sz w:val="22"/>
          <w:szCs w:val="22"/>
        </w:rPr>
        <w:t xml:space="preserve"> over</w:t>
      </w:r>
      <w:r w:rsidRPr="00EC2DC0">
        <w:rPr>
          <w:i/>
          <w:sz w:val="22"/>
          <w:szCs w:val="22"/>
        </w:rPr>
        <w:t xml:space="preserve"> 2011-2015</w:t>
      </w:r>
    </w:p>
    <w:p w:rsidR="00FA7B57" w:rsidRDefault="00FC05E0" w:rsidP="00FA7B57">
      <w:pPr>
        <w:jc w:val="center"/>
        <w:rPr>
          <w:b/>
          <w:i/>
        </w:rPr>
      </w:pPr>
      <w:r>
        <w:rPr>
          <w:b/>
          <w:i/>
          <w:noProof/>
          <w:lang w:eastAsia="en-GB"/>
        </w:rPr>
        <w:drawing>
          <wp:inline distT="0" distB="0" distL="0" distR="0" wp14:anchorId="5D94173E" wp14:editId="154C9013">
            <wp:extent cx="2360250" cy="12821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 COMM graph2 edit v2.jpg"/>
                    <pic:cNvPicPr/>
                  </pic:nvPicPr>
                  <pic:blipFill>
                    <a:blip r:embed="rId17">
                      <a:extLst>
                        <a:ext uri="{28A0092B-C50C-407E-A947-70E740481C1C}">
                          <a14:useLocalDpi xmlns:a14="http://schemas.microsoft.com/office/drawing/2010/main" val="0"/>
                        </a:ext>
                      </a:extLst>
                    </a:blip>
                    <a:stretch>
                      <a:fillRect/>
                    </a:stretch>
                  </pic:blipFill>
                  <pic:spPr>
                    <a:xfrm>
                      <a:off x="0" y="0"/>
                      <a:ext cx="2361214" cy="1282635"/>
                    </a:xfrm>
                    <a:prstGeom prst="rect">
                      <a:avLst/>
                    </a:prstGeom>
                  </pic:spPr>
                </pic:pic>
              </a:graphicData>
            </a:graphic>
          </wp:inline>
        </w:drawing>
      </w:r>
    </w:p>
    <w:p w:rsidR="004C55B2" w:rsidRDefault="00FB582A" w:rsidP="00582408">
      <w:r>
        <w:t xml:space="preserve">Not only </w:t>
      </w:r>
      <w:r w:rsidR="0079403E">
        <w:t xml:space="preserve">does </w:t>
      </w:r>
      <w:r>
        <w:t xml:space="preserve">the Commission </w:t>
      </w:r>
      <w:r w:rsidR="000A5D85">
        <w:t xml:space="preserve">strive to focus on what </w:t>
      </w:r>
      <w:r w:rsidR="00B9780C">
        <w:t xml:space="preserve">is </w:t>
      </w:r>
      <w:r w:rsidR="0079403E">
        <w:t>necessary</w:t>
      </w:r>
      <w:r w:rsidR="00B9780C">
        <w:t xml:space="preserve"> and </w:t>
      </w:r>
      <w:r w:rsidR="000A5D85">
        <w:t xml:space="preserve">matters for citizens, but also to fight inertia. 90 proposals that had become outdated or which were not advancing in the </w:t>
      </w:r>
      <w:r w:rsidR="00136C25">
        <w:t xml:space="preserve">European </w:t>
      </w:r>
      <w:r w:rsidR="000A5D85">
        <w:t xml:space="preserve">legislative process </w:t>
      </w:r>
      <w:r w:rsidR="007E40C6">
        <w:t xml:space="preserve">have been taken </w:t>
      </w:r>
      <w:r w:rsidR="000A5D85">
        <w:t xml:space="preserve">off the table of the </w:t>
      </w:r>
      <w:r w:rsidR="007E40C6">
        <w:t>co-</w:t>
      </w:r>
      <w:r w:rsidR="000A5D85">
        <w:t>legislators over the past two years</w:t>
      </w:r>
      <w:r w:rsidR="007E40C6">
        <w:t>, to allow the focus to be on the priority files. The existing body of EU law was reduced by abolishing</w:t>
      </w:r>
      <w:r w:rsidR="000A5D85">
        <w:t xml:space="preserve"> </w:t>
      </w:r>
      <w:r w:rsidR="000A5D85" w:rsidRPr="00B023F6">
        <w:t>3</w:t>
      </w:r>
      <w:r w:rsidR="000A5D85" w:rsidRPr="00A35F99">
        <w:t>2</w:t>
      </w:r>
      <w:r w:rsidR="000A5D85">
        <w:t xml:space="preserve"> o</w:t>
      </w:r>
      <w:r w:rsidR="007E40C6">
        <w:t>utdated</w:t>
      </w:r>
      <w:r w:rsidR="000A5D85">
        <w:t xml:space="preserve"> laws</w:t>
      </w:r>
      <w:r w:rsidR="007E40C6">
        <w:t>, and work was launched to simplify existing rules in some</w:t>
      </w:r>
      <w:r w:rsidR="000A5D85">
        <w:t xml:space="preserve"> </w:t>
      </w:r>
      <w:r w:rsidR="00A76AEE">
        <w:t>103</w:t>
      </w:r>
      <w:r w:rsidR="005F0632">
        <w:t xml:space="preserve"> </w:t>
      </w:r>
      <w:r w:rsidR="007E40C6">
        <w:t>areas</w:t>
      </w:r>
      <w:r w:rsidR="005F0632">
        <w:t xml:space="preserve">. </w:t>
      </w:r>
    </w:p>
    <w:p w:rsidR="005F0632" w:rsidRDefault="000A5D85" w:rsidP="00582408">
      <w:r>
        <w:t xml:space="preserve">Better regulation </w:t>
      </w:r>
      <w:r w:rsidR="00136C25">
        <w:t xml:space="preserve">also </w:t>
      </w:r>
      <w:r w:rsidR="00977A85">
        <w:t>requires</w:t>
      </w:r>
      <w:r>
        <w:t xml:space="preserve"> regulation</w:t>
      </w:r>
      <w:r w:rsidR="00977A85">
        <w:t xml:space="preserve"> to be</w:t>
      </w:r>
      <w:r>
        <w:t xml:space="preserve"> prepared in full knowledge of its expected effects</w:t>
      </w:r>
      <w:r w:rsidR="00136C25">
        <w:t>,</w:t>
      </w:r>
      <w:r>
        <w:t xml:space="preserve"> to </w:t>
      </w:r>
      <w:r w:rsidR="00136C25">
        <w:t>maximise positive impact and avoid</w:t>
      </w:r>
      <w:r>
        <w:t xml:space="preserve"> unnecessary burdens and red-tape on </w:t>
      </w:r>
      <w:r w:rsidR="0079403E">
        <w:t xml:space="preserve">citizens, </w:t>
      </w:r>
      <w:r>
        <w:t xml:space="preserve">businesses and public authorities. Part of the Commission commitment to better regulation is </w:t>
      </w:r>
      <w:r w:rsidR="00977A85">
        <w:t xml:space="preserve">thus </w:t>
      </w:r>
      <w:r>
        <w:t>to stick to evidence</w:t>
      </w:r>
      <w:r w:rsidR="00136C25">
        <w:t>-</w:t>
      </w:r>
      <w:r>
        <w:t>based rule-making.</w:t>
      </w:r>
      <w:r w:rsidR="00136C25">
        <w:t xml:space="preserve"> Be</w:t>
      </w:r>
      <w:r w:rsidR="00C355B8">
        <w:t xml:space="preserve">fore </w:t>
      </w:r>
      <w:r w:rsidR="00136C25">
        <w:t>new l</w:t>
      </w:r>
      <w:r w:rsidR="00C355B8">
        <w:t>egislation</w:t>
      </w:r>
      <w:r>
        <w:t xml:space="preserve"> is proposed</w:t>
      </w:r>
      <w:r w:rsidR="00C355B8">
        <w:t xml:space="preserve">, the Commission thoroughly </w:t>
      </w:r>
      <w:r w:rsidR="00A5547B">
        <w:t xml:space="preserve">evaluates past experience, studies and consults on possible impacts and </w:t>
      </w:r>
      <w:r w:rsidR="00074D67">
        <w:t>assess</w:t>
      </w:r>
      <w:r w:rsidR="00C355B8">
        <w:t>es</w:t>
      </w:r>
      <w:r w:rsidR="00074D67">
        <w:t xml:space="preserve"> </w:t>
      </w:r>
      <w:r w:rsidR="00582408">
        <w:t xml:space="preserve">whether action should be </w:t>
      </w:r>
      <w:r w:rsidR="00C355B8">
        <w:t xml:space="preserve">taken </w:t>
      </w:r>
      <w:r w:rsidR="00582408">
        <w:t>by the Union or is best left to the Member States.</w:t>
      </w:r>
      <w:r w:rsidR="005F0632">
        <w:t xml:space="preserve"> </w:t>
      </w:r>
      <w:r w:rsidR="008A21F2">
        <w:t xml:space="preserve">  </w:t>
      </w:r>
    </w:p>
    <w:p w:rsidR="00C30FBA" w:rsidRDefault="00FC6F3F" w:rsidP="00C30FBA">
      <w:r w:rsidRPr="00EC2DC0">
        <w:t>Better regulation</w:t>
      </w:r>
      <w:r w:rsidR="00C355B8" w:rsidRPr="00EC2DC0">
        <w:t xml:space="preserve"> is not the sole responsibility of the </w:t>
      </w:r>
      <w:r w:rsidR="00A5547B" w:rsidRPr="00EC2DC0">
        <w:t xml:space="preserve">European </w:t>
      </w:r>
      <w:r w:rsidR="00C355B8" w:rsidRPr="00EC2DC0">
        <w:t>Commission; it is a joint endeavour with the European Parliament, the Council and the Member States as</w:t>
      </w:r>
      <w:r w:rsidR="000A5D85" w:rsidRPr="00EC2DC0">
        <w:t xml:space="preserve"> </w:t>
      </w:r>
      <w:r w:rsidR="00C355B8" w:rsidRPr="00EC2DC0">
        <w:t>each ha</w:t>
      </w:r>
      <w:r w:rsidR="000A5D85" w:rsidRPr="00EC2DC0">
        <w:t>s</w:t>
      </w:r>
      <w:r w:rsidR="00C355B8" w:rsidRPr="00EC2DC0">
        <w:t xml:space="preserve"> roles and responsibilities to fulfil.</w:t>
      </w:r>
      <w:r w:rsidR="000A5D85">
        <w:t xml:space="preserve"> No</w:t>
      </w:r>
      <w:r>
        <w:t>r</w:t>
      </w:r>
      <w:r w:rsidR="000A5D85">
        <w:t xml:space="preserve"> i</w:t>
      </w:r>
      <w:r w:rsidR="00EC2DC0">
        <w:t>s</w:t>
      </w:r>
      <w:r w:rsidR="000A5D85">
        <w:t xml:space="preserve"> i</w:t>
      </w:r>
      <w:r w:rsidR="00A5547B">
        <w:t>t</w:t>
      </w:r>
      <w:r w:rsidR="000A5D85">
        <w:t xml:space="preserve"> a matter of concern only when new legislation is prepared and designed.</w:t>
      </w:r>
      <w:r w:rsidR="00480B35">
        <w:t xml:space="preserve"> At any stage in the policy cycle, from legislative negotiations between Parliament and Council to transposition and implementation by </w:t>
      </w:r>
      <w:r w:rsidR="00A5547B">
        <w:t xml:space="preserve">the </w:t>
      </w:r>
      <w:r w:rsidR="00480B35">
        <w:t>Member States</w:t>
      </w:r>
      <w:r w:rsidR="00A5547B">
        <w:t xml:space="preserve"> and the Commission</w:t>
      </w:r>
      <w:r w:rsidR="00480B35">
        <w:t>, better regulation should come into play.</w:t>
      </w:r>
      <w:r w:rsidR="00A5547B">
        <w:t xml:space="preserve"> </w:t>
      </w:r>
      <w:r w:rsidR="00D704C0">
        <w:t>To succeed,</w:t>
      </w:r>
      <w:r w:rsidR="00EC2DC0">
        <w:t xml:space="preserve"> </w:t>
      </w:r>
      <w:r w:rsidR="00475A88">
        <w:t xml:space="preserve">we all </w:t>
      </w:r>
      <w:r w:rsidR="00D704C0">
        <w:t xml:space="preserve">need to focus, </w:t>
      </w:r>
      <w:r w:rsidR="00FE324D">
        <w:t xml:space="preserve">to be effective, </w:t>
      </w:r>
      <w:r w:rsidR="00D704C0">
        <w:t>to simplify</w:t>
      </w:r>
      <w:r w:rsidR="00475A88">
        <w:t>,</w:t>
      </w:r>
      <w:r w:rsidR="00D704C0">
        <w:t xml:space="preserve"> to be transparent and to act at the right level.    </w:t>
      </w:r>
    </w:p>
    <w:p w:rsidR="00FC530C" w:rsidRDefault="00A5547B" w:rsidP="00C30FBA">
      <w:pPr>
        <w:rPr>
          <w:b/>
          <w:i/>
        </w:rPr>
      </w:pPr>
      <w:r>
        <w:rPr>
          <w:b/>
          <w:i/>
        </w:rPr>
        <w:br/>
      </w:r>
    </w:p>
    <w:p w:rsidR="001B17AC" w:rsidRPr="00C30FBA" w:rsidRDefault="00D704C0" w:rsidP="00C30FBA">
      <w:r>
        <w:rPr>
          <w:b/>
          <w:i/>
        </w:rPr>
        <w:t>Being big on the big things</w:t>
      </w:r>
    </w:p>
    <w:p w:rsidR="00026A1E" w:rsidRDefault="00F8752C" w:rsidP="00925D38">
      <w:r>
        <w:t xml:space="preserve">Over the past year, </w:t>
      </w:r>
      <w:r w:rsidR="00143859">
        <w:t xml:space="preserve">the Commission </w:t>
      </w:r>
      <w:r>
        <w:t xml:space="preserve">has made progress in delivering </w:t>
      </w:r>
      <w:r w:rsidR="00222A7F">
        <w:t xml:space="preserve">results within </w:t>
      </w:r>
      <w:r w:rsidR="00143859">
        <w:t>President Juncker’s 10 priorities</w:t>
      </w:r>
      <w:r w:rsidR="00222A7F">
        <w:t xml:space="preserve">. We have focussed our </w:t>
      </w:r>
      <w:r w:rsidR="00A5547B">
        <w:t xml:space="preserve">work </w:t>
      </w:r>
      <w:r w:rsidR="0066576B">
        <w:t>on major initiatives with high EU added value</w:t>
      </w:r>
      <w:r w:rsidR="0079403E">
        <w:t xml:space="preserve"> in terms of </w:t>
      </w:r>
      <w:r w:rsidR="00222A7F">
        <w:t xml:space="preserve">tangible results for citizens and businesses and have reacted quickly to emerging </w:t>
      </w:r>
      <w:r w:rsidR="0079403E">
        <w:t xml:space="preserve">challenges </w:t>
      </w:r>
      <w:r w:rsidR="00222A7F">
        <w:t>which require rapid, yet sound, responses</w:t>
      </w:r>
      <w:r w:rsidR="00E5625C">
        <w:t xml:space="preserve">. </w:t>
      </w:r>
      <w:r w:rsidR="00187D9B">
        <w:t>In many cases,</w:t>
      </w:r>
      <w:r w:rsidR="00222A7F">
        <w:t xml:space="preserve"> the Commission was able to prepare and present initiatives in record time, </w:t>
      </w:r>
      <w:r w:rsidR="00222A7F">
        <w:lastRenderedPageBreak/>
        <w:t>with evidence-based analysis of their impact proportionate to each specific situation.</w:t>
      </w:r>
      <w:r w:rsidR="00187D9B">
        <w:t xml:space="preserve"> Respect of the better regulation principles helped shape proposals which did just what they needed to do, and could hence be the subject of timely adoption by the other institutions</w:t>
      </w:r>
      <w:r w:rsidR="00AA56D5">
        <w:t>, as has been the cases for example in relation to tax avoidance measures</w:t>
      </w:r>
      <w:r w:rsidR="00187D9B">
        <w:t xml:space="preserve">. </w:t>
      </w:r>
      <w:r w:rsidR="00222A7F">
        <w:t xml:space="preserve"> </w:t>
      </w:r>
    </w:p>
    <w:tbl>
      <w:tblPr>
        <w:tblStyle w:val="TableGrid"/>
        <w:tblW w:w="0" w:type="auto"/>
        <w:shd w:val="clear" w:color="auto" w:fill="F2F2F2" w:themeFill="background1" w:themeFillShade="F2"/>
        <w:tblLook w:val="04A0" w:firstRow="1" w:lastRow="0" w:firstColumn="1" w:lastColumn="0" w:noHBand="0" w:noVBand="1"/>
      </w:tblPr>
      <w:tblGrid>
        <w:gridCol w:w="8834"/>
      </w:tblGrid>
      <w:tr w:rsidR="00C30FBA" w:rsidTr="002C4869">
        <w:tc>
          <w:tcPr>
            <w:tcW w:w="8834" w:type="dxa"/>
            <w:shd w:val="clear" w:color="auto" w:fill="F2F2F2" w:themeFill="background1" w:themeFillShade="F2"/>
          </w:tcPr>
          <w:p w:rsidR="00C30FBA" w:rsidRPr="00836941" w:rsidRDefault="00C30FBA" w:rsidP="00EC2DC0">
            <w:pPr>
              <w:shd w:val="pct5" w:color="auto" w:fill="auto"/>
              <w:spacing w:after="120"/>
              <w:rPr>
                <w:b/>
                <w:i/>
              </w:rPr>
            </w:pPr>
            <w:r w:rsidRPr="00836941">
              <w:rPr>
                <w:b/>
                <w:i/>
              </w:rPr>
              <w:t>Examples of being "big</w:t>
            </w:r>
            <w:r>
              <w:rPr>
                <w:b/>
                <w:i/>
              </w:rPr>
              <w:t xml:space="preserve"> </w:t>
            </w:r>
            <w:r w:rsidRPr="00836941">
              <w:rPr>
                <w:b/>
                <w:i/>
              </w:rPr>
              <w:t>on</w:t>
            </w:r>
            <w:r>
              <w:rPr>
                <w:b/>
                <w:i/>
              </w:rPr>
              <w:t xml:space="preserve"> the </w:t>
            </w:r>
            <w:r w:rsidRPr="00836941">
              <w:rPr>
                <w:b/>
                <w:i/>
              </w:rPr>
              <w:t xml:space="preserve">big </w:t>
            </w:r>
            <w:r w:rsidR="00C24754">
              <w:rPr>
                <w:b/>
                <w:i/>
              </w:rPr>
              <w:t>things</w:t>
            </w:r>
            <w:r>
              <w:rPr>
                <w:b/>
                <w:i/>
              </w:rPr>
              <w:t xml:space="preserve">" </w:t>
            </w:r>
          </w:p>
          <w:p w:rsidR="00C30FBA" w:rsidRDefault="00C30FBA" w:rsidP="002C4869">
            <w:pPr>
              <w:pStyle w:val="ListBullet"/>
              <w:shd w:val="clear" w:color="auto" w:fill="F2F2F2" w:themeFill="background1" w:themeFillShade="F2"/>
              <w:spacing w:after="120"/>
              <w:ind w:left="284" w:hanging="284"/>
            </w:pPr>
            <w:r w:rsidRPr="002E09A6">
              <w:rPr>
                <w:i/>
              </w:rPr>
              <w:t>Boosting investment:</w:t>
            </w:r>
            <w:r>
              <w:t xml:space="preserve"> To support recovery and enhance investment for growth, </w:t>
            </w:r>
            <w:r>
              <w:br/>
              <w:t xml:space="preserve">the Commission proposed an Investment Plan for Europe, adopted in 2015. In one year, the Fund </w:t>
            </w:r>
            <w:r w:rsidR="00171EC4">
              <w:t>mobilised</w:t>
            </w:r>
            <w:r>
              <w:t xml:space="preserve"> €116 billion in new investment across 26 of our Member States. </w:t>
            </w:r>
            <w:r w:rsidR="00254258">
              <w:t xml:space="preserve">It has </w:t>
            </w:r>
            <w:r>
              <w:t xml:space="preserve">helped </w:t>
            </w:r>
            <w:r w:rsidR="00254258">
              <w:t xml:space="preserve">to </w:t>
            </w:r>
            <w:r>
              <w:t>create more than 100,000 new jobs so far. 192 financing agreements have been approved, giving 200,000 small businesses and start-ups better access to finance.</w:t>
            </w:r>
          </w:p>
          <w:p w:rsidR="00C30FBA" w:rsidRPr="0077314C" w:rsidRDefault="00C30FBA" w:rsidP="002C4869">
            <w:pPr>
              <w:pStyle w:val="ListBullet"/>
              <w:spacing w:after="120"/>
              <w:ind w:left="284" w:hanging="284"/>
              <w:rPr>
                <w:rFonts w:cs="EC Square Sans Pro"/>
                <w:color w:val="000000"/>
                <w:szCs w:val="24"/>
              </w:rPr>
            </w:pPr>
            <w:r w:rsidRPr="002E09A6">
              <w:rPr>
                <w:i/>
              </w:rPr>
              <w:t>Responding to the refugee crisis:</w:t>
            </w:r>
            <w:r>
              <w:t xml:space="preserve"> The Commission has rapidly put on the table measures to address the immediate and long term challenges of the migration crisis. </w:t>
            </w:r>
            <w:r w:rsidR="00C812B7">
              <w:t xml:space="preserve"> </w:t>
            </w:r>
            <w:r>
              <w:t>Steps were taken to</w:t>
            </w:r>
            <w:r w:rsidR="000C25BC">
              <w:t xml:space="preserve"> manage irregular migratory flows,</w:t>
            </w:r>
            <w:r>
              <w:t xml:space="preserve"> save lives at sea, </w:t>
            </w:r>
            <w:r w:rsidRPr="00A72E4B">
              <w:rPr>
                <w:rFonts w:cs="EC Square Sans Pro"/>
                <w:bCs/>
                <w:color w:val="000000"/>
                <w:szCs w:val="24"/>
              </w:rPr>
              <w:t>ensure solidarity for frontline Member States by proposing to relocate and reset</w:t>
            </w:r>
            <w:r w:rsidRPr="00A72E4B">
              <w:rPr>
                <w:rFonts w:cs="EC Square Sans Pro"/>
                <w:bCs/>
                <w:color w:val="000000"/>
                <w:szCs w:val="24"/>
              </w:rPr>
              <w:softHyphen/>
              <w:t>tle asylum seekers</w:t>
            </w:r>
            <w:r w:rsidR="000C25BC">
              <w:rPr>
                <w:rFonts w:cs="EC Square Sans Pro"/>
                <w:bCs/>
                <w:color w:val="000000"/>
                <w:szCs w:val="24"/>
              </w:rPr>
              <w:t>,</w:t>
            </w:r>
            <w:r w:rsidRPr="00A72E4B">
              <w:rPr>
                <w:rFonts w:cs="EC Square Sans Pro"/>
                <w:bCs/>
                <w:color w:val="000000"/>
                <w:szCs w:val="24"/>
              </w:rPr>
              <w:t xml:space="preserve"> and strengthen control of external borders and returns</w:t>
            </w:r>
            <w:r w:rsidRPr="00A72E4B">
              <w:rPr>
                <w:rFonts w:cs="EC Square Sans Pro"/>
                <w:color w:val="000000"/>
                <w:szCs w:val="24"/>
              </w:rPr>
              <w:t>. Last year, Member State</w:t>
            </w:r>
            <w:r>
              <w:rPr>
                <w:rFonts w:cs="EC Square Sans Pro"/>
                <w:color w:val="000000"/>
                <w:szCs w:val="24"/>
              </w:rPr>
              <w:t>s</w:t>
            </w:r>
            <w:r w:rsidRPr="00A72E4B">
              <w:rPr>
                <w:rFonts w:cs="EC Square Sans Pro"/>
                <w:color w:val="000000"/>
                <w:szCs w:val="24"/>
              </w:rPr>
              <w:t xml:space="preserve"> agreed to Commission proposals to relocate 160,000 people in need of international protection from Italy and Greece, and to resettle 22,000 displaced people from outside the EU. </w:t>
            </w:r>
            <w:r w:rsidRPr="00EF3944">
              <w:rPr>
                <w:rFonts w:cs="EC Square Sans Pro"/>
                <w:color w:val="000000"/>
                <w:szCs w:val="24"/>
              </w:rPr>
              <w:t xml:space="preserve">So far </w:t>
            </w:r>
            <w:r w:rsidR="001533BB" w:rsidRPr="00EF3944">
              <w:rPr>
                <w:rFonts w:cs="EC Square Sans Pro"/>
                <w:color w:val="000000"/>
                <w:szCs w:val="24"/>
              </w:rPr>
              <w:t xml:space="preserve">well over 13,000 </w:t>
            </w:r>
            <w:r w:rsidRPr="00EF3944">
              <w:rPr>
                <w:rFonts w:cs="EC Square Sans Pro"/>
                <w:color w:val="000000"/>
                <w:szCs w:val="24"/>
              </w:rPr>
              <w:t>people have been relocated or resettled.</w:t>
            </w:r>
            <w:r w:rsidR="00D44D76">
              <w:rPr>
                <w:rFonts w:cs="EC Square Sans Pro"/>
                <w:color w:val="000000"/>
                <w:szCs w:val="24"/>
              </w:rPr>
              <w:t xml:space="preserve"> </w:t>
            </w:r>
            <w:r w:rsidR="0077314C" w:rsidRPr="0077314C">
              <w:rPr>
                <w:rFonts w:cs="EC Square Sans Pro"/>
                <w:color w:val="000000"/>
                <w:szCs w:val="24"/>
              </w:rPr>
              <w:t>In the last year, the EU has undertaken an unprecedented mobilisation of the EU budget of over €10 billion in 2015</w:t>
            </w:r>
            <w:r w:rsidR="00FF3AC5">
              <w:rPr>
                <w:rFonts w:cs="EC Square Sans Pro"/>
                <w:color w:val="000000"/>
                <w:szCs w:val="24"/>
              </w:rPr>
              <w:t xml:space="preserve"> </w:t>
            </w:r>
            <w:r w:rsidR="0077314C" w:rsidRPr="0077314C">
              <w:rPr>
                <w:rFonts w:cs="EC Square Sans Pro"/>
                <w:color w:val="000000"/>
                <w:szCs w:val="24"/>
              </w:rPr>
              <w:t>and 2016 to address the refugee crisis and assist the countries most affected.</w:t>
            </w:r>
            <w:r w:rsidR="0077314C">
              <w:rPr>
                <w:rStyle w:val="FootnoteReference"/>
                <w:rFonts w:cs="EC Square Sans Pro"/>
                <w:color w:val="000000"/>
                <w:szCs w:val="24"/>
              </w:rPr>
              <w:footnoteReference w:id="3"/>
            </w:r>
          </w:p>
          <w:p w:rsidR="00C30FBA" w:rsidRDefault="00C30FBA" w:rsidP="00EC2DC0">
            <w:pPr>
              <w:pStyle w:val="ListBullet"/>
              <w:shd w:val="pct5" w:color="auto" w:fill="auto"/>
              <w:spacing w:after="120"/>
            </w:pPr>
            <w:r w:rsidRPr="002E09A6">
              <w:rPr>
                <w:i/>
              </w:rPr>
              <w:t>Strengthening borders</w:t>
            </w:r>
            <w:r>
              <w:t>: The Commission</w:t>
            </w:r>
            <w:r w:rsidR="000C25BC">
              <w:t>'s proposal for</w:t>
            </w:r>
            <w:r>
              <w:t xml:space="preserve"> a Regulation establishing a </w:t>
            </w:r>
            <w:r w:rsidRPr="00836941">
              <w:t>European Border and Coast Guard</w:t>
            </w:r>
            <w:r w:rsidR="00D44D76">
              <w:t>, proposed by the Commission in December 2015,</w:t>
            </w:r>
            <w:r w:rsidR="000C25BC">
              <w:t xml:space="preserve"> was</w:t>
            </w:r>
            <w:r>
              <w:t xml:space="preserve"> agreed in record time by the </w:t>
            </w:r>
            <w:r w:rsidR="000C25BC">
              <w:t>co-</w:t>
            </w:r>
            <w:r>
              <w:t>legislator</w:t>
            </w:r>
            <w:r w:rsidR="000C25BC">
              <w:t>s</w:t>
            </w:r>
            <w:r>
              <w:t xml:space="preserve"> in July this year. </w:t>
            </w:r>
            <w:r w:rsidRPr="003F3FED">
              <w:t>Th</w:t>
            </w:r>
            <w:r>
              <w:t>e proposal</w:t>
            </w:r>
            <w:r w:rsidRPr="003F3FED">
              <w:t xml:space="preserve"> </w:t>
            </w:r>
            <w:r>
              <w:t>addresses</w:t>
            </w:r>
            <w:r w:rsidRPr="003F3FED">
              <w:t xml:space="preserve"> the shortcomings identified during the migration crisis</w:t>
            </w:r>
            <w:r>
              <w:t>,</w:t>
            </w:r>
            <w:r w:rsidRPr="003F3FED">
              <w:t xml:space="preserve"> </w:t>
            </w:r>
            <w:r>
              <w:t>by introducing</w:t>
            </w:r>
            <w:r w:rsidRPr="003F3FED">
              <w:t xml:space="preserve"> </w:t>
            </w:r>
            <w:r w:rsidR="000C25BC">
              <w:t xml:space="preserve">preventive </w:t>
            </w:r>
            <w:r w:rsidRPr="003F3FED">
              <w:t>vulnerability assessments</w:t>
            </w:r>
            <w:r>
              <w:t xml:space="preserve"> of Member States border control systems</w:t>
            </w:r>
            <w:r w:rsidRPr="003F3FED">
              <w:t xml:space="preserve">, a systematic approach for launching Union action and standing pools of </w:t>
            </w:r>
            <w:r w:rsidR="000C25BC">
              <w:t xml:space="preserve">human resources </w:t>
            </w:r>
            <w:r w:rsidRPr="003F3FED">
              <w:t>and equipment</w:t>
            </w:r>
            <w:r>
              <w:t>.</w:t>
            </w:r>
            <w:r w:rsidRPr="003F3FED">
              <w:rPr>
                <w:rStyle w:val="FootnoteReference"/>
              </w:rPr>
              <w:footnoteReference w:id="4"/>
            </w:r>
            <w:r>
              <w:t xml:space="preserve"> </w:t>
            </w:r>
          </w:p>
          <w:p w:rsidR="00C30FBA" w:rsidRDefault="00C30FBA" w:rsidP="00EC2DC0">
            <w:pPr>
              <w:pStyle w:val="ListBullet"/>
              <w:shd w:val="pct5" w:color="auto" w:fill="auto"/>
              <w:spacing w:after="120"/>
              <w:ind w:left="284" w:hanging="284"/>
            </w:pPr>
            <w:r w:rsidRPr="002E09A6">
              <w:rPr>
                <w:i/>
              </w:rPr>
              <w:t>Fostering innovation through a Digital Single Market</w:t>
            </w:r>
            <w:r>
              <w:t xml:space="preserve">: The Commission proposed to </w:t>
            </w:r>
            <w:r w:rsidRPr="00886962">
              <w:t>eliminat</w:t>
            </w:r>
            <w:r>
              <w:t>e</w:t>
            </w:r>
            <w:r w:rsidRPr="00886962">
              <w:t xml:space="preserve"> the key contract law-related barriers hindering cross-border </w:t>
            </w:r>
            <w:r>
              <w:t>supply of digital content and online/distance sale of goods.</w:t>
            </w:r>
            <w:r>
              <w:rPr>
                <w:rStyle w:val="FootnoteReference"/>
              </w:rPr>
              <w:footnoteReference w:id="5"/>
            </w:r>
            <w:r>
              <w:t xml:space="preserve"> </w:t>
            </w:r>
            <w:r w:rsidRPr="003F3FED">
              <w:t xml:space="preserve">Impact assessments </w:t>
            </w:r>
            <w:r>
              <w:t>showed that harmonised rules for digital content products will reduce the costs for traders and encourage them to expand across borders. At least 122,000 more businesses are expected to start selling online to other EU countries with between 8 and 13 million additional consumers</w:t>
            </w:r>
            <w:r w:rsidR="000C25BC">
              <w:t>.</w:t>
            </w:r>
          </w:p>
          <w:p w:rsidR="00C30FBA" w:rsidRDefault="00056610" w:rsidP="002C4869">
            <w:pPr>
              <w:pStyle w:val="ListBullet"/>
              <w:shd w:val="clear" w:color="auto" w:fill="F2F2F2" w:themeFill="background1" w:themeFillShade="F2"/>
              <w:spacing w:after="120"/>
              <w:ind w:left="284" w:hanging="284"/>
            </w:pPr>
            <w:r w:rsidRPr="002E09A6">
              <w:rPr>
                <w:i/>
              </w:rPr>
              <w:t>Building an Energy Union</w:t>
            </w:r>
            <w:r>
              <w:rPr>
                <w:i/>
              </w:rPr>
              <w:t xml:space="preserve"> and combatting climate change</w:t>
            </w:r>
            <w:r>
              <w:t xml:space="preserve">: </w:t>
            </w:r>
            <w:r w:rsidRPr="008D1C3D">
              <w:t xml:space="preserve">In February 2016, </w:t>
            </w:r>
            <w:r>
              <w:t xml:space="preserve">the Commission </w:t>
            </w:r>
            <w:r w:rsidRPr="008D1C3D">
              <w:t>presented new measures on energy security, which will</w:t>
            </w:r>
            <w:r>
              <w:t xml:space="preserve"> improve interconnections across Europe and</w:t>
            </w:r>
            <w:r w:rsidRPr="008D1C3D">
              <w:t xml:space="preserve"> minimise </w:t>
            </w:r>
            <w:r>
              <w:t xml:space="preserve">risks of </w:t>
            </w:r>
            <w:r w:rsidRPr="008D1C3D">
              <w:t>interruptions o</w:t>
            </w:r>
            <w:r>
              <w:t>f</w:t>
            </w:r>
            <w:r w:rsidRPr="008D1C3D">
              <w:t xml:space="preserve"> supply. Solidarity among Member States will help to protect households and essential social services in </w:t>
            </w:r>
            <w:r>
              <w:t>case</w:t>
            </w:r>
            <w:r w:rsidRPr="008D1C3D">
              <w:t xml:space="preserve">s of crisis.  </w:t>
            </w:r>
            <w:r w:rsidR="00C30FBA">
              <w:t xml:space="preserve">The Commission steered the work leading to the Paris Climate Change agreement and is following up on the European Union's </w:t>
            </w:r>
            <w:r w:rsidR="00FC530C">
              <w:t xml:space="preserve">commitments </w:t>
            </w:r>
            <w:r w:rsidR="00FC530C">
              <w:lastRenderedPageBreak/>
              <w:t>on</w:t>
            </w:r>
            <w:r w:rsidR="00C30FBA" w:rsidRPr="0002174F">
              <w:t xml:space="preserve"> binding annual greenhouse gas emission reductions by Member States from 2021 to 2030</w:t>
            </w:r>
            <w:r w:rsidR="00C30FBA">
              <w:rPr>
                <w:rStyle w:val="FootnoteReference"/>
              </w:rPr>
              <w:footnoteReference w:id="6"/>
            </w:r>
            <w:r w:rsidR="00C30FBA">
              <w:t xml:space="preserve">, including the modification of the EU's Emissions Trading System </w:t>
            </w:r>
            <w:r w:rsidR="00C30FBA" w:rsidRPr="0002174F">
              <w:t>to enhance cost-effective emission reductions and low-carbon investments</w:t>
            </w:r>
            <w:r w:rsidR="00C30FBA">
              <w:t>. A thorough</w:t>
            </w:r>
            <w:r w:rsidR="00C30FBA" w:rsidRPr="003F3FED">
              <w:t xml:space="preserve"> impact assessment helped shape a proposal that was proportionate and that ensured fair effort sharing amongst the Member States, </w:t>
            </w:r>
            <w:r w:rsidR="00C30FBA">
              <w:t xml:space="preserve">the </w:t>
            </w:r>
            <w:r w:rsidR="00C30FBA" w:rsidRPr="003F3FED">
              <w:t xml:space="preserve">protection of industry's international competitiveness and </w:t>
            </w:r>
            <w:r w:rsidR="00C30FBA">
              <w:t xml:space="preserve">more and better </w:t>
            </w:r>
            <w:r w:rsidR="00C30FBA" w:rsidRPr="003F3FED">
              <w:t>investments in low-carbon technologies</w:t>
            </w:r>
            <w:r w:rsidR="00C30FBA">
              <w:t>.</w:t>
            </w:r>
          </w:p>
          <w:p w:rsidR="00C30FBA" w:rsidRDefault="00C30FBA" w:rsidP="002C4869">
            <w:pPr>
              <w:pStyle w:val="ListBullet"/>
              <w:shd w:val="clear" w:color="auto" w:fill="F2F2F2" w:themeFill="background1" w:themeFillShade="F2"/>
              <w:spacing w:after="120"/>
              <w:ind w:left="284" w:hanging="284"/>
            </w:pPr>
            <w:r w:rsidRPr="002C4869">
              <w:rPr>
                <w:i/>
                <w:shd w:val="clear" w:color="auto" w:fill="F2F2F2" w:themeFill="background1" w:themeFillShade="F2"/>
              </w:rPr>
              <w:t>Combatting tax evasion and avoidance</w:t>
            </w:r>
            <w:r w:rsidRPr="002C4869">
              <w:rPr>
                <w:shd w:val="clear" w:color="auto" w:fill="F2F2F2" w:themeFill="background1" w:themeFillShade="F2"/>
              </w:rPr>
              <w:t xml:space="preserve">: </w:t>
            </w:r>
            <w:r w:rsidR="00D44D76" w:rsidRPr="002C4869">
              <w:rPr>
                <w:shd w:val="clear" w:color="auto" w:fill="F2F2F2" w:themeFill="background1" w:themeFillShade="F2"/>
              </w:rPr>
              <w:t>I</w:t>
            </w:r>
            <w:r w:rsidR="00187D9B" w:rsidRPr="002C4869">
              <w:rPr>
                <w:shd w:val="clear" w:color="auto" w:fill="F2F2F2" w:themeFill="background1" w:themeFillShade="F2"/>
              </w:rPr>
              <w:t>n November 2014, leaks threw light on the sometimes abusive use of tax rulings. The Commission quickly defined a wide-ranging agenda for fairer, simpler and more effective corporate taxation in the EU. The Commission proposal on automatic exchange of information on Member States' tax rulings was presented in January 2015 and adopted by the end of the year. Proposals on the reporting by multinational companies of tax-related information and exchange of that information between Member States and for proposal for an Anti-Tax Avoidance directive were tabled in January 2016 and agreed in March 2016 and in June 2016.</w:t>
            </w:r>
            <w:r w:rsidR="00AA56D5">
              <w:t xml:space="preserve"> </w:t>
            </w:r>
          </w:p>
        </w:tc>
      </w:tr>
    </w:tbl>
    <w:p w:rsidR="007545E9" w:rsidRDefault="007545E9" w:rsidP="00A76AEE">
      <w:pPr>
        <w:spacing w:after="120"/>
        <w:rPr>
          <w:b/>
        </w:rPr>
      </w:pPr>
    </w:p>
    <w:p w:rsidR="007545E9" w:rsidRPr="00A76AEE" w:rsidRDefault="001353A6" w:rsidP="00A76AEE">
      <w:pPr>
        <w:spacing w:after="120"/>
        <w:rPr>
          <w:b/>
          <w:i/>
        </w:rPr>
      </w:pPr>
      <w:r w:rsidRPr="00A76AEE">
        <w:rPr>
          <w:b/>
          <w:i/>
        </w:rPr>
        <w:t>Delivering better regulation for better results</w:t>
      </w:r>
    </w:p>
    <w:p w:rsidR="00FA7B57" w:rsidRDefault="007420CE" w:rsidP="00A76AEE">
      <w:pPr>
        <w:spacing w:after="120"/>
      </w:pPr>
      <w:r>
        <w:t xml:space="preserve">Better regulation </w:t>
      </w:r>
      <w:r w:rsidR="00977A85">
        <w:t>leads to</w:t>
      </w:r>
      <w:r>
        <w:t xml:space="preserve"> simpler rules</w:t>
      </w:r>
      <w:r w:rsidR="00EB5DAB">
        <w:t xml:space="preserve"> that can deliver more effective results</w:t>
      </w:r>
      <w:r>
        <w:t xml:space="preserve">. </w:t>
      </w:r>
      <w:r w:rsidR="00A84AAA">
        <w:t xml:space="preserve">The Commission </w:t>
      </w:r>
      <w:r w:rsidR="00EB5DAB">
        <w:t xml:space="preserve">has </w:t>
      </w:r>
      <w:r w:rsidR="00DF7259">
        <w:t>continued</w:t>
      </w:r>
      <w:r w:rsidR="00A84AAA">
        <w:t xml:space="preserve"> </w:t>
      </w:r>
      <w:r w:rsidR="00EB5DAB">
        <w:t>our</w:t>
      </w:r>
      <w:r w:rsidR="00A84AAA">
        <w:t xml:space="preserve"> efforts </w:t>
      </w:r>
      <w:r w:rsidR="00B63B80">
        <w:t xml:space="preserve">to </w:t>
      </w:r>
      <w:r w:rsidR="00B63B80" w:rsidRPr="009D7433">
        <w:rPr>
          <w:b/>
        </w:rPr>
        <w:t>simplify existing legislation</w:t>
      </w:r>
      <w:r w:rsidR="00B63B80">
        <w:t>. Since the launch of the Regulatory Fitness Programme (REFIT)</w:t>
      </w:r>
      <w:r w:rsidR="00603AA6">
        <w:rPr>
          <w:rStyle w:val="FootnoteReference"/>
        </w:rPr>
        <w:footnoteReference w:id="7"/>
      </w:r>
      <w:r w:rsidR="00B63B80">
        <w:t xml:space="preserve"> almost 200 initiatives for burden reduction and simplification have been launched. </w:t>
      </w:r>
    </w:p>
    <w:p w:rsidR="00B63B80" w:rsidRPr="004B4E5B" w:rsidRDefault="00B63B80" w:rsidP="00A76AEE">
      <w:pPr>
        <w:spacing w:after="120"/>
        <w:rPr>
          <w:b/>
        </w:rPr>
      </w:pPr>
      <w:r>
        <w:t>Examples include: reduced financial reporting for 5 million micro-businesses (</w:t>
      </w:r>
      <w:r w:rsidR="00EB5DAB">
        <w:t xml:space="preserve">with </w:t>
      </w:r>
      <w:r>
        <w:t xml:space="preserve">estimated annual savings of about €6.3 billion); </w:t>
      </w:r>
      <w:r w:rsidR="00EB5DAB">
        <w:t xml:space="preserve">a reduction of up to 95% in the </w:t>
      </w:r>
      <w:r w:rsidR="007420CE">
        <w:t>r</w:t>
      </w:r>
      <w:r>
        <w:t>egistration fees for SMEs required by chemicals legislation (REACH)</w:t>
      </w:r>
      <w:r w:rsidR="00EB5DAB">
        <w:t xml:space="preserve">; </w:t>
      </w:r>
      <w:r w:rsidR="00803F86">
        <w:t>and</w:t>
      </w:r>
      <w:r>
        <w:t xml:space="preserve"> new electronic procurement </w:t>
      </w:r>
      <w:r w:rsidR="007420CE">
        <w:t xml:space="preserve">rules </w:t>
      </w:r>
      <w:r w:rsidR="00EB5DAB">
        <w:t xml:space="preserve">which are </w:t>
      </w:r>
      <w:r w:rsidR="007420CE">
        <w:t xml:space="preserve">expected to </w:t>
      </w:r>
      <w:r>
        <w:t>redu</w:t>
      </w:r>
      <w:r w:rsidR="007420CE">
        <w:t xml:space="preserve">ce </w:t>
      </w:r>
      <w:r>
        <w:t>procurement costs by up to 20%.</w:t>
      </w:r>
    </w:p>
    <w:tbl>
      <w:tblPr>
        <w:tblStyle w:val="TableGrid"/>
        <w:tblpPr w:leftFromText="180" w:rightFromText="180" w:vertAnchor="text" w:tblpY="8"/>
        <w:tblW w:w="0" w:type="auto"/>
        <w:tblLook w:val="04A0" w:firstRow="1" w:lastRow="0" w:firstColumn="1" w:lastColumn="0" w:noHBand="0" w:noVBand="1"/>
      </w:tblPr>
      <w:tblGrid>
        <w:gridCol w:w="8608"/>
      </w:tblGrid>
      <w:tr w:rsidR="00803F86" w:rsidTr="00EF3944">
        <w:trPr>
          <w:trHeight w:val="416"/>
        </w:trPr>
        <w:tc>
          <w:tcPr>
            <w:tcW w:w="8608" w:type="dxa"/>
            <w:shd w:val="pct5" w:color="auto" w:fill="auto"/>
          </w:tcPr>
          <w:p w:rsidR="00803F86" w:rsidRPr="00836941" w:rsidRDefault="00803F86" w:rsidP="000A28B7">
            <w:pPr>
              <w:pStyle w:val="ListBullet"/>
              <w:numPr>
                <w:ilvl w:val="0"/>
                <w:numId w:val="0"/>
              </w:numPr>
              <w:spacing w:after="120"/>
              <w:rPr>
                <w:b/>
                <w:i/>
              </w:rPr>
            </w:pPr>
            <w:r w:rsidRPr="00836941">
              <w:rPr>
                <w:b/>
                <w:i/>
              </w:rPr>
              <w:t>Examples of Commission proposals to reduce</w:t>
            </w:r>
            <w:r>
              <w:rPr>
                <w:b/>
                <w:i/>
              </w:rPr>
              <w:t xml:space="preserve"> regulatory burdens and</w:t>
            </w:r>
            <w:r w:rsidRPr="00836941">
              <w:rPr>
                <w:b/>
                <w:i/>
              </w:rPr>
              <w:t xml:space="preserve"> red-tape</w:t>
            </w:r>
          </w:p>
          <w:p w:rsidR="00475A88" w:rsidRDefault="0066576B" w:rsidP="00807F12">
            <w:pPr>
              <w:pStyle w:val="ListBullet"/>
              <w:spacing w:after="120"/>
            </w:pPr>
            <w:r w:rsidRPr="000A28B7">
              <w:t xml:space="preserve">On 6 April 2016, the Commission adopted a revised legislative proposal for </w:t>
            </w:r>
            <w:r w:rsidRPr="0077314C">
              <w:rPr>
                <w:i/>
              </w:rPr>
              <w:t>Smart Borders</w:t>
            </w:r>
            <w:r>
              <w:t xml:space="preserve"> which </w:t>
            </w:r>
            <w:r w:rsidRPr="000A28B7">
              <w:t>includes</w:t>
            </w:r>
            <w:r>
              <w:t xml:space="preserve"> an </w:t>
            </w:r>
            <w:r w:rsidRPr="000A28B7">
              <w:t xml:space="preserve">amendment to the Schengen Borders Code to integrate the technical changes needed for </w:t>
            </w:r>
            <w:r>
              <w:t>a new</w:t>
            </w:r>
            <w:r w:rsidRPr="000A28B7">
              <w:t xml:space="preserve"> </w:t>
            </w:r>
            <w:r>
              <w:t>electronic e</w:t>
            </w:r>
            <w:r w:rsidRPr="000A28B7">
              <w:t>ntry/</w:t>
            </w:r>
            <w:r>
              <w:t>e</w:t>
            </w:r>
            <w:r w:rsidRPr="000A28B7">
              <w:t xml:space="preserve">xit </w:t>
            </w:r>
            <w:r>
              <w:t>s</w:t>
            </w:r>
            <w:r w:rsidRPr="000A28B7">
              <w:t>ystem</w:t>
            </w:r>
            <w:r w:rsidR="004B4E5B">
              <w:t>. The revised proposal cut the estimated costs from €1.1 billion to</w:t>
            </w:r>
            <w:r>
              <w:t xml:space="preserve"> €480 million</w:t>
            </w:r>
            <w:r w:rsidR="00D50232">
              <w:t>.</w:t>
            </w:r>
            <w:r>
              <w:rPr>
                <w:rStyle w:val="FootnoteReference"/>
              </w:rPr>
              <w:footnoteReference w:id="8"/>
            </w:r>
          </w:p>
          <w:p w:rsidR="001E0C99" w:rsidRDefault="00C812B7" w:rsidP="00807F12">
            <w:pPr>
              <w:pStyle w:val="ListBullet"/>
              <w:spacing w:after="120"/>
            </w:pPr>
            <w:r w:rsidRPr="00F91D28">
              <w:t xml:space="preserve">The Commission </w:t>
            </w:r>
            <w:r>
              <w:t xml:space="preserve">presented an </w:t>
            </w:r>
            <w:r w:rsidRPr="0077314C">
              <w:rPr>
                <w:i/>
              </w:rPr>
              <w:t>action plan on VAT</w:t>
            </w:r>
            <w:r w:rsidRPr="00F91D28">
              <w:t xml:space="preserve"> on 7 April 2016</w:t>
            </w:r>
            <w:r>
              <w:rPr>
                <w:rStyle w:val="FootnoteReference"/>
              </w:rPr>
              <w:footnoteReference w:id="9"/>
            </w:r>
            <w:r>
              <w:t xml:space="preserve"> which announced major simplification initiatives including a proposal (to be presented in the autumn) to modernise the VAT system for cross-border e-commerce. This could lead to increased VAT revenues of €7 billion annually while decreasing business compliance costs by at least 55%. </w:t>
            </w:r>
          </w:p>
          <w:p w:rsidR="00807F12" w:rsidRDefault="00AA3E3F" w:rsidP="00807F12">
            <w:pPr>
              <w:pStyle w:val="ListBullet"/>
              <w:spacing w:after="120"/>
            </w:pPr>
            <w:r>
              <w:t xml:space="preserve">The </w:t>
            </w:r>
            <w:r w:rsidR="00171EC4">
              <w:rPr>
                <w:i/>
              </w:rPr>
              <w:t xml:space="preserve">Effort Sharing Decision </w:t>
            </w:r>
            <w:r>
              <w:t xml:space="preserve">proposal for </w:t>
            </w:r>
            <w:r w:rsidRPr="00AA3E3F">
              <w:t xml:space="preserve">binding annual greenhouse gas emission reductions by Member States from 2021 to 2030 </w:t>
            </w:r>
            <w:r>
              <w:t xml:space="preserve">will reduce administrative costs associated </w:t>
            </w:r>
            <w:r w:rsidR="001E0C99">
              <w:t>with</w:t>
            </w:r>
            <w:r>
              <w:t xml:space="preserve"> compliance monitoring and reporting by approximately €345</w:t>
            </w:r>
            <w:r w:rsidR="00D50232">
              <w:t>,</w:t>
            </w:r>
            <w:r>
              <w:t>000-460</w:t>
            </w:r>
            <w:r w:rsidR="00D50232">
              <w:t>,</w:t>
            </w:r>
            <w:r>
              <w:t xml:space="preserve">000 per </w:t>
            </w:r>
            <w:r w:rsidR="001E0C99">
              <w:t>year</w:t>
            </w:r>
            <w:r>
              <w:t xml:space="preserve">. This will be complemented by </w:t>
            </w:r>
            <w:r w:rsidR="00C812B7">
              <w:t xml:space="preserve">further simplifications in monitoring and reporting across energy and climate-related legislation later this </w:t>
            </w:r>
            <w:r w:rsidR="00C812B7">
              <w:lastRenderedPageBreak/>
              <w:t xml:space="preserve">year. </w:t>
            </w:r>
            <w:r>
              <w:t xml:space="preserve"> </w:t>
            </w:r>
          </w:p>
          <w:p w:rsidR="00634522" w:rsidRDefault="00306AD0" w:rsidP="009931E2">
            <w:pPr>
              <w:pStyle w:val="ListBullet"/>
              <w:spacing w:after="120"/>
            </w:pPr>
            <w:r w:rsidRPr="00306AD0">
              <w:t xml:space="preserve">The Commission </w:t>
            </w:r>
            <w:r w:rsidR="003932C4">
              <w:t>has proposed to</w:t>
            </w:r>
            <w:r w:rsidRPr="00306AD0">
              <w:t xml:space="preserve"> overhaul </w:t>
            </w:r>
            <w:r w:rsidRPr="0077314C">
              <w:rPr>
                <w:i/>
              </w:rPr>
              <w:t>prospectus rules</w:t>
            </w:r>
            <w:r w:rsidRPr="00306AD0">
              <w:t xml:space="preserve"> to improve access to finance for companies and </w:t>
            </w:r>
            <w:r w:rsidR="003932C4">
              <w:t xml:space="preserve">to </w:t>
            </w:r>
            <w:r w:rsidRPr="00306AD0">
              <w:t>simplify information for investors</w:t>
            </w:r>
            <w:r w:rsidR="003932C4">
              <w:t>.</w:t>
            </w:r>
            <w:r>
              <w:t xml:space="preserve"> </w:t>
            </w:r>
            <w:r w:rsidRPr="00306AD0">
              <w:t xml:space="preserve">Small and medium-sized companies in particular will find it easier to raise funding when issuing shares or debt. </w:t>
            </w:r>
            <w:r w:rsidR="003932C4">
              <w:t>More proportionate disclosure rules</w:t>
            </w:r>
            <w:r w:rsidR="003932C4" w:rsidRPr="003932C4">
              <w:t xml:space="preserve"> could translate into savings of about </w:t>
            </w:r>
            <w:r w:rsidR="003932C4">
              <w:t>€</w:t>
            </w:r>
            <w:r w:rsidR="003932C4" w:rsidRPr="003932C4">
              <w:t>130 million euro per year</w:t>
            </w:r>
            <w:r w:rsidR="003932C4">
              <w:t xml:space="preserve"> (based on the public consultation results)</w:t>
            </w:r>
            <w:r w:rsidR="00A55462">
              <w:t>.</w:t>
            </w:r>
            <w:r w:rsidR="004B4E5B">
              <w:rPr>
                <w:rStyle w:val="FootnoteReference"/>
              </w:rPr>
              <w:footnoteReference w:id="10"/>
            </w:r>
            <w:r w:rsidR="004B4E5B">
              <w:t xml:space="preserve"> An EU prospectus w</w:t>
            </w:r>
            <w:r w:rsidR="001533BB">
              <w:t>ould</w:t>
            </w:r>
            <w:r w:rsidR="004B4E5B">
              <w:t xml:space="preserve"> only be required for capital raisings above €500</w:t>
            </w:r>
            <w:r w:rsidR="00D50232">
              <w:t>,</w:t>
            </w:r>
            <w:r w:rsidR="004B4E5B">
              <w:t>000 (up from €100</w:t>
            </w:r>
            <w:r w:rsidR="00D50232">
              <w:t>,</w:t>
            </w:r>
            <w:r w:rsidR="004B4E5B">
              <w:t>000). Less complex prospectuses w</w:t>
            </w:r>
            <w:r w:rsidR="001533BB">
              <w:t>ould</w:t>
            </w:r>
            <w:r w:rsidR="004B4E5B">
              <w:t xml:space="preserve"> also be required for smaller issuers who want to tap European markets.</w:t>
            </w:r>
          </w:p>
          <w:p w:rsidR="00E12E2C" w:rsidRDefault="00E12E2C" w:rsidP="009931E2">
            <w:pPr>
              <w:pStyle w:val="ListBullet"/>
              <w:spacing w:after="120"/>
            </w:pPr>
            <w:r>
              <w:t xml:space="preserve">The proposal to simplify </w:t>
            </w:r>
            <w:r w:rsidRPr="0077314C">
              <w:rPr>
                <w:i/>
              </w:rPr>
              <w:t>EU financial rules</w:t>
            </w:r>
            <w:r>
              <w:t xml:space="preserve"> (recasting the Financial Regulation and amending 15 legal acts setting out sectoral financial rules) - adopted as part of the MFF midterm review - propos</w:t>
            </w:r>
            <w:r w:rsidR="00A55462">
              <w:t>es</w:t>
            </w:r>
            <w:r>
              <w:t xml:space="preserve"> a single EU financial rulebook cutting 25% of the current rules by combining the applicable rules of the various EU funding tools whenever possible.</w:t>
            </w:r>
          </w:p>
          <w:p w:rsidR="00E12E2C" w:rsidRDefault="00E12E2C" w:rsidP="00EF3944">
            <w:pPr>
              <w:pStyle w:val="ListBullet"/>
              <w:spacing w:after="120"/>
            </w:pPr>
            <w:r>
              <w:t>A</w:t>
            </w:r>
            <w:r w:rsidRPr="0077314C">
              <w:t xml:space="preserve">n ambitious simplification agenda is underway for the </w:t>
            </w:r>
            <w:r w:rsidRPr="009931E2">
              <w:rPr>
                <w:i/>
              </w:rPr>
              <w:t>Common Agricultural P</w:t>
            </w:r>
            <w:r w:rsidRPr="0077314C">
              <w:rPr>
                <w:i/>
              </w:rPr>
              <w:t>olicy</w:t>
            </w:r>
            <w:r w:rsidRPr="0077314C">
              <w:t>, where over 20 simplification actions have already been finalised to the direct benefit of farmers and also national administrations. Further proposals are ongoing on greening in the context of REFIT. In addition, an action plan for the rules on agricultural markets is underway, aiming for a substantial reduction of the initial 250 Commission Regulations to around 20 delegated and 20 implementing acts.</w:t>
            </w:r>
          </w:p>
          <w:p w:rsidR="00D44D76" w:rsidRDefault="00BB0094" w:rsidP="00FF3AC5">
            <w:pPr>
              <w:pStyle w:val="ListBullet"/>
            </w:pPr>
            <w:r>
              <w:t xml:space="preserve">A new </w:t>
            </w:r>
            <w:r w:rsidRPr="0077314C">
              <w:rPr>
                <w:i/>
              </w:rPr>
              <w:t>data protection regulation</w:t>
            </w:r>
            <w:r>
              <w:t xml:space="preserve"> has established a single, pan-European law replacing the 28 different laws of the Member States. This will reduce administrative burdens </w:t>
            </w:r>
            <w:r w:rsidR="00FF3AC5">
              <w:t xml:space="preserve">and </w:t>
            </w:r>
            <w:r>
              <w:t>mak</w:t>
            </w:r>
            <w:r w:rsidR="00FF3AC5">
              <w:t>e</w:t>
            </w:r>
            <w:r>
              <w:t xml:space="preserve"> it </w:t>
            </w:r>
            <w:r w:rsidR="00FF3AC5">
              <w:t>easier</w:t>
            </w:r>
            <w:r>
              <w:t xml:space="preserve"> for many companies to access new markets.</w:t>
            </w:r>
            <w:r w:rsidR="0077314C">
              <w:t xml:space="preserve"> </w:t>
            </w:r>
            <w:r>
              <w:t>The new rules will bring benefits of an estimated €2.3 billion per year</w:t>
            </w:r>
            <w:r w:rsidR="0077314C">
              <w:rPr>
                <w:rStyle w:val="FootnoteReference"/>
              </w:rPr>
              <w:footnoteReference w:id="11"/>
            </w:r>
            <w:r>
              <w:t>.</w:t>
            </w:r>
          </w:p>
        </w:tc>
      </w:tr>
    </w:tbl>
    <w:p w:rsidR="00B3343F" w:rsidRDefault="00C70633" w:rsidP="0077314C">
      <w:pPr>
        <w:spacing w:after="0"/>
        <w:rPr>
          <w:vertAlign w:val="superscript"/>
        </w:rPr>
      </w:pPr>
      <w:r>
        <w:lastRenderedPageBreak/>
        <w:br/>
      </w:r>
      <w:r w:rsidR="007420CE">
        <w:t>Listening to the input of those who will have to apply and deal with the future rules is a powerful contribution to better regulation. That</w:t>
      </w:r>
      <w:r w:rsidR="00D50232">
        <w:t xml:space="preserve"> i</w:t>
      </w:r>
      <w:r w:rsidR="007420CE">
        <w:t>s why</w:t>
      </w:r>
      <w:r w:rsidR="00D50232">
        <w:t>,</w:t>
      </w:r>
      <w:r w:rsidR="007420CE">
        <w:t xml:space="preserve"> s</w:t>
      </w:r>
      <w:r w:rsidR="00450837">
        <w:t xml:space="preserve">ince </w:t>
      </w:r>
      <w:r w:rsidR="00E6145B">
        <w:t xml:space="preserve">May 2015, the Commission </w:t>
      </w:r>
      <w:r w:rsidR="00450837">
        <w:t xml:space="preserve">has </w:t>
      </w:r>
      <w:r w:rsidR="007420CE">
        <w:t>brought about a step-change in the way it</w:t>
      </w:r>
      <w:r w:rsidR="00E6145B" w:rsidRPr="00E6145B">
        <w:t xml:space="preserve"> </w:t>
      </w:r>
      <w:r w:rsidR="00E6145B" w:rsidRPr="009D7433">
        <w:rPr>
          <w:b/>
        </w:rPr>
        <w:t>engage</w:t>
      </w:r>
      <w:r w:rsidR="007420CE">
        <w:rPr>
          <w:b/>
        </w:rPr>
        <w:t>s</w:t>
      </w:r>
      <w:r w:rsidR="00E6145B" w:rsidRPr="009D7433">
        <w:rPr>
          <w:b/>
        </w:rPr>
        <w:t xml:space="preserve"> </w:t>
      </w:r>
      <w:r w:rsidR="00E6145B" w:rsidRPr="00E6145B">
        <w:t>with all stakeholders when preparing new initiatives and evaluating existing policie</w:t>
      </w:r>
      <w:r w:rsidR="00EF00B2">
        <w:t>s</w:t>
      </w:r>
      <w:r w:rsidR="00E6145B">
        <w:t>.</w:t>
      </w:r>
      <w:r w:rsidR="00EF00B2">
        <w:t xml:space="preserve"> New, more active and more transparent ways of consulting upstream all the relevant parties </w:t>
      </w:r>
      <w:r w:rsidR="000F2313">
        <w:t>have been</w:t>
      </w:r>
      <w:r w:rsidR="00EF00B2">
        <w:t xml:space="preserve"> introduced</w:t>
      </w:r>
      <w:r w:rsidR="000F2313">
        <w:t>.</w:t>
      </w:r>
      <w:r w:rsidR="00E6145B">
        <w:t xml:space="preserve"> </w:t>
      </w:r>
      <w:r w:rsidR="007420CE">
        <w:t>S</w:t>
      </w:r>
      <w:r w:rsidR="00E6145B">
        <w:t xml:space="preserve">takeholders and citizens are now able to provide </w:t>
      </w:r>
      <w:r w:rsidR="007F05D4">
        <w:t xml:space="preserve">on-line </w:t>
      </w:r>
      <w:r w:rsidR="00E6145B">
        <w:t>feedback on the Commission's initial policy ideas</w:t>
      </w:r>
      <w:bookmarkStart w:id="2" w:name="_Ref461019107"/>
      <w:r w:rsidR="003C42AA">
        <w:rPr>
          <w:rStyle w:val="FootnoteReference"/>
        </w:rPr>
        <w:footnoteReference w:id="12"/>
      </w:r>
      <w:bookmarkEnd w:id="2"/>
      <w:r w:rsidR="00E6145B">
        <w:t xml:space="preserve">, </w:t>
      </w:r>
      <w:r w:rsidR="00EF00B2">
        <w:t xml:space="preserve">can </w:t>
      </w:r>
      <w:r w:rsidR="00E6145B">
        <w:t xml:space="preserve">participate in web-based public consultations, </w:t>
      </w:r>
      <w:r w:rsidR="00EF00B2">
        <w:t xml:space="preserve">or </w:t>
      </w:r>
      <w:r w:rsidR="00E6145B">
        <w:t>comment on the proposals the Commission makes</w:t>
      </w:r>
      <w:r w:rsidR="0016763A">
        <w:rPr>
          <w:rStyle w:val="FootnoteReference"/>
        </w:rPr>
        <w:footnoteReference w:id="13"/>
      </w:r>
      <w:r w:rsidR="00E6145B">
        <w:t xml:space="preserve"> as well </w:t>
      </w:r>
      <w:r w:rsidR="004A5394">
        <w:t xml:space="preserve">as </w:t>
      </w:r>
      <w:r w:rsidR="00E6145B">
        <w:t>comment on implementing legislation before the Commission adopts this into law under the supervision of the legislator</w:t>
      </w:r>
      <w:r w:rsidR="004A5394">
        <w:t>.</w:t>
      </w:r>
      <w:r w:rsidR="004A5394" w:rsidRPr="00B87599">
        <w:rPr>
          <w:vertAlign w:val="superscript"/>
        </w:rPr>
        <w:fldChar w:fldCharType="begin"/>
      </w:r>
      <w:r w:rsidR="004A5394" w:rsidRPr="00B87599">
        <w:rPr>
          <w:vertAlign w:val="superscript"/>
        </w:rPr>
        <w:instrText xml:space="preserve"> NOTEREF _Ref461019107 \h </w:instrText>
      </w:r>
      <w:r w:rsidR="004A5394">
        <w:rPr>
          <w:vertAlign w:val="superscript"/>
        </w:rPr>
        <w:instrText xml:space="preserve"> \* MERGEFORMAT </w:instrText>
      </w:r>
      <w:r w:rsidR="004A5394" w:rsidRPr="00B87599">
        <w:rPr>
          <w:vertAlign w:val="superscript"/>
        </w:rPr>
      </w:r>
      <w:r w:rsidR="004A5394" w:rsidRPr="00B87599">
        <w:rPr>
          <w:vertAlign w:val="superscript"/>
        </w:rPr>
        <w:fldChar w:fldCharType="separate"/>
      </w:r>
      <w:r w:rsidR="001E5226">
        <w:rPr>
          <w:vertAlign w:val="superscript"/>
        </w:rPr>
        <w:t>12</w:t>
      </w:r>
      <w:r w:rsidR="004A5394" w:rsidRPr="00B87599">
        <w:rPr>
          <w:vertAlign w:val="superscript"/>
        </w:rPr>
        <w:fldChar w:fldCharType="end"/>
      </w:r>
    </w:p>
    <w:p w:rsidR="00E6145B" w:rsidRDefault="004A5394" w:rsidP="0077314C">
      <w:pPr>
        <w:spacing w:after="0"/>
        <w:rPr>
          <w:vertAlign w:val="superscript"/>
        </w:rPr>
      </w:pPr>
      <w:r>
        <w:rPr>
          <w:vertAlign w:val="superscript"/>
        </w:rPr>
        <w:lastRenderedPageBreak/>
        <w:t xml:space="preserve"> </w:t>
      </w:r>
      <w:r>
        <w:t xml:space="preserve"> </w:t>
      </w:r>
      <w:r>
        <w:br/>
        <w:t xml:space="preserve">At the same time, the Commission strengthened its transparency portal and transparency register to open up and facilitate participation in </w:t>
      </w:r>
      <w:r>
        <w:rPr>
          <w:lang w:val="en"/>
        </w:rPr>
        <w:t>the EU decision-making process</w:t>
      </w:r>
      <w:r w:rsidR="009C0164">
        <w:rPr>
          <w:rStyle w:val="FootnoteReference"/>
        </w:rPr>
        <w:footnoteReference w:id="14"/>
      </w:r>
      <w:r w:rsidR="000F2313">
        <w:t xml:space="preserve"> and </w:t>
      </w:r>
      <w:r w:rsidR="0061608E">
        <w:t>is publishing negotiating texts and other documents relating to international trade negotiations.</w:t>
      </w:r>
      <w:r w:rsidR="009C0164" w:rsidRPr="00B87599" w:rsidDel="004A5394">
        <w:rPr>
          <w:vertAlign w:val="superscript"/>
        </w:rPr>
        <w:t xml:space="preserve"> </w:t>
      </w:r>
    </w:p>
    <w:p w:rsidR="00B3343F" w:rsidRDefault="00B3343F" w:rsidP="0077314C">
      <w:pPr>
        <w:spacing w:after="0"/>
      </w:pPr>
    </w:p>
    <w:p w:rsidR="007A4371" w:rsidRDefault="00C201BC" w:rsidP="004B4E5B">
      <w:r w:rsidRPr="0072067B">
        <w:t xml:space="preserve">The Commission </w:t>
      </w:r>
      <w:r>
        <w:t xml:space="preserve">also </w:t>
      </w:r>
      <w:r w:rsidRPr="0072067B">
        <w:t xml:space="preserve">established the </w:t>
      </w:r>
      <w:r w:rsidRPr="002E09A6">
        <w:rPr>
          <w:b/>
        </w:rPr>
        <w:t>"REFIT Platform"</w:t>
      </w:r>
      <w:r w:rsidRPr="0072067B">
        <w:t xml:space="preserve"> to </w:t>
      </w:r>
      <w:r w:rsidR="0061608E">
        <w:t>bring</w:t>
      </w:r>
      <w:r w:rsidRPr="0072067B">
        <w:t xml:space="preserve"> stakeholders and Member States </w:t>
      </w:r>
      <w:r w:rsidR="0061608E">
        <w:t>in</w:t>
      </w:r>
      <w:r w:rsidRPr="0072067B">
        <w:t xml:space="preserve">to the Commission's REFIT </w:t>
      </w:r>
      <w:r w:rsidR="0061608E">
        <w:t>work</w:t>
      </w:r>
      <w:r w:rsidRPr="0072067B">
        <w:t>. The Platform brings together high-level experts from all 28 Member States, from the European Economic and Social Committee and the Committee of the Regions and from business, social partners, and civil society appointed through an open and transparent process. Via a dedicated website</w:t>
      </w:r>
      <w:r>
        <w:rPr>
          <w:rStyle w:val="FootnoteReference"/>
        </w:rPr>
        <w:footnoteReference w:id="15"/>
      </w:r>
      <w:r w:rsidRPr="0072067B">
        <w:t xml:space="preserve"> stakeholder</w:t>
      </w:r>
      <w:r w:rsidR="00FE324D">
        <w:t>s</w:t>
      </w:r>
      <w:r w:rsidRPr="0072067B">
        <w:t xml:space="preserve"> with concerns or suggestions </w:t>
      </w:r>
      <w:r w:rsidR="00FE324D">
        <w:t xml:space="preserve">are </w:t>
      </w:r>
      <w:r w:rsidRPr="0072067B">
        <w:t xml:space="preserve">able to present their views on the impact of EU laws to the Platform and suggest how the legislation can be improved. </w:t>
      </w:r>
      <w:r w:rsidR="00D50232">
        <w:br/>
      </w:r>
      <w:r w:rsidRPr="0072067B">
        <w:t xml:space="preserve">The Platform </w:t>
      </w:r>
      <w:r>
        <w:t>has already</w:t>
      </w:r>
      <w:r w:rsidRPr="0072067B">
        <w:t xml:space="preserve"> considered</w:t>
      </w:r>
      <w:r>
        <w:t xml:space="preserve"> </w:t>
      </w:r>
      <w:r w:rsidR="00C50D78">
        <w:t>over 100 of the views expressed so far</w:t>
      </w:r>
      <w:r>
        <w:t xml:space="preserve"> which has led to 17 opinions with concrete suggestions on a wide variety of issues</w:t>
      </w:r>
      <w:r w:rsidR="00D50232">
        <w:t>.</w:t>
      </w:r>
      <w:r w:rsidR="002F450A">
        <w:rPr>
          <w:rStyle w:val="FootnoteReference"/>
        </w:rPr>
        <w:footnoteReference w:id="16"/>
      </w:r>
      <w:r>
        <w:t xml:space="preserve"> </w:t>
      </w:r>
      <w:r w:rsidR="00D50232">
        <w:br/>
      </w:r>
      <w:r>
        <w:t>The Commission will</w:t>
      </w:r>
      <w:r w:rsidRPr="0072067B">
        <w:t xml:space="preserve"> report on its </w:t>
      </w:r>
      <w:r>
        <w:t xml:space="preserve">intended </w:t>
      </w:r>
      <w:r w:rsidRPr="0072067B">
        <w:t xml:space="preserve">follow-up in </w:t>
      </w:r>
      <w:r w:rsidR="0061608E">
        <w:t>context of the Commission Work Programme for 2017</w:t>
      </w:r>
      <w:r w:rsidR="001353A6">
        <w:t>.</w:t>
      </w:r>
    </w:p>
    <w:p w:rsidR="00C201BC" w:rsidRDefault="00EF00B2" w:rsidP="004B4E5B">
      <w:r>
        <w:t>To sharpen its better regulation tool box, the Commission</w:t>
      </w:r>
      <w:r w:rsidR="00C201BC">
        <w:t xml:space="preserve"> </w:t>
      </w:r>
      <w:r>
        <w:t>has continued to improve its existing tools and practices, while adding new ones</w:t>
      </w:r>
      <w:r w:rsidR="00C201BC">
        <w:t>. Since 2003</w:t>
      </w:r>
      <w:r w:rsidR="00C201BC">
        <w:rPr>
          <w:rStyle w:val="FootnoteReference"/>
        </w:rPr>
        <w:footnoteReference w:id="17"/>
      </w:r>
      <w:r w:rsidR="00C201BC">
        <w:t xml:space="preserve">, </w:t>
      </w:r>
      <w:r w:rsidR="009C0164">
        <w:br/>
      </w:r>
      <w:r w:rsidR="00C201BC">
        <w:t xml:space="preserve">the Commission has prepared 975 </w:t>
      </w:r>
      <w:r w:rsidR="00C201BC" w:rsidRPr="009D7433">
        <w:rPr>
          <w:b/>
        </w:rPr>
        <w:t>impact assessments</w:t>
      </w:r>
      <w:r w:rsidR="00C201BC">
        <w:t xml:space="preserve"> in support of its proposals</w:t>
      </w:r>
      <w:r w:rsidR="00D26121">
        <w:t xml:space="preserve">. The Commission </w:t>
      </w:r>
      <w:r w:rsidR="004B15BC">
        <w:t xml:space="preserve">has completed 688 </w:t>
      </w:r>
      <w:r w:rsidR="004B15BC" w:rsidRPr="002E09A6">
        <w:rPr>
          <w:b/>
        </w:rPr>
        <w:t>evaluations</w:t>
      </w:r>
      <w:r w:rsidR="004B15BC">
        <w:t xml:space="preserve"> and </w:t>
      </w:r>
      <w:r w:rsidR="00D26121">
        <w:t xml:space="preserve">run </w:t>
      </w:r>
      <w:r w:rsidR="004B15BC">
        <w:t xml:space="preserve">704 </w:t>
      </w:r>
      <w:r w:rsidR="004B15BC" w:rsidRPr="002E09A6">
        <w:rPr>
          <w:b/>
        </w:rPr>
        <w:t>open public consultations</w:t>
      </w:r>
      <w:r w:rsidR="004B15BC">
        <w:t xml:space="preserve"> since 2010.</w:t>
      </w:r>
      <w:r w:rsidR="00C201BC">
        <w:t xml:space="preserve"> Independent quality control of the Commission's impact assessments is vital and has been in place inside of the Commission since </w:t>
      </w:r>
      <w:r w:rsidR="00E51EBA">
        <w:t>the end of 2007</w:t>
      </w:r>
      <w:r w:rsidR="00C201BC">
        <w:t>. T</w:t>
      </w:r>
      <w:r w:rsidR="00927CFF">
        <w:t>o</w:t>
      </w:r>
      <w:r w:rsidR="00C201BC">
        <w:t xml:space="preserve"> strengthen this, a new Regulatory Scrutiny Board replaced the previous </w:t>
      </w:r>
      <w:r w:rsidR="00977A85">
        <w:t>I</w:t>
      </w:r>
      <w:r w:rsidR="00C201BC">
        <w:t xml:space="preserve">mpact </w:t>
      </w:r>
      <w:r w:rsidR="00977A85">
        <w:t>A</w:t>
      </w:r>
      <w:r w:rsidR="00C201BC">
        <w:t xml:space="preserve">ssessment </w:t>
      </w:r>
      <w:r w:rsidR="00977A85">
        <w:t>B</w:t>
      </w:r>
      <w:r w:rsidR="00C201BC">
        <w:t>oard on 1 July 2015 including three external members</w:t>
      </w:r>
      <w:r w:rsidR="00C201BC">
        <w:rPr>
          <w:rStyle w:val="FootnoteReference"/>
        </w:rPr>
        <w:footnoteReference w:id="18"/>
      </w:r>
      <w:r w:rsidR="00C201BC">
        <w:t xml:space="preserve"> and with a wider and strengthened mandate </w:t>
      </w:r>
      <w:r w:rsidR="00D26121">
        <w:t xml:space="preserve">including </w:t>
      </w:r>
      <w:r w:rsidR="00C201BC">
        <w:t>evaluations of existing legislation. The Commission's impact assessment system has been evaluated externally and its quality recognised and ranked highly by the OECD</w:t>
      </w:r>
      <w:r w:rsidR="00D50232">
        <w:t>.</w:t>
      </w:r>
      <w:r w:rsidR="00C201BC">
        <w:rPr>
          <w:rStyle w:val="FootnoteReference"/>
        </w:rPr>
        <w:footnoteReference w:id="19"/>
      </w:r>
      <w:r w:rsidR="00C201BC">
        <w:t xml:space="preserve"> </w:t>
      </w:r>
    </w:p>
    <w:p w:rsidR="00FA7B57" w:rsidRPr="00FA7B57" w:rsidRDefault="00FA7B57" w:rsidP="002C4869">
      <w:pPr>
        <w:spacing w:after="0"/>
        <w:jc w:val="left"/>
        <w:rPr>
          <w:i/>
        </w:rPr>
      </w:pPr>
      <w:r w:rsidRPr="00FA7B57">
        <w:rPr>
          <w:i/>
        </w:rPr>
        <w:t>Graph 3. Overview of better regulation activities since the</w:t>
      </w:r>
      <w:r w:rsidR="00B9780C">
        <w:rPr>
          <w:i/>
        </w:rPr>
        <w:t>ir launch</w:t>
      </w:r>
      <w:r>
        <w:rPr>
          <w:i/>
        </w:rPr>
        <w:t xml:space="preserve"> in the Commission</w:t>
      </w:r>
    </w:p>
    <w:p w:rsidR="006956E1" w:rsidRDefault="00FA7B57" w:rsidP="004B4E5B">
      <w:r>
        <w:rPr>
          <w:noProof/>
          <w:lang w:eastAsia="en-GB"/>
        </w:rPr>
        <w:drawing>
          <wp:anchor distT="0" distB="0" distL="114300" distR="114300" simplePos="0" relativeHeight="251661312" behindDoc="0" locked="0" layoutInCell="1" allowOverlap="1" wp14:anchorId="353FE79E" wp14:editId="6FA57382">
            <wp:simplePos x="0" y="0"/>
            <wp:positionH relativeFrom="column">
              <wp:posOffset>1325880</wp:posOffset>
            </wp:positionH>
            <wp:positionV relativeFrom="paragraph">
              <wp:posOffset>125095</wp:posOffset>
            </wp:positionV>
            <wp:extent cx="2847975" cy="78422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jpg"/>
                    <pic:cNvPicPr/>
                  </pic:nvPicPr>
                  <pic:blipFill>
                    <a:blip r:embed="rId18">
                      <a:extLst>
                        <a:ext uri="{28A0092B-C50C-407E-A947-70E740481C1C}">
                          <a14:useLocalDpi xmlns:a14="http://schemas.microsoft.com/office/drawing/2010/main" val="0"/>
                        </a:ext>
                      </a:extLst>
                    </a:blip>
                    <a:stretch>
                      <a:fillRect/>
                    </a:stretch>
                  </pic:blipFill>
                  <pic:spPr>
                    <a:xfrm>
                      <a:off x="0" y="0"/>
                      <a:ext cx="2847975" cy="784225"/>
                    </a:xfrm>
                    <a:prstGeom prst="rect">
                      <a:avLst/>
                    </a:prstGeom>
                  </pic:spPr>
                </pic:pic>
              </a:graphicData>
            </a:graphic>
            <wp14:sizeRelH relativeFrom="page">
              <wp14:pctWidth>0</wp14:pctWidth>
            </wp14:sizeRelH>
            <wp14:sizeRelV relativeFrom="page">
              <wp14:pctHeight>0</wp14:pctHeight>
            </wp14:sizeRelV>
          </wp:anchor>
        </w:drawing>
      </w:r>
    </w:p>
    <w:p w:rsidR="00FA7B57" w:rsidRDefault="00FA7B57" w:rsidP="002E09A6"/>
    <w:p w:rsidR="002E09A6" w:rsidRDefault="002E09A6" w:rsidP="00A72E4B">
      <w:pPr>
        <w:pStyle w:val="ListBullet"/>
        <w:numPr>
          <w:ilvl w:val="0"/>
          <w:numId w:val="0"/>
        </w:numPr>
      </w:pPr>
    </w:p>
    <w:p w:rsidR="00B87599" w:rsidRDefault="00937E90" w:rsidP="002C4869">
      <w:pPr>
        <w:pStyle w:val="ListBullet"/>
        <w:numPr>
          <w:ilvl w:val="0"/>
          <w:numId w:val="0"/>
        </w:numPr>
        <w:spacing w:before="240"/>
      </w:pPr>
      <w:r>
        <w:t xml:space="preserve">The </w:t>
      </w:r>
      <w:r w:rsidR="008C27F8">
        <w:t>tra</w:t>
      </w:r>
      <w:r w:rsidR="00EF00B2">
        <w:t xml:space="preserve">ck record so far </w:t>
      </w:r>
      <w:r w:rsidR="008C27F8">
        <w:t xml:space="preserve">shows that </w:t>
      </w:r>
      <w:r w:rsidR="00D26121">
        <w:t xml:space="preserve">the Commission's commitment to </w:t>
      </w:r>
      <w:r w:rsidR="008C27F8">
        <w:t xml:space="preserve">better regulation is not </w:t>
      </w:r>
      <w:r w:rsidR="00D26121">
        <w:t>just</w:t>
      </w:r>
      <w:r w:rsidR="008C27F8">
        <w:t xml:space="preserve"> lip service. It is a fact.</w:t>
      </w:r>
      <w:r>
        <w:t xml:space="preserve"> </w:t>
      </w:r>
      <w:r w:rsidR="008C27F8">
        <w:t xml:space="preserve"> Changing the way regulation is prepared, engaging more transparently with stakeh</w:t>
      </w:r>
      <w:r w:rsidR="00FC6F3F">
        <w:t>o</w:t>
      </w:r>
      <w:r w:rsidR="008C27F8">
        <w:t>lders and listening to their input systematically were powerful drivers for a change in the quality and focus of</w:t>
      </w:r>
      <w:r>
        <w:t xml:space="preserve"> Commission</w:t>
      </w:r>
      <w:r w:rsidR="008C27F8">
        <w:t xml:space="preserve"> proposals. In many cases, better regulation tools</w:t>
      </w:r>
      <w:r>
        <w:t xml:space="preserve"> </w:t>
      </w:r>
      <w:r w:rsidR="008C27F8">
        <w:t xml:space="preserve">helped </w:t>
      </w:r>
      <w:r w:rsidR="009A22AB">
        <w:t>reduce or avoid unnecessary costs</w:t>
      </w:r>
      <w:r w:rsidR="008C27F8">
        <w:t>, address the</w:t>
      </w:r>
      <w:r w:rsidR="009A22AB">
        <w:t xml:space="preserve"> </w:t>
      </w:r>
      <w:r w:rsidR="003160EB">
        <w:t xml:space="preserve">specific </w:t>
      </w:r>
      <w:r w:rsidR="009A22AB">
        <w:t>problems identified by stakeholders</w:t>
      </w:r>
      <w:r w:rsidR="009A22AB">
        <w:rPr>
          <w:rStyle w:val="FootnoteReference"/>
        </w:rPr>
        <w:footnoteReference w:id="20"/>
      </w:r>
      <w:r w:rsidR="009A22AB">
        <w:t xml:space="preserve"> and</w:t>
      </w:r>
      <w:r w:rsidR="008C27F8">
        <w:t xml:space="preserve"> </w:t>
      </w:r>
      <w:r w:rsidR="00D26121">
        <w:t>deliver</w:t>
      </w:r>
      <w:r w:rsidR="009A22AB">
        <w:t xml:space="preserve"> </w:t>
      </w:r>
      <w:r w:rsidR="009A22AB" w:rsidRPr="009D7433">
        <w:rPr>
          <w:b/>
        </w:rPr>
        <w:t>more proportionate approaches</w:t>
      </w:r>
      <w:r w:rsidR="008C27F8">
        <w:rPr>
          <w:b/>
        </w:rPr>
        <w:t>, which impose less burden collectively</w:t>
      </w:r>
      <w:r w:rsidR="009A22AB">
        <w:t>.</w:t>
      </w:r>
    </w:p>
    <w:tbl>
      <w:tblPr>
        <w:tblStyle w:val="TableGrid"/>
        <w:tblW w:w="0" w:type="auto"/>
        <w:tblLook w:val="04A0" w:firstRow="1" w:lastRow="0" w:firstColumn="1" w:lastColumn="0" w:noHBand="0" w:noVBand="1"/>
      </w:tblPr>
      <w:tblGrid>
        <w:gridCol w:w="8834"/>
      </w:tblGrid>
      <w:tr w:rsidR="00836941" w:rsidTr="00EC2DC0">
        <w:tc>
          <w:tcPr>
            <w:tcW w:w="8834" w:type="dxa"/>
            <w:shd w:val="pct5" w:color="auto" w:fill="auto"/>
          </w:tcPr>
          <w:p w:rsidR="00836941" w:rsidRPr="00836941" w:rsidRDefault="00836941" w:rsidP="00173561">
            <w:pPr>
              <w:pStyle w:val="ListBullet"/>
              <w:numPr>
                <w:ilvl w:val="0"/>
                <w:numId w:val="0"/>
              </w:numPr>
              <w:spacing w:after="120"/>
              <w:rPr>
                <w:b/>
                <w:i/>
              </w:rPr>
            </w:pPr>
            <w:r w:rsidRPr="00836941">
              <w:rPr>
                <w:b/>
                <w:i/>
              </w:rPr>
              <w:t xml:space="preserve">Examples where better regulation </w:t>
            </w:r>
            <w:r w:rsidR="00D7117E">
              <w:rPr>
                <w:b/>
                <w:i/>
              </w:rPr>
              <w:t xml:space="preserve">considerations </w:t>
            </w:r>
            <w:r w:rsidRPr="00836941">
              <w:rPr>
                <w:b/>
                <w:i/>
              </w:rPr>
              <w:t>led to more proportionate approach</w:t>
            </w:r>
            <w:r w:rsidR="00D7117E">
              <w:rPr>
                <w:b/>
                <w:i/>
              </w:rPr>
              <w:t>es</w:t>
            </w:r>
          </w:p>
          <w:p w:rsidR="0039429E" w:rsidRDefault="0039429E" w:rsidP="0039429E">
            <w:pPr>
              <w:pStyle w:val="ListBullet"/>
              <w:spacing w:after="120"/>
              <w:ind w:left="284" w:hanging="284"/>
            </w:pPr>
            <w:r w:rsidRPr="00634522">
              <w:t xml:space="preserve">A </w:t>
            </w:r>
            <w:r>
              <w:t xml:space="preserve">greater decentralisation of the handling of </w:t>
            </w:r>
            <w:r w:rsidRPr="002C4869">
              <w:rPr>
                <w:i/>
              </w:rPr>
              <w:t>state aid</w:t>
            </w:r>
            <w:r w:rsidR="00D26121">
              <w:t>:</w:t>
            </w:r>
            <w:r>
              <w:t xml:space="preserve"> </w:t>
            </w:r>
            <w:r w:rsidR="00D26121">
              <w:t>a</w:t>
            </w:r>
            <w:r w:rsidRPr="00634522">
              <w:t xml:space="preserve">lmost 90% </w:t>
            </w:r>
            <w:r>
              <w:t xml:space="preserve">of state aid cases </w:t>
            </w:r>
            <w:r w:rsidR="00D26121">
              <w:t>are</w:t>
            </w:r>
            <w:r>
              <w:t xml:space="preserve"> </w:t>
            </w:r>
            <w:r w:rsidRPr="00634522">
              <w:t xml:space="preserve">now </w:t>
            </w:r>
            <w:r w:rsidR="003160EB">
              <w:t>managed</w:t>
            </w:r>
            <w:r w:rsidR="003160EB" w:rsidRPr="00634522">
              <w:t xml:space="preserve"> </w:t>
            </w:r>
            <w:r w:rsidRPr="00634522">
              <w:t>by the Member States without prior approval from the Commission.</w:t>
            </w:r>
          </w:p>
          <w:p w:rsidR="0039429E" w:rsidRDefault="0039429E" w:rsidP="0039429E">
            <w:pPr>
              <w:pStyle w:val="ListBullet"/>
              <w:spacing w:after="120"/>
              <w:ind w:left="284" w:hanging="284"/>
            </w:pPr>
            <w:r>
              <w:t xml:space="preserve">New and simpler </w:t>
            </w:r>
            <w:r w:rsidRPr="002C4869">
              <w:rPr>
                <w:i/>
              </w:rPr>
              <w:t>maritime safety rules</w:t>
            </w:r>
            <w:r>
              <w:t xml:space="preserve"> were developed building</w:t>
            </w:r>
            <w:r w:rsidRPr="005170A4">
              <w:t xml:space="preserve"> on the recommendations of the fitness check </w:t>
            </w:r>
            <w:r>
              <w:t>carried out under</w:t>
            </w:r>
            <w:r w:rsidRPr="005170A4">
              <w:t xml:space="preserve"> </w:t>
            </w:r>
            <w:r w:rsidR="00D26121">
              <w:t>REFIT</w:t>
            </w:r>
            <w:r w:rsidRPr="005170A4">
              <w:t xml:space="preserve">. </w:t>
            </w:r>
            <w:r>
              <w:t xml:space="preserve">As a result, </w:t>
            </w:r>
            <w:r w:rsidRPr="005170A4">
              <w:t>the safety of some 400 million passengers travelling on average every year in EU waters can be ensured in a more effective and efficient manner</w:t>
            </w:r>
            <w:r w:rsidR="003F4338">
              <w:t>.</w:t>
            </w:r>
            <w:r>
              <w:rPr>
                <w:rStyle w:val="FootnoteReference"/>
              </w:rPr>
              <w:footnoteReference w:id="21"/>
            </w:r>
          </w:p>
          <w:p w:rsidR="003B6ECF" w:rsidRDefault="003B6ECF" w:rsidP="00173561">
            <w:pPr>
              <w:pStyle w:val="ListBullet"/>
              <w:spacing w:after="120"/>
            </w:pPr>
            <w:r w:rsidRPr="003F4338">
              <w:t xml:space="preserve">Commission </w:t>
            </w:r>
            <w:r w:rsidR="00D7117E" w:rsidRPr="003F4338">
              <w:t xml:space="preserve">guidance </w:t>
            </w:r>
            <w:r w:rsidRPr="003F4338">
              <w:t xml:space="preserve">aimed at supporting consumers, businesses and public authorities to engage confidently in the </w:t>
            </w:r>
            <w:r w:rsidR="00D7117E" w:rsidRPr="003F4338">
              <w:t xml:space="preserve">fast-moving </w:t>
            </w:r>
            <w:r w:rsidRPr="002C4869">
              <w:rPr>
                <w:i/>
              </w:rPr>
              <w:t>collaborative economy</w:t>
            </w:r>
            <w:r w:rsidR="00D26121">
              <w:t>: t</w:t>
            </w:r>
            <w:r w:rsidR="00D7117E" w:rsidRPr="003F4338">
              <w:t>he aim is to encourage a regulatory environment that allows new business models to develop while protecting consumers and ensuring fair taxation and employment conditions</w:t>
            </w:r>
            <w:r w:rsidR="003F4338">
              <w:t>.</w:t>
            </w:r>
            <w:r w:rsidR="00D7117E">
              <w:rPr>
                <w:rStyle w:val="FootnoteReference"/>
              </w:rPr>
              <w:footnoteReference w:id="22"/>
            </w:r>
            <w:r w:rsidR="0039429E">
              <w:t xml:space="preserve"> </w:t>
            </w:r>
          </w:p>
          <w:p w:rsidR="00B45A64" w:rsidRDefault="0039429E" w:rsidP="00B3343F">
            <w:pPr>
              <w:pStyle w:val="ListBullet"/>
            </w:pPr>
            <w:r>
              <w:t>New, stricter and more transparent</w:t>
            </w:r>
            <w:r w:rsidR="0066576B" w:rsidRPr="009B3D79">
              <w:t xml:space="preserve"> </w:t>
            </w:r>
            <w:r w:rsidR="0066576B" w:rsidRPr="002C4869">
              <w:rPr>
                <w:i/>
              </w:rPr>
              <w:t>type-approval requirements for motor vehicles</w:t>
            </w:r>
            <w:r w:rsidR="00D26121">
              <w:t>,</w:t>
            </w:r>
            <w:r w:rsidR="0066576B" w:rsidRPr="009B3D79">
              <w:t xml:space="preserve"> </w:t>
            </w:r>
            <w:r w:rsidR="0066576B">
              <w:t xml:space="preserve">including </w:t>
            </w:r>
            <w:r>
              <w:t xml:space="preserve">enhanced </w:t>
            </w:r>
            <w:r w:rsidR="0066576B">
              <w:t xml:space="preserve">monitoring and surveillance </w:t>
            </w:r>
            <w:r>
              <w:t>provisions, were presented</w:t>
            </w:r>
            <w:r w:rsidR="0066576B">
              <w:t xml:space="preserve"> </w:t>
            </w:r>
            <w:r>
              <w:t>following the revelations about</w:t>
            </w:r>
            <w:r w:rsidR="0066576B">
              <w:t xml:space="preserve"> the use of “defeat devices” prevent</w:t>
            </w:r>
            <w:r>
              <w:t>ing</w:t>
            </w:r>
            <w:r w:rsidR="0066576B">
              <w:t xml:space="preserve"> adequate control of noxious emissions from passenger car</w:t>
            </w:r>
            <w:r w:rsidR="009C0164">
              <w:t>s</w:t>
            </w:r>
            <w:r w:rsidR="0032643E">
              <w:t>.</w:t>
            </w:r>
            <w:r w:rsidR="0066576B">
              <w:rPr>
                <w:rStyle w:val="FootnoteReference"/>
              </w:rPr>
              <w:footnoteReference w:id="23"/>
            </w:r>
          </w:p>
        </w:tc>
      </w:tr>
    </w:tbl>
    <w:p w:rsidR="000C0E88" w:rsidRPr="00186F0B" w:rsidRDefault="000C0E88" w:rsidP="000C0E88">
      <w:pPr>
        <w:spacing w:before="240" w:after="120"/>
        <w:rPr>
          <w:b/>
          <w:i/>
        </w:rPr>
      </w:pPr>
      <w:r>
        <w:rPr>
          <w:b/>
          <w:i/>
        </w:rPr>
        <w:t xml:space="preserve">Moving forward </w:t>
      </w:r>
    </w:p>
    <w:p w:rsidR="000C0E88" w:rsidRDefault="000C0E88" w:rsidP="000C0E88">
      <w:pPr>
        <w:spacing w:after="120"/>
      </w:pPr>
      <w:r>
        <w:t>Better regulation is about getting the European Union work better</w:t>
      </w:r>
      <w:r w:rsidR="00B9780C">
        <w:t xml:space="preserve"> and</w:t>
      </w:r>
      <w:r>
        <w:t xml:space="preserve"> transparent</w:t>
      </w:r>
      <w:r w:rsidR="00B9780C">
        <w:t>ly</w:t>
      </w:r>
      <w:r>
        <w:t xml:space="preserve">, with a strong focus on acting </w:t>
      </w:r>
      <w:r w:rsidR="00B9780C">
        <w:t xml:space="preserve">in a simpler way and </w:t>
      </w:r>
      <w:r>
        <w:t xml:space="preserve">only where it matters for citizens. This is a job for all institutions, and for the Member States. Everyone has stakes in it. The </w:t>
      </w:r>
      <w:r w:rsidRPr="002C4869">
        <w:rPr>
          <w:b/>
        </w:rPr>
        <w:t xml:space="preserve">Inter-institutional </w:t>
      </w:r>
      <w:r w:rsidR="0016588D" w:rsidRPr="002C4869">
        <w:rPr>
          <w:b/>
        </w:rPr>
        <w:t>A</w:t>
      </w:r>
      <w:r w:rsidRPr="002C4869">
        <w:rPr>
          <w:b/>
        </w:rPr>
        <w:t xml:space="preserve">greement on Better </w:t>
      </w:r>
      <w:r w:rsidR="0016588D" w:rsidRPr="002C4869">
        <w:rPr>
          <w:b/>
        </w:rPr>
        <w:t>Law-making</w:t>
      </w:r>
      <w:r>
        <w:t xml:space="preserve"> reached by the European Parliament, the Council and the European Commission</w:t>
      </w:r>
      <w:r w:rsidR="00D26121">
        <w:t>,</w:t>
      </w:r>
      <w:r>
        <w:t xml:space="preserve"> </w:t>
      </w:r>
      <w:r w:rsidR="00D26121">
        <w:t>which</w:t>
      </w:r>
      <w:r>
        <w:t xml:space="preserve"> entered into force in 2016</w:t>
      </w:r>
      <w:r w:rsidR="00D26121">
        <w:t>,</w:t>
      </w:r>
      <w:r>
        <w:t xml:space="preserve"> marks a significant step forward in the culture of better regulation. But better regulation is in itself a dynamic agenda. More action is needed. </w:t>
      </w:r>
    </w:p>
    <w:p w:rsidR="00FF3AC5" w:rsidRDefault="00FF3AC5" w:rsidP="000C0E88">
      <w:pPr>
        <w:spacing w:after="120"/>
        <w:rPr>
          <w:i/>
        </w:rPr>
      </w:pPr>
    </w:p>
    <w:p w:rsidR="000C0E88" w:rsidRPr="00EE0038" w:rsidRDefault="000C0E88" w:rsidP="000C0E88">
      <w:pPr>
        <w:spacing w:after="120"/>
        <w:rPr>
          <w:i/>
        </w:rPr>
      </w:pPr>
      <w:r w:rsidRPr="00EE0038">
        <w:rPr>
          <w:i/>
        </w:rPr>
        <w:t>Commission</w:t>
      </w:r>
    </w:p>
    <w:p w:rsidR="000C0E88" w:rsidRDefault="000C0E88" w:rsidP="000C0E88">
      <w:r w:rsidRPr="003F0D9B">
        <w:rPr>
          <w:i/>
          <w:u w:val="single"/>
        </w:rPr>
        <w:t>Staying the course:</w:t>
      </w:r>
      <w:r>
        <w:t xml:space="preserve"> The 10 priorities of the Juncker Commission </w:t>
      </w:r>
      <w:r w:rsidR="0016588D">
        <w:t xml:space="preserve">will </w:t>
      </w:r>
      <w:r>
        <w:t xml:space="preserve">continue to form the basis of the </w:t>
      </w:r>
      <w:r w:rsidRPr="009418C3">
        <w:rPr>
          <w:b/>
        </w:rPr>
        <w:t xml:space="preserve">Commission’s </w:t>
      </w:r>
      <w:r>
        <w:rPr>
          <w:b/>
        </w:rPr>
        <w:t xml:space="preserve">2017 </w:t>
      </w:r>
      <w:r w:rsidR="0016588D">
        <w:rPr>
          <w:b/>
        </w:rPr>
        <w:t>W</w:t>
      </w:r>
      <w:r w:rsidRPr="009418C3">
        <w:rPr>
          <w:b/>
        </w:rPr>
        <w:t xml:space="preserve">ork </w:t>
      </w:r>
      <w:r w:rsidR="0016588D">
        <w:rPr>
          <w:b/>
        </w:rPr>
        <w:t>P</w:t>
      </w:r>
      <w:r w:rsidRPr="009418C3">
        <w:rPr>
          <w:b/>
        </w:rPr>
        <w:t>rogramme</w:t>
      </w:r>
      <w:r w:rsidR="001E63B8">
        <w:t xml:space="preserve">, with a focus on the proposals which are most crucial to address the challenges that the EU is currently facing. </w:t>
      </w:r>
      <w:r>
        <w:t xml:space="preserve">As </w:t>
      </w:r>
      <w:r w:rsidR="00B50A5E">
        <w:t xml:space="preserve">was the case in the last two years, </w:t>
      </w:r>
      <w:r>
        <w:t xml:space="preserve">only proposals for which a good case is made </w:t>
      </w:r>
      <w:r w:rsidR="00B9780C">
        <w:t xml:space="preserve">will make their way into the </w:t>
      </w:r>
      <w:r w:rsidR="001E63B8">
        <w:t>W</w:t>
      </w:r>
      <w:r w:rsidR="00B9780C">
        <w:t xml:space="preserve">ork </w:t>
      </w:r>
      <w:r w:rsidR="001E63B8">
        <w:t>P</w:t>
      </w:r>
      <w:r w:rsidR="00B9780C">
        <w:t>rogramme</w:t>
      </w:r>
      <w:r w:rsidR="00B50A5E">
        <w:t>,</w:t>
      </w:r>
      <w:r w:rsidR="00B9780C">
        <w:t xml:space="preserve"> and </w:t>
      </w:r>
      <w:r w:rsidR="00B50A5E">
        <w:t xml:space="preserve">they </w:t>
      </w:r>
      <w:r w:rsidR="00B9780C">
        <w:t>will be prepared on the basis of</w:t>
      </w:r>
      <w:r>
        <w:t xml:space="preserve"> </w:t>
      </w:r>
      <w:r w:rsidR="00B9780C">
        <w:t xml:space="preserve">a </w:t>
      </w:r>
      <w:r>
        <w:t>prior assessment of impacts</w:t>
      </w:r>
      <w:r w:rsidR="00B50A5E">
        <w:t>,</w:t>
      </w:r>
      <w:r>
        <w:t xml:space="preserve"> building on feedback from stakeholders</w:t>
      </w:r>
      <w:r w:rsidR="003160EB">
        <w:t xml:space="preserve"> through public consultation</w:t>
      </w:r>
      <w:r w:rsidR="00B9780C">
        <w:t>.</w:t>
      </w:r>
      <w:r>
        <w:t xml:space="preserve"> </w:t>
      </w:r>
    </w:p>
    <w:p w:rsidR="000C0E88" w:rsidRDefault="000C0E88" w:rsidP="000C0E88">
      <w:r>
        <w:t xml:space="preserve">The work of the REFIT Platform, which is starting to produce its suggestions and recommendations, will bring a value added to the process. </w:t>
      </w:r>
      <w:r w:rsidR="00B9780C">
        <w:t>A</w:t>
      </w:r>
      <w:r>
        <w:t xml:space="preserve">reas </w:t>
      </w:r>
      <w:r w:rsidR="00B50A5E">
        <w:t>to be examined</w:t>
      </w:r>
      <w:r>
        <w:t xml:space="preserve"> for possible improvements and simplification will </w:t>
      </w:r>
      <w:r w:rsidR="00B9780C">
        <w:t>include</w:t>
      </w:r>
      <w:r>
        <w:t xml:space="preserve"> </w:t>
      </w:r>
      <w:r w:rsidR="00B50A5E">
        <w:t>c</w:t>
      </w:r>
      <w:r>
        <w:t>hemical legislation, occupational health and safety, financial services, VAT and the Common Agricultural Policy.</w:t>
      </w:r>
      <w:r w:rsidRPr="00291197">
        <w:t xml:space="preserve"> </w:t>
      </w:r>
    </w:p>
    <w:p w:rsidR="000C0E88" w:rsidRDefault="000C0E88" w:rsidP="000C0E88">
      <w:r w:rsidRPr="003F0D9B">
        <w:rPr>
          <w:i/>
          <w:u w:val="single"/>
        </w:rPr>
        <w:t>Working together</w:t>
      </w:r>
      <w:r w:rsidRPr="003F0D9B">
        <w:rPr>
          <w:i/>
        </w:rPr>
        <w:t>:</w:t>
      </w:r>
      <w:r>
        <w:t xml:space="preserve"> Ensuring that EU citizens can benefit from simpler, clearer and better targeted regulation is not </w:t>
      </w:r>
      <w:r w:rsidR="0016588D">
        <w:t>a</w:t>
      </w:r>
      <w:r>
        <w:t xml:space="preserve"> task for the Commission alone. A change in the culture of law-making at EU level can only happen if all the actors involved buy into this agenda and play their role. The Commission is pushing ahead to implement its commitments under the </w:t>
      </w:r>
      <w:r w:rsidR="001E63B8" w:rsidRPr="002C4869">
        <w:t>I</w:t>
      </w:r>
      <w:r w:rsidRPr="002C4869">
        <w:t xml:space="preserve">nterinstitutional </w:t>
      </w:r>
      <w:r w:rsidR="001E63B8" w:rsidRPr="002C4869">
        <w:t>A</w:t>
      </w:r>
      <w:r w:rsidRPr="002C4869">
        <w:t xml:space="preserve">greement on </w:t>
      </w:r>
      <w:r w:rsidR="001E63B8" w:rsidRPr="002C4869">
        <w:t>B</w:t>
      </w:r>
      <w:r w:rsidRPr="002C4869">
        <w:t xml:space="preserve">etter </w:t>
      </w:r>
      <w:r w:rsidR="001E63B8" w:rsidRPr="002C4869">
        <w:t>L</w:t>
      </w:r>
      <w:r w:rsidRPr="002C4869">
        <w:t>aw-making</w:t>
      </w:r>
      <w:r>
        <w:t xml:space="preserve"> and look</w:t>
      </w:r>
      <w:r w:rsidR="001E63B8">
        <w:t>s</w:t>
      </w:r>
      <w:r>
        <w:t xml:space="preserve"> forward to working together with the European Parliament and the Council.</w:t>
      </w:r>
    </w:p>
    <w:p w:rsidR="000C0E88" w:rsidRDefault="000C0E88" w:rsidP="000C0E88">
      <w:r w:rsidRPr="003F0D9B">
        <w:rPr>
          <w:i/>
          <w:u w:val="single"/>
        </w:rPr>
        <w:t>Stepping up enforcement</w:t>
      </w:r>
      <w:r w:rsidRPr="003F0D9B">
        <w:rPr>
          <w:b/>
          <w:i/>
        </w:rPr>
        <w:t>:</w:t>
      </w:r>
      <w:r>
        <w:t xml:space="preserve"> Often it is not the lack of EU legislation that is the source of problems. It is rather the lack of its effective application and redress for citizens. There is still a significant gap between what is in the EU rule book and the rules applied on the ground. The Commission is stepping up its efforts on application, implementation and enforcement of EU law. The partnership with the Member States is key and needs to be reinforced and strengthened throughout the policy cycle. The Commission will also work with the Member States to ensure that citizens can easily have access to information on how </w:t>
      </w:r>
      <w:r w:rsidRPr="00CC70D7">
        <w:t xml:space="preserve">EU rules are implemented at national level and what are their rights in terms of redress. The Commission </w:t>
      </w:r>
      <w:r w:rsidR="00C812B7" w:rsidRPr="00CC70D7">
        <w:t>put</w:t>
      </w:r>
      <w:r w:rsidR="003102EF" w:rsidRPr="00CC70D7">
        <w:t>s</w:t>
      </w:r>
      <w:r w:rsidR="00C812B7" w:rsidRPr="00CC70D7">
        <w:t xml:space="preserve"> particular emphasis on those infringements that have a significant impact on the attainment of important EU policy objectives.</w:t>
      </w:r>
      <w:r w:rsidR="00C812B7" w:rsidRPr="00CC70D7" w:rsidDel="00C812B7">
        <w:t xml:space="preserve"> </w:t>
      </w:r>
      <w:r w:rsidRPr="00CC70D7">
        <w:t>At the same time, it will systematically monitor if national law complies with EU legislation and make greater use of the possibility to propose financial sanctions to the</w:t>
      </w:r>
      <w:r>
        <w:t xml:space="preserve"> Court of Justice if Member States fail to translate EU law into their national legal order</w:t>
      </w:r>
      <w:r w:rsidR="001E63B8">
        <w:t xml:space="preserve"> in a timely manner</w:t>
      </w:r>
      <w:r>
        <w:t>.</w:t>
      </w:r>
    </w:p>
    <w:p w:rsidR="000C0E88" w:rsidRDefault="000C0E88" w:rsidP="000C0E88">
      <w:pPr>
        <w:spacing w:before="240" w:after="120"/>
      </w:pPr>
      <w:r w:rsidRPr="00EE0038">
        <w:rPr>
          <w:i/>
        </w:rPr>
        <w:t>European Parliament/Council</w:t>
      </w:r>
      <w:r>
        <w:t xml:space="preserve">: </w:t>
      </w:r>
    </w:p>
    <w:p w:rsidR="000C0E88" w:rsidRDefault="000C0E88" w:rsidP="000C0E88">
      <w:r>
        <w:t>The political will to</w:t>
      </w:r>
      <w:r w:rsidRPr="009564EB">
        <w:t xml:space="preserve"> improve the quality </w:t>
      </w:r>
      <w:r>
        <w:t xml:space="preserve">and transparency </w:t>
      </w:r>
      <w:r w:rsidRPr="009564EB">
        <w:t xml:space="preserve">of law-making, </w:t>
      </w:r>
      <w:r>
        <w:t>legislate only in those cases bringing clear benefits to citizens</w:t>
      </w:r>
      <w:r w:rsidRPr="009564EB">
        <w:t xml:space="preserve"> and </w:t>
      </w:r>
      <w:r>
        <w:t>scrap obsolete or costly existing laws</w:t>
      </w:r>
      <w:r w:rsidRPr="009564EB">
        <w:t xml:space="preserve">, is </w:t>
      </w:r>
      <w:r>
        <w:t xml:space="preserve">common to </w:t>
      </w:r>
      <w:r w:rsidR="00CE1195">
        <w:t xml:space="preserve">the </w:t>
      </w:r>
      <w:r>
        <w:t>three main EU institutions. Together with the Commission, Parliament and</w:t>
      </w:r>
      <w:r w:rsidRPr="009564EB">
        <w:t xml:space="preserve"> Council</w:t>
      </w:r>
      <w:r w:rsidR="00A72E4B">
        <w:t xml:space="preserve"> </w:t>
      </w:r>
      <w:r w:rsidR="001E63B8">
        <w:t>have</w:t>
      </w:r>
      <w:r>
        <w:t xml:space="preserve"> committed to improve their processes in line with better regulation. There are a number of steps where progress can be made:</w:t>
      </w:r>
    </w:p>
    <w:p w:rsidR="000C0E88" w:rsidRDefault="000C0E88" w:rsidP="000C0E88">
      <w:pPr>
        <w:pStyle w:val="ListDash1"/>
      </w:pPr>
      <w:r w:rsidRPr="009564EB">
        <w:rPr>
          <w:b/>
        </w:rPr>
        <w:t>Re-casting</w:t>
      </w:r>
      <w:r>
        <w:rPr>
          <w:b/>
        </w:rPr>
        <w:t xml:space="preserve"> </w:t>
      </w:r>
      <w:r w:rsidRPr="002C4869">
        <w:t>-</w:t>
      </w:r>
      <w:r>
        <w:t xml:space="preserve"> a technique used to </w:t>
      </w:r>
      <w:r>
        <w:rPr>
          <w:color w:val="000000"/>
          <w:lang w:val="en"/>
        </w:rPr>
        <w:t xml:space="preserve">bring together in a single new act the original legislative act and all the numerous subsequent amendments made to it - </w:t>
      </w:r>
      <w:r>
        <w:t>should be the main legislative method to produce a single, clear, comprehensible legislative text. Where re-casting is not possible</w:t>
      </w:r>
      <w:r w:rsidR="00CE1195">
        <w:t>,</w:t>
      </w:r>
      <w:r>
        <w:t xml:space="preserve"> </w:t>
      </w:r>
      <w:r w:rsidR="00CE1195">
        <w:t xml:space="preserve">the option of </w:t>
      </w:r>
      <w:r>
        <w:t>codification</w:t>
      </w:r>
      <w:r w:rsidR="00CE1195">
        <w:t xml:space="preserve"> should be pursued</w:t>
      </w:r>
      <w:r w:rsidRPr="00EC2DC0">
        <w:t xml:space="preserve">. The Commission will produce a programme </w:t>
      </w:r>
      <w:r w:rsidR="001E63B8">
        <w:t xml:space="preserve">of </w:t>
      </w:r>
      <w:r w:rsidRPr="00EC2DC0">
        <w:t>regulations to be subject to recasting</w:t>
      </w:r>
      <w:r w:rsidR="00CE1195">
        <w:t xml:space="preserve"> and the expected timeline</w:t>
      </w:r>
      <w:r w:rsidRPr="00EC2DC0">
        <w:t xml:space="preserve">. The close cooperation of the three </w:t>
      </w:r>
      <w:r w:rsidR="002A767C">
        <w:t>I</w:t>
      </w:r>
      <w:r w:rsidRPr="00EC2DC0">
        <w:t xml:space="preserve">nstitutions will </w:t>
      </w:r>
      <w:r w:rsidR="00CE1195">
        <w:t>be key</w:t>
      </w:r>
      <w:r w:rsidRPr="00EC2DC0">
        <w:t xml:space="preserve"> to ensure effective follow-up.</w:t>
      </w:r>
      <w:r>
        <w:t xml:space="preserve"> </w:t>
      </w:r>
    </w:p>
    <w:p w:rsidR="00C812B7" w:rsidRPr="00A72E4B" w:rsidRDefault="00C812B7" w:rsidP="00C812B7">
      <w:pPr>
        <w:pStyle w:val="ListDash1"/>
      </w:pPr>
      <w:r w:rsidRPr="00930D66">
        <w:t xml:space="preserve">The </w:t>
      </w:r>
      <w:r w:rsidRPr="002C4869">
        <w:rPr>
          <w:b/>
        </w:rPr>
        <w:t>simplification and burden reduction potential</w:t>
      </w:r>
      <w:r w:rsidRPr="00930D66">
        <w:t xml:space="preserve"> in Commission proposals should be maintained and improved in the legislative process. Proposals designed to bring immediate benefits to citizens and business should be prioritised.  </w:t>
      </w:r>
    </w:p>
    <w:p w:rsidR="000C0E88" w:rsidRDefault="000C0E88" w:rsidP="000C0E88">
      <w:pPr>
        <w:pStyle w:val="ListDash1"/>
      </w:pPr>
      <w:r>
        <w:t xml:space="preserve">In line with the </w:t>
      </w:r>
      <w:r w:rsidR="001E63B8">
        <w:t>I</w:t>
      </w:r>
      <w:r>
        <w:t xml:space="preserve">nterinstitutional </w:t>
      </w:r>
      <w:r w:rsidR="001E63B8">
        <w:t>A</w:t>
      </w:r>
      <w:r>
        <w:t>greement, the European Parliament</w:t>
      </w:r>
      <w:r w:rsidR="001E63B8">
        <w:t xml:space="preserve"> and the Council </w:t>
      </w:r>
      <w:r w:rsidRPr="00CC70D7">
        <w:t xml:space="preserve">should step up their own internal impact assessments </w:t>
      </w:r>
      <w:r w:rsidR="00C812B7" w:rsidRPr="00CC70D7">
        <w:t>work</w:t>
      </w:r>
      <w:r w:rsidRPr="00CC70D7">
        <w:t xml:space="preserve"> to support their substantial legislative amendments. </w:t>
      </w:r>
      <w:r w:rsidR="00C812B7" w:rsidRPr="00CC70D7">
        <w:t xml:space="preserve">The </w:t>
      </w:r>
      <w:r w:rsidR="001E63B8">
        <w:t xml:space="preserve">European </w:t>
      </w:r>
      <w:r w:rsidR="00C812B7" w:rsidRPr="00CC70D7">
        <w:t xml:space="preserve">Parliament has so far assessed the impacts of around 30 of its amendments, while the Council has assessed none and is still </w:t>
      </w:r>
      <w:r w:rsidR="00CE1195" w:rsidRPr="00CC70D7">
        <w:t>currently examining</w:t>
      </w:r>
      <w:r w:rsidR="00C812B7" w:rsidRPr="00CC70D7">
        <w:t xml:space="preserve"> when and how it should prepare such assessments.</w:t>
      </w:r>
      <w:r w:rsidRPr="00CC70D7">
        <w:t xml:space="preserve"> As a reference, since 2003, the Commission has prepared nearly a thousand </w:t>
      </w:r>
      <w:r w:rsidRPr="00CC70D7">
        <w:rPr>
          <w:b/>
        </w:rPr>
        <w:t>impact assessments</w:t>
      </w:r>
      <w:r w:rsidRPr="00CC70D7">
        <w:t xml:space="preserve"> to support the proposals </w:t>
      </w:r>
      <w:r>
        <w:t xml:space="preserve">it adopts. </w:t>
      </w:r>
    </w:p>
    <w:p w:rsidR="000C0E88" w:rsidRDefault="001E63B8" w:rsidP="000C0E88">
      <w:pPr>
        <w:pStyle w:val="ListDash1"/>
      </w:pPr>
      <w:r>
        <w:t xml:space="preserve">The </w:t>
      </w:r>
      <w:r w:rsidR="000C0E88">
        <w:t xml:space="preserve">EU </w:t>
      </w:r>
      <w:r w:rsidR="002A767C">
        <w:t>I</w:t>
      </w:r>
      <w:r w:rsidR="000C0E88">
        <w:t xml:space="preserve">nstitutions and </w:t>
      </w:r>
      <w:r>
        <w:t xml:space="preserve">the </w:t>
      </w:r>
      <w:r w:rsidR="000C0E88">
        <w:t xml:space="preserve">Member States should work more closely together to ensure better </w:t>
      </w:r>
      <w:r w:rsidR="000C0E88" w:rsidRPr="00E52BE0">
        <w:rPr>
          <w:b/>
        </w:rPr>
        <w:t>monitoring, measurement and evaluation</w:t>
      </w:r>
      <w:r w:rsidR="000C0E88">
        <w:t xml:space="preserve"> of the actual impact of EU regulation on the economy, social structure and environment in the Member States.</w:t>
      </w:r>
    </w:p>
    <w:p w:rsidR="000C0E88" w:rsidRDefault="000C0E88" w:rsidP="000C0E88">
      <w:r>
        <w:t>The European Parliament and the Council are invited to cooperate and work with the Commission to d</w:t>
      </w:r>
      <w:r w:rsidRPr="0029516F">
        <w:t xml:space="preserve">evelop the methods and tools </w:t>
      </w:r>
      <w:r>
        <w:t xml:space="preserve">necessary </w:t>
      </w:r>
      <w:r w:rsidRPr="0029516F">
        <w:t xml:space="preserve">to </w:t>
      </w:r>
      <w:r w:rsidRPr="00E52BE0">
        <w:rPr>
          <w:b/>
        </w:rPr>
        <w:t>apply better regulation</w:t>
      </w:r>
      <w:r w:rsidRPr="0029516F">
        <w:t xml:space="preserve"> </w:t>
      </w:r>
      <w:r>
        <w:t>and</w:t>
      </w:r>
      <w:r w:rsidRPr="0029516F">
        <w:t xml:space="preserve"> implement the commitments under the </w:t>
      </w:r>
      <w:r w:rsidR="001E63B8">
        <w:t>I</w:t>
      </w:r>
      <w:r w:rsidRPr="0029516F">
        <w:t xml:space="preserve">nterinstitutional </w:t>
      </w:r>
      <w:r w:rsidR="001E63B8">
        <w:t>A</w:t>
      </w:r>
      <w:r w:rsidRPr="0029516F">
        <w:t xml:space="preserve">greement on </w:t>
      </w:r>
      <w:r w:rsidR="001E63B8">
        <w:t>B</w:t>
      </w:r>
      <w:r w:rsidRPr="0029516F">
        <w:t xml:space="preserve">etter </w:t>
      </w:r>
      <w:r w:rsidR="001E63B8">
        <w:t>L</w:t>
      </w:r>
      <w:r w:rsidRPr="0029516F">
        <w:t>aw</w:t>
      </w:r>
      <w:r w:rsidR="001E63B8">
        <w:t>-</w:t>
      </w:r>
      <w:r w:rsidRPr="0029516F">
        <w:t>making.</w:t>
      </w:r>
      <w:r>
        <w:t xml:space="preserve"> </w:t>
      </w:r>
    </w:p>
    <w:p w:rsidR="000C0E88" w:rsidRDefault="000C0E88" w:rsidP="000C0E88">
      <w:r>
        <w:t>F</w:t>
      </w:r>
      <w:r w:rsidR="00CE1195">
        <w:t xml:space="preserve">urthermore, </w:t>
      </w:r>
      <w:r w:rsidR="001E63B8">
        <w:t xml:space="preserve">and </w:t>
      </w:r>
      <w:r w:rsidR="00CE1195">
        <w:t xml:space="preserve">for the first time, </w:t>
      </w:r>
      <w:r w:rsidR="001E63B8">
        <w:t xml:space="preserve">this year </w:t>
      </w:r>
      <w:r>
        <w:t xml:space="preserve">the three </w:t>
      </w:r>
      <w:r w:rsidR="002A767C">
        <w:t>I</w:t>
      </w:r>
      <w:r>
        <w:t xml:space="preserve">nstitutions will cooperate to identify, on the basis of the Commission </w:t>
      </w:r>
      <w:r w:rsidR="001E63B8">
        <w:t>W</w:t>
      </w:r>
      <w:r>
        <w:t xml:space="preserve">ork </w:t>
      </w:r>
      <w:r w:rsidR="001E63B8">
        <w:t>P</w:t>
      </w:r>
      <w:r>
        <w:t xml:space="preserve">rogramme, a set of </w:t>
      </w:r>
      <w:r w:rsidRPr="00E52BE0">
        <w:rPr>
          <w:b/>
        </w:rPr>
        <w:t>proposals that will be prioritised in the legislative procedure</w:t>
      </w:r>
      <w:r>
        <w:t>. This will ensure greater ownership and a fast track examination of the most important proposals.</w:t>
      </w:r>
    </w:p>
    <w:p w:rsidR="000C0E88" w:rsidRPr="00456579" w:rsidRDefault="000C0E88" w:rsidP="000C0E88">
      <w:pPr>
        <w:spacing w:after="120"/>
        <w:rPr>
          <w:i/>
        </w:rPr>
      </w:pPr>
      <w:r w:rsidRPr="00456579">
        <w:rPr>
          <w:i/>
        </w:rPr>
        <w:t>Member States:</w:t>
      </w:r>
    </w:p>
    <w:p w:rsidR="000C0E88" w:rsidRDefault="000C0E88" w:rsidP="000C0E88">
      <w:r>
        <w:t>T</w:t>
      </w:r>
      <w:r w:rsidRPr="00456579">
        <w:t>he EU is often blamed for red-tape</w:t>
      </w:r>
      <w:r>
        <w:t xml:space="preserve"> and regulatory burden. But sometimes citizens</w:t>
      </w:r>
      <w:r w:rsidRPr="00456579">
        <w:t xml:space="preserve"> </w:t>
      </w:r>
      <w:r>
        <w:t xml:space="preserve">and business discover that it is the national </w:t>
      </w:r>
      <w:r w:rsidR="00CE1195">
        <w:t>governments</w:t>
      </w:r>
      <w:r>
        <w:t xml:space="preserve"> themselves that have added extra rules</w:t>
      </w:r>
      <w:r w:rsidRPr="00456579">
        <w:t xml:space="preserve"> </w:t>
      </w:r>
      <w:r>
        <w:t>in the process of transposition into the national legal system, gold</w:t>
      </w:r>
      <w:r w:rsidR="001E63B8">
        <w:t>-</w:t>
      </w:r>
      <w:r>
        <w:t xml:space="preserve">plating those from the EU. The new </w:t>
      </w:r>
      <w:r w:rsidR="001E63B8">
        <w:t>I</w:t>
      </w:r>
      <w:r>
        <w:t xml:space="preserve">nterinstitutional </w:t>
      </w:r>
      <w:r w:rsidR="001E63B8">
        <w:t>A</w:t>
      </w:r>
      <w:r>
        <w:t xml:space="preserve">greement tries to bring clarity and accountability in the way Member States implement EU rules. </w:t>
      </w:r>
      <w:r w:rsidR="001E63B8">
        <w:t>From n</w:t>
      </w:r>
      <w:r>
        <w:t>ow</w:t>
      </w:r>
      <w:r w:rsidR="001E63B8">
        <w:t xml:space="preserve"> on</w:t>
      </w:r>
      <w:r>
        <w:t xml:space="preserve">, the </w:t>
      </w:r>
      <w:r w:rsidRPr="00456579">
        <w:t xml:space="preserve">Member States should </w:t>
      </w:r>
      <w:r>
        <w:t xml:space="preserve">inform the Commission and </w:t>
      </w:r>
      <w:r w:rsidRPr="00456579">
        <w:t xml:space="preserve">explain </w:t>
      </w:r>
      <w:r>
        <w:t xml:space="preserve">to their citizens, </w:t>
      </w:r>
      <w:r w:rsidRPr="00456579">
        <w:t>when</w:t>
      </w:r>
      <w:r w:rsidR="001E63B8">
        <w:t>ever</w:t>
      </w:r>
      <w:r w:rsidRPr="00456579">
        <w:t xml:space="preserve"> they </w:t>
      </w:r>
      <w:r>
        <w:rPr>
          <w:b/>
        </w:rPr>
        <w:t>add additional requirements to</w:t>
      </w:r>
      <w:r w:rsidRPr="00456579">
        <w:t xml:space="preserve"> Union law in their national </w:t>
      </w:r>
      <w:r>
        <w:t>legislation.</w:t>
      </w:r>
    </w:p>
    <w:p w:rsidR="000C0E88" w:rsidRDefault="000C0E88" w:rsidP="000C0E88">
      <w:r>
        <w:t xml:space="preserve">The Member States are also invited to work closely with the Commission to ensure </w:t>
      </w:r>
      <w:r w:rsidR="001E63B8">
        <w:t>the</w:t>
      </w:r>
      <w:r>
        <w:t xml:space="preserve"> </w:t>
      </w:r>
      <w:r w:rsidRPr="00886962">
        <w:rPr>
          <w:b/>
        </w:rPr>
        <w:t>timely and correct transposition and application of Union law</w:t>
      </w:r>
      <w:r>
        <w:t>.</w:t>
      </w:r>
    </w:p>
    <w:tbl>
      <w:tblPr>
        <w:tblStyle w:val="TableGrid"/>
        <w:tblW w:w="0" w:type="auto"/>
        <w:tblLook w:val="04A0" w:firstRow="1" w:lastRow="0" w:firstColumn="1" w:lastColumn="0" w:noHBand="0" w:noVBand="1"/>
      </w:tblPr>
      <w:tblGrid>
        <w:gridCol w:w="8834"/>
      </w:tblGrid>
      <w:tr w:rsidR="000C0E88" w:rsidTr="00EC2DC0">
        <w:tc>
          <w:tcPr>
            <w:tcW w:w="8834" w:type="dxa"/>
            <w:shd w:val="pct5" w:color="auto" w:fill="auto"/>
          </w:tcPr>
          <w:p w:rsidR="000C0E88" w:rsidRPr="00474952" w:rsidRDefault="000C0E88" w:rsidP="00222A7F">
            <w:pPr>
              <w:pStyle w:val="ListBullet"/>
              <w:numPr>
                <w:ilvl w:val="0"/>
                <w:numId w:val="0"/>
              </w:numPr>
              <w:spacing w:after="120"/>
              <w:rPr>
                <w:b/>
                <w:i/>
              </w:rPr>
            </w:pPr>
            <w:r>
              <w:rPr>
                <w:b/>
                <w:i/>
              </w:rPr>
              <w:t>P</w:t>
            </w:r>
            <w:r w:rsidRPr="00474952">
              <w:rPr>
                <w:b/>
                <w:i/>
              </w:rPr>
              <w:t xml:space="preserve">riority </w:t>
            </w:r>
            <w:r>
              <w:rPr>
                <w:b/>
                <w:i/>
              </w:rPr>
              <w:t>actions</w:t>
            </w:r>
          </w:p>
          <w:p w:rsidR="000C0E88" w:rsidRDefault="000C0E88" w:rsidP="00222A7F">
            <w:pPr>
              <w:pStyle w:val="ListBullet"/>
              <w:spacing w:after="120"/>
            </w:pPr>
            <w:r w:rsidRPr="00925D38">
              <w:rPr>
                <w:i/>
              </w:rPr>
              <w:t xml:space="preserve">Staying </w:t>
            </w:r>
            <w:r>
              <w:rPr>
                <w:i/>
              </w:rPr>
              <w:t>the course</w:t>
            </w:r>
            <w:r>
              <w:t xml:space="preserve">: The Commission Work Programme for 2017 will remain focused on few, well selected initiatives bringing forward </w:t>
            </w:r>
            <w:r w:rsidR="001E63B8">
              <w:t xml:space="preserve">within </w:t>
            </w:r>
            <w:r>
              <w:t>the 10 priorities</w:t>
            </w:r>
            <w:r w:rsidR="001E63B8">
              <w:t xml:space="preserve"> measures that will tackle the most pressing challenges the EU faces today,</w:t>
            </w:r>
            <w:r>
              <w:t xml:space="preserve"> and will include  withdrawals of obsolete proposal</w:t>
            </w:r>
            <w:r w:rsidR="00EB2143">
              <w:t>s</w:t>
            </w:r>
            <w:r>
              <w:t xml:space="preserve"> and simplification suggestions following up </w:t>
            </w:r>
            <w:r w:rsidR="00EB2143">
              <w:t xml:space="preserve">on the </w:t>
            </w:r>
            <w:r>
              <w:t>first</w:t>
            </w:r>
            <w:r w:rsidR="00EB2143">
              <w:t xml:space="preserve"> results of the</w:t>
            </w:r>
            <w:r>
              <w:t xml:space="preserve"> REFIT Platform</w:t>
            </w:r>
            <w:r w:rsidR="00CE1195">
              <w:t>.</w:t>
            </w:r>
          </w:p>
          <w:p w:rsidR="000C0E88" w:rsidRDefault="000C0E88" w:rsidP="00222A7F">
            <w:pPr>
              <w:pStyle w:val="ListBullet"/>
              <w:spacing w:after="120"/>
            </w:pPr>
            <w:r w:rsidRPr="00925D38">
              <w:rPr>
                <w:i/>
              </w:rPr>
              <w:t>Being transparent</w:t>
            </w:r>
            <w:r>
              <w:t xml:space="preserve">: The Commission is committed to </w:t>
            </w:r>
            <w:r w:rsidRPr="00782C54">
              <w:rPr>
                <w:b/>
              </w:rPr>
              <w:t>enhanced transparency</w:t>
            </w:r>
            <w:r>
              <w:t xml:space="preserve"> in its contacts with stakeholders and lobbyists. The Commission will shortly propose a new transparency register to cover the Council as well as the European Parliament.</w:t>
            </w:r>
          </w:p>
          <w:p w:rsidR="000C0E88" w:rsidRDefault="000C0E88" w:rsidP="00222A7F">
            <w:pPr>
              <w:pStyle w:val="ListBullet"/>
            </w:pPr>
            <w:r w:rsidRPr="00925D38">
              <w:rPr>
                <w:i/>
              </w:rPr>
              <w:t>Taking responsibility</w:t>
            </w:r>
            <w:r>
              <w:t>: T</w:t>
            </w:r>
            <w:r w:rsidRPr="00344AD2">
              <w:t xml:space="preserve">he Commission will </w:t>
            </w:r>
            <w:r>
              <w:t xml:space="preserve">consider </w:t>
            </w:r>
            <w:r w:rsidRPr="00344AD2">
              <w:t>amendments to the rules governing EU-wide authorisation procedures in certain sensitive sectors</w:t>
            </w:r>
            <w:r>
              <w:t xml:space="preserve"> i</w:t>
            </w:r>
            <w:r w:rsidRPr="00344AD2">
              <w:t xml:space="preserve">n order to </w:t>
            </w:r>
            <w:r>
              <w:t>ensure that</w:t>
            </w:r>
            <w:r w:rsidR="00B4756B">
              <w:t xml:space="preserve"> </w:t>
            </w:r>
            <w:r w:rsidRPr="00344AD2">
              <w:t xml:space="preserve">the Commission </w:t>
            </w:r>
            <w:r w:rsidR="002A767C">
              <w:t xml:space="preserve">is not </w:t>
            </w:r>
            <w:r>
              <w:t xml:space="preserve">alone </w:t>
            </w:r>
            <w:r w:rsidR="002A767C">
              <w:t xml:space="preserve">in assuming </w:t>
            </w:r>
            <w:r>
              <w:t>the responsibility to act</w:t>
            </w:r>
            <w:r w:rsidRPr="00344AD2">
              <w:t xml:space="preserve"> where</w:t>
            </w:r>
            <w:r w:rsidR="002A767C">
              <w:t xml:space="preserve"> Member States </w:t>
            </w:r>
            <w:r w:rsidRPr="00344AD2">
              <w:t xml:space="preserve">cannot </w:t>
            </w:r>
            <w:r w:rsidR="00157BC8">
              <w:t>give a</w:t>
            </w:r>
            <w:r w:rsidR="007503CF">
              <w:t>n</w:t>
            </w:r>
            <w:r w:rsidR="00157BC8">
              <w:t xml:space="preserve"> opinion</w:t>
            </w:r>
            <w:r w:rsidR="00B4756B">
              <w:t xml:space="preserve"> - </w:t>
            </w:r>
          </w:p>
          <w:p w:rsidR="000C0E88" w:rsidRDefault="000C0E88" w:rsidP="00222A7F">
            <w:pPr>
              <w:pStyle w:val="ListBullet"/>
              <w:spacing w:after="120"/>
            </w:pPr>
            <w:r>
              <w:rPr>
                <w:i/>
              </w:rPr>
              <w:t>Reporting</w:t>
            </w:r>
            <w:r w:rsidRPr="00925D38">
              <w:rPr>
                <w:i/>
              </w:rPr>
              <w:t xml:space="preserve"> on burdens</w:t>
            </w:r>
            <w:r>
              <w:t xml:space="preserve">: The </w:t>
            </w:r>
            <w:r w:rsidR="00CE1195">
              <w:t>Commission</w:t>
            </w:r>
            <w:r>
              <w:t xml:space="preserve"> will present an </w:t>
            </w:r>
            <w:r w:rsidRPr="00782C54">
              <w:rPr>
                <w:b/>
              </w:rPr>
              <w:t>“annual burden survey”</w:t>
            </w:r>
            <w:r>
              <w:t xml:space="preserve"> to the European Parliament and to the Council </w:t>
            </w:r>
            <w:r w:rsidRPr="00B87599">
              <w:t>includ</w:t>
            </w:r>
            <w:r>
              <w:t>ing</w:t>
            </w:r>
            <w:r w:rsidRPr="00B87599">
              <w:t xml:space="preserve"> an assessment of the feasibility of objectives for burden reduction in key sectors.</w:t>
            </w:r>
          </w:p>
          <w:p w:rsidR="000C0E88" w:rsidRDefault="000C0E88">
            <w:pPr>
              <w:pStyle w:val="ListBullet"/>
              <w:spacing w:after="120"/>
            </w:pPr>
            <w:r>
              <w:rPr>
                <w:i/>
              </w:rPr>
              <w:t>Stepping up</w:t>
            </w:r>
            <w:r w:rsidRPr="00925D38">
              <w:rPr>
                <w:i/>
              </w:rPr>
              <w:t xml:space="preserve"> enforcement</w:t>
            </w:r>
            <w:r>
              <w:t>: The Commission will present a Communication on</w:t>
            </w:r>
            <w:r w:rsidR="00EB2143">
              <w:t xml:space="preserve"> the</w:t>
            </w:r>
            <w:r>
              <w:t xml:space="preserve"> </w:t>
            </w:r>
            <w:r w:rsidRPr="00782C54">
              <w:rPr>
                <w:b/>
              </w:rPr>
              <w:t>application of Union law</w:t>
            </w:r>
            <w:r>
              <w:t xml:space="preserve"> to promote a more</w:t>
            </w:r>
            <w:r w:rsidRPr="00504534">
              <w:t xml:space="preserve"> effective application, implementation and enforcement</w:t>
            </w:r>
            <w:r w:rsidR="00785E48">
              <w:t>, in line with the Commission's political priorities</w:t>
            </w:r>
            <w:r>
              <w:t>.</w:t>
            </w:r>
            <w:r w:rsidRPr="00504534">
              <w:t xml:space="preserve">   </w:t>
            </w:r>
          </w:p>
        </w:tc>
      </w:tr>
    </w:tbl>
    <w:p w:rsidR="00886962" w:rsidRPr="00534F64" w:rsidRDefault="00886962" w:rsidP="000C0E88">
      <w:pPr>
        <w:spacing w:after="120"/>
      </w:pPr>
    </w:p>
    <w:sectPr w:rsidR="00886962" w:rsidRPr="00534F64" w:rsidSect="002E09A6">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BB9" w:rsidRDefault="00203BB9" w:rsidP="00A052D3">
      <w:pPr>
        <w:spacing w:after="0"/>
      </w:pPr>
      <w:r>
        <w:separator/>
      </w:r>
    </w:p>
  </w:endnote>
  <w:endnote w:type="continuationSeparator" w:id="0">
    <w:p w:rsidR="00203BB9" w:rsidRDefault="00203BB9" w:rsidP="00A052D3">
      <w:pPr>
        <w:spacing w:after="0"/>
      </w:pPr>
      <w:r>
        <w:continuationSeparator/>
      </w:r>
    </w:p>
  </w:endnote>
  <w:endnote w:type="continuationNotice" w:id="1">
    <w:p w:rsidR="00203BB9" w:rsidRDefault="00203B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EC Square Sans Pro">
    <w:panose1 w:val="020B0506040000020004"/>
    <w:charset w:val="00"/>
    <w:family w:val="swiss"/>
    <w:pitch w:val="variable"/>
    <w:sig w:usb0="A00002BF"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8E" w:rsidRPr="00ED728E" w:rsidRDefault="00ED728E" w:rsidP="00ED72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8E" w:rsidRPr="00ED728E" w:rsidRDefault="00ED728E" w:rsidP="00ED728E">
    <w:pPr>
      <w:pStyle w:val="FooterCoverPage"/>
      <w:rPr>
        <w:rFonts w:ascii="Arial" w:hAnsi="Arial" w:cs="Arial"/>
        <w:b/>
        <w:sz w:val="48"/>
      </w:rPr>
    </w:pPr>
    <w:r w:rsidRPr="00ED728E">
      <w:rPr>
        <w:rFonts w:ascii="Arial" w:hAnsi="Arial" w:cs="Arial"/>
        <w:b/>
        <w:sz w:val="48"/>
      </w:rPr>
      <w:t>EN</w:t>
    </w:r>
    <w:r w:rsidRPr="00ED728E">
      <w:rPr>
        <w:rFonts w:ascii="Arial" w:hAnsi="Arial" w:cs="Arial"/>
        <w:b/>
        <w:sz w:val="48"/>
      </w:rPr>
      <w:tab/>
    </w:r>
    <w:r w:rsidRPr="00ED728E">
      <w:rPr>
        <w:rFonts w:ascii="Arial" w:hAnsi="Arial" w:cs="Arial"/>
        <w:b/>
        <w:sz w:val="48"/>
      </w:rPr>
      <w:tab/>
    </w:r>
    <w:fldSimple w:instr=" DOCVARIABLE &quot;LW_Confidence&quot; \* MERGEFORMAT ">
      <w:r>
        <w:t xml:space="preserve"> </w:t>
      </w:r>
    </w:fldSimple>
    <w:r w:rsidRPr="00ED728E">
      <w:tab/>
    </w:r>
    <w:r w:rsidRPr="00ED728E">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8E" w:rsidRPr="00ED728E" w:rsidRDefault="00ED728E" w:rsidP="00ED728E">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7F" w:rsidRDefault="00222A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7F" w:rsidRDefault="00222A7F">
    <w:pPr>
      <w:pStyle w:val="Footer"/>
      <w:jc w:val="center"/>
    </w:pPr>
    <w:r>
      <w:fldChar w:fldCharType="begin"/>
    </w:r>
    <w:r>
      <w:instrText>PAGE</w:instrText>
    </w:r>
    <w:r>
      <w:fldChar w:fldCharType="separate"/>
    </w:r>
    <w:r w:rsidR="00ED728E">
      <w:rPr>
        <w:noProof/>
      </w:rPr>
      <w:t>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071832"/>
      <w:docPartObj>
        <w:docPartGallery w:val="Page Numbers (Bottom of Page)"/>
        <w:docPartUnique/>
      </w:docPartObj>
    </w:sdtPr>
    <w:sdtEndPr>
      <w:rPr>
        <w:noProof/>
      </w:rPr>
    </w:sdtEndPr>
    <w:sdtContent>
      <w:p w:rsidR="006C371C" w:rsidRDefault="006C371C">
        <w:pPr>
          <w:pStyle w:val="Footer"/>
          <w:jc w:val="right"/>
        </w:pPr>
        <w:r>
          <w:fldChar w:fldCharType="begin"/>
        </w:r>
        <w:r>
          <w:instrText xml:space="preserve"> PAGE   \* MERGEFORMAT </w:instrText>
        </w:r>
        <w:r>
          <w:fldChar w:fldCharType="separate"/>
        </w:r>
        <w:r w:rsidR="00ED728E">
          <w:rPr>
            <w:noProof/>
          </w:rPr>
          <w:t>2</w:t>
        </w:r>
        <w:r>
          <w:rPr>
            <w:noProof/>
          </w:rPr>
          <w:fldChar w:fldCharType="end"/>
        </w:r>
      </w:p>
    </w:sdtContent>
  </w:sdt>
  <w:p w:rsidR="00222A7F" w:rsidRDefault="00222A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BB9" w:rsidRDefault="00203BB9" w:rsidP="00A052D3">
      <w:pPr>
        <w:spacing w:after="0"/>
      </w:pPr>
      <w:r>
        <w:separator/>
      </w:r>
    </w:p>
  </w:footnote>
  <w:footnote w:type="continuationSeparator" w:id="0">
    <w:p w:rsidR="00203BB9" w:rsidRDefault="00203BB9" w:rsidP="00A052D3">
      <w:pPr>
        <w:spacing w:after="0"/>
      </w:pPr>
      <w:r>
        <w:continuationSeparator/>
      </w:r>
    </w:p>
  </w:footnote>
  <w:footnote w:type="continuationNotice" w:id="1">
    <w:p w:rsidR="00203BB9" w:rsidRDefault="00203BB9">
      <w:pPr>
        <w:spacing w:after="0"/>
      </w:pPr>
    </w:p>
  </w:footnote>
  <w:footnote w:id="2">
    <w:p w:rsidR="00222A7F" w:rsidRDefault="00222A7F" w:rsidP="00A72E4B">
      <w:pPr>
        <w:pStyle w:val="FootnoteText"/>
        <w:spacing w:after="0"/>
      </w:pPr>
      <w:r>
        <w:rPr>
          <w:rStyle w:val="FootnoteReference"/>
        </w:rPr>
        <w:footnoteRef/>
      </w:r>
      <w:r>
        <w:t xml:space="preserve"> </w:t>
      </w:r>
      <w:r>
        <w:tab/>
        <w:t xml:space="preserve">See </w:t>
      </w:r>
      <w:hyperlink r:id="rId1" w:history="1">
        <w:r w:rsidRPr="00F57924">
          <w:rPr>
            <w:rStyle w:val="Hyperlink"/>
          </w:rPr>
          <w:t>https://ec.europa.eu/priorities/index_en</w:t>
        </w:r>
      </w:hyperlink>
      <w:r>
        <w:t xml:space="preserve"> </w:t>
      </w:r>
    </w:p>
  </w:footnote>
  <w:footnote w:id="3">
    <w:p w:rsidR="0077314C" w:rsidRDefault="0077314C" w:rsidP="00013D1C">
      <w:pPr>
        <w:pStyle w:val="FootnoteText"/>
        <w:spacing w:after="0"/>
      </w:pPr>
      <w:r>
        <w:rPr>
          <w:rStyle w:val="FootnoteReference"/>
        </w:rPr>
        <w:footnoteRef/>
      </w:r>
      <w:r>
        <w:t xml:space="preserve"> </w:t>
      </w:r>
      <w:r>
        <w:tab/>
      </w:r>
      <w:hyperlink r:id="rId2" w:history="1">
        <w:r w:rsidRPr="00BA24DE">
          <w:rPr>
            <w:rStyle w:val="Hyperlink"/>
          </w:rPr>
          <w:t>http://ec.europa.eu/echo/files/EU_Emergency_Support/Graphic_Provision_en.pdf</w:t>
        </w:r>
      </w:hyperlink>
      <w:r>
        <w:t xml:space="preserve"> </w:t>
      </w:r>
    </w:p>
  </w:footnote>
  <w:footnote w:id="4">
    <w:p w:rsidR="00222A7F" w:rsidRPr="004B3CE9" w:rsidRDefault="00222A7F" w:rsidP="00FA7B57">
      <w:pPr>
        <w:pStyle w:val="FootnoteText"/>
        <w:spacing w:after="0"/>
        <w:rPr>
          <w:lang w:val="pt-PT"/>
        </w:rPr>
      </w:pPr>
      <w:r>
        <w:rPr>
          <w:rStyle w:val="FootnoteReference"/>
        </w:rPr>
        <w:footnoteRef/>
      </w:r>
      <w:r w:rsidRPr="004B3CE9">
        <w:rPr>
          <w:lang w:val="pt-PT"/>
        </w:rPr>
        <w:t xml:space="preserve"> </w:t>
      </w:r>
      <w:r w:rsidRPr="004B3CE9">
        <w:rPr>
          <w:lang w:val="pt-PT"/>
        </w:rPr>
        <w:tab/>
        <w:t>COM(2015) 671</w:t>
      </w:r>
    </w:p>
  </w:footnote>
  <w:footnote w:id="5">
    <w:p w:rsidR="00222A7F" w:rsidRPr="006F1AA4" w:rsidRDefault="00222A7F" w:rsidP="00FA7B57">
      <w:pPr>
        <w:pStyle w:val="FootnoteText"/>
        <w:spacing w:after="0"/>
        <w:jc w:val="left"/>
        <w:rPr>
          <w:lang w:val="pt-PT"/>
        </w:rPr>
      </w:pPr>
      <w:r>
        <w:rPr>
          <w:rStyle w:val="FootnoteReference"/>
        </w:rPr>
        <w:footnoteRef/>
      </w:r>
      <w:r w:rsidRPr="006F1AA4">
        <w:rPr>
          <w:lang w:val="pt-PT"/>
        </w:rPr>
        <w:t xml:space="preserve"> </w:t>
      </w:r>
      <w:r w:rsidRPr="006F1AA4">
        <w:rPr>
          <w:lang w:val="pt-PT"/>
        </w:rPr>
        <w:tab/>
        <w:t xml:space="preserve">COM(2015) 634;COM(2015) 635: </w:t>
      </w:r>
      <w:hyperlink r:id="rId3" w:history="1">
        <w:r w:rsidRPr="006F1AA4">
          <w:rPr>
            <w:rStyle w:val="Hyperlink"/>
            <w:lang w:val="pt-PT"/>
          </w:rPr>
          <w:t>http://ec.europa.eu/justice/contract/digital-contract-rules/index_en.htm</w:t>
        </w:r>
      </w:hyperlink>
      <w:r w:rsidRPr="006F1AA4">
        <w:rPr>
          <w:lang w:val="pt-PT"/>
        </w:rPr>
        <w:t xml:space="preserve"> </w:t>
      </w:r>
    </w:p>
  </w:footnote>
  <w:footnote w:id="6">
    <w:p w:rsidR="00222A7F" w:rsidRPr="006F1AA4" w:rsidRDefault="00222A7F" w:rsidP="00FA7B57">
      <w:pPr>
        <w:pStyle w:val="FootnoteText"/>
        <w:spacing w:after="0"/>
        <w:rPr>
          <w:lang w:val="pt-PT"/>
        </w:rPr>
      </w:pPr>
      <w:r>
        <w:rPr>
          <w:rStyle w:val="FootnoteReference"/>
        </w:rPr>
        <w:footnoteRef/>
      </w:r>
      <w:r w:rsidRPr="006F1AA4">
        <w:rPr>
          <w:lang w:val="pt-PT"/>
        </w:rPr>
        <w:t xml:space="preserve"> </w:t>
      </w:r>
      <w:r w:rsidRPr="006F1AA4">
        <w:rPr>
          <w:lang w:val="pt-PT"/>
        </w:rPr>
        <w:tab/>
        <w:t>COM(2016) 482</w:t>
      </w:r>
    </w:p>
  </w:footnote>
  <w:footnote w:id="7">
    <w:p w:rsidR="00222A7F" w:rsidRPr="00C42BC6" w:rsidRDefault="00222A7F" w:rsidP="00A72E4B">
      <w:pPr>
        <w:pStyle w:val="FootnoteText"/>
        <w:spacing w:after="0"/>
        <w:rPr>
          <w:lang w:val="pt-PT"/>
        </w:rPr>
      </w:pPr>
      <w:r>
        <w:rPr>
          <w:rStyle w:val="FootnoteReference"/>
        </w:rPr>
        <w:footnoteRef/>
      </w:r>
      <w:r w:rsidRPr="00C42BC6">
        <w:rPr>
          <w:lang w:val="pt-PT"/>
        </w:rPr>
        <w:t xml:space="preserve"> </w:t>
      </w:r>
      <w:r w:rsidRPr="00C42BC6">
        <w:rPr>
          <w:lang w:val="pt-PT"/>
        </w:rPr>
        <w:tab/>
      </w:r>
      <w:hyperlink r:id="rId4" w:history="1">
        <w:r w:rsidRPr="00C42BC6">
          <w:rPr>
            <w:rStyle w:val="Hyperlink"/>
            <w:lang w:val="pt-PT"/>
          </w:rPr>
          <w:t>http://ec.europa.eu/info/law-making-process/evaluating-and-improving-existing-laws/refit-making-eu-law-simpler-and-less_en</w:t>
        </w:r>
      </w:hyperlink>
      <w:r w:rsidRPr="00C42BC6">
        <w:rPr>
          <w:lang w:val="pt-PT"/>
        </w:rPr>
        <w:t xml:space="preserve"> </w:t>
      </w:r>
    </w:p>
  </w:footnote>
  <w:footnote w:id="8">
    <w:p w:rsidR="00222A7F" w:rsidRPr="006F1AA4" w:rsidRDefault="00222A7F" w:rsidP="00A72E4B">
      <w:pPr>
        <w:pStyle w:val="FootnoteText"/>
        <w:spacing w:after="0"/>
        <w:rPr>
          <w:lang w:val="pt-PT"/>
        </w:rPr>
      </w:pPr>
      <w:r>
        <w:rPr>
          <w:rStyle w:val="FootnoteReference"/>
        </w:rPr>
        <w:footnoteRef/>
      </w:r>
      <w:r w:rsidRPr="006F1AA4">
        <w:rPr>
          <w:lang w:val="pt-PT"/>
        </w:rPr>
        <w:t xml:space="preserve"> </w:t>
      </w:r>
      <w:r w:rsidRPr="006F1AA4">
        <w:rPr>
          <w:lang w:val="pt-PT"/>
        </w:rPr>
        <w:tab/>
        <w:t>COM(2016) 196</w:t>
      </w:r>
    </w:p>
  </w:footnote>
  <w:footnote w:id="9">
    <w:p w:rsidR="00222A7F" w:rsidRPr="00F91D28" w:rsidRDefault="00222A7F" w:rsidP="00C812B7">
      <w:pPr>
        <w:pStyle w:val="FootnoteText"/>
        <w:spacing w:after="0"/>
        <w:rPr>
          <w:sz w:val="18"/>
          <w:szCs w:val="18"/>
          <w:lang w:val="pt-PT"/>
        </w:rPr>
      </w:pPr>
      <w:r>
        <w:rPr>
          <w:rStyle w:val="FootnoteReference"/>
        </w:rPr>
        <w:footnoteRef/>
      </w:r>
      <w:r w:rsidRPr="00F91D28">
        <w:rPr>
          <w:lang w:val="pt-PT"/>
        </w:rPr>
        <w:t xml:space="preserve"> </w:t>
      </w:r>
      <w:r>
        <w:rPr>
          <w:lang w:val="pt-PT"/>
        </w:rPr>
        <w:tab/>
      </w:r>
      <w:r w:rsidRPr="00F91D28">
        <w:rPr>
          <w:lang w:val="pt-PT"/>
        </w:rPr>
        <w:t xml:space="preserve">COM(2016) 148; </w:t>
      </w:r>
      <w:hyperlink r:id="rId5" w:history="1">
        <w:r w:rsidRPr="00F91D28">
          <w:rPr>
            <w:rStyle w:val="Hyperlink"/>
            <w:sz w:val="18"/>
            <w:szCs w:val="18"/>
            <w:lang w:val="pt-PT"/>
          </w:rPr>
          <w:t>https://ec.europa.eu/taxation_customs/sites/taxation/files/docs/body/com_2016_148_en.pdf</w:t>
        </w:r>
      </w:hyperlink>
      <w:r w:rsidRPr="00F91D28">
        <w:rPr>
          <w:sz w:val="18"/>
          <w:szCs w:val="18"/>
          <w:lang w:val="pt-PT"/>
        </w:rPr>
        <w:t xml:space="preserve"> </w:t>
      </w:r>
    </w:p>
  </w:footnote>
  <w:footnote w:id="10">
    <w:p w:rsidR="00222A7F" w:rsidRPr="00B87599" w:rsidRDefault="00222A7F" w:rsidP="00A72E4B">
      <w:pPr>
        <w:pStyle w:val="FootnoteText"/>
        <w:spacing w:after="0"/>
        <w:rPr>
          <w:lang w:val="pt-PT"/>
        </w:rPr>
      </w:pPr>
      <w:r>
        <w:rPr>
          <w:rStyle w:val="FootnoteReference"/>
        </w:rPr>
        <w:footnoteRef/>
      </w:r>
      <w:r w:rsidRPr="00B87599">
        <w:rPr>
          <w:lang w:val="pt-PT"/>
        </w:rPr>
        <w:t xml:space="preserve"> </w:t>
      </w:r>
      <w:r>
        <w:rPr>
          <w:lang w:val="pt-PT"/>
        </w:rPr>
        <w:tab/>
        <w:t xml:space="preserve">COM(2015) 583; </w:t>
      </w:r>
      <w:hyperlink r:id="rId6" w:history="1">
        <w:r w:rsidRPr="0010457C">
          <w:rPr>
            <w:rStyle w:val="Hyperlink"/>
            <w:lang w:val="pt-PT"/>
          </w:rPr>
          <w:t>http://ec.europa.eu/finance/securities/prospectus/index_en.htm</w:t>
        </w:r>
      </w:hyperlink>
      <w:r>
        <w:rPr>
          <w:lang w:val="pt-PT"/>
        </w:rPr>
        <w:t xml:space="preserve"> </w:t>
      </w:r>
    </w:p>
  </w:footnote>
  <w:footnote w:id="11">
    <w:p w:rsidR="0077314C" w:rsidRPr="0077314C" w:rsidRDefault="0077314C" w:rsidP="00013D1C">
      <w:pPr>
        <w:pStyle w:val="FootnoteText"/>
        <w:spacing w:after="0"/>
      </w:pPr>
      <w:r>
        <w:rPr>
          <w:rStyle w:val="FootnoteReference"/>
        </w:rPr>
        <w:footnoteRef/>
      </w:r>
      <w:r w:rsidRPr="0077314C">
        <w:t xml:space="preserve"> </w:t>
      </w:r>
      <w:r w:rsidRPr="002C4869">
        <w:tab/>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r>
        <w:t xml:space="preserve">; </w:t>
      </w:r>
      <w:hyperlink r:id="rId7" w:history="1">
        <w:r w:rsidRPr="002C4869">
          <w:rPr>
            <w:rStyle w:val="Hyperlink"/>
          </w:rPr>
          <w:t>http://ec.europa.eu/justice/data-protection/document/factsheets_2016/data-protection-factsheet_01a_en.pdf</w:t>
        </w:r>
      </w:hyperlink>
      <w:r>
        <w:t xml:space="preserve"> </w:t>
      </w:r>
    </w:p>
  </w:footnote>
  <w:footnote w:id="12">
    <w:p w:rsidR="00222A7F" w:rsidRPr="002C4869" w:rsidRDefault="00222A7F" w:rsidP="00A72E4B">
      <w:pPr>
        <w:pStyle w:val="FootnoteText"/>
        <w:spacing w:after="0"/>
      </w:pPr>
      <w:r>
        <w:rPr>
          <w:rStyle w:val="FootnoteReference"/>
        </w:rPr>
        <w:footnoteRef/>
      </w:r>
      <w:r w:rsidRPr="002C4869">
        <w:t xml:space="preserve"> </w:t>
      </w:r>
      <w:r w:rsidRPr="002C4869">
        <w:tab/>
      </w:r>
      <w:hyperlink r:id="rId8" w:history="1">
        <w:r w:rsidRPr="002C4869">
          <w:rPr>
            <w:rStyle w:val="Hyperlink"/>
          </w:rPr>
          <w:t>http://ec.europa.eu/info/law/contribute-law-making_en</w:t>
        </w:r>
      </w:hyperlink>
      <w:r w:rsidRPr="002C4869">
        <w:t xml:space="preserve"> </w:t>
      </w:r>
    </w:p>
  </w:footnote>
  <w:footnote w:id="13">
    <w:p w:rsidR="00222A7F" w:rsidRDefault="00222A7F" w:rsidP="00A72E4B">
      <w:pPr>
        <w:pStyle w:val="FootnoteText"/>
        <w:spacing w:after="0"/>
      </w:pPr>
      <w:r>
        <w:rPr>
          <w:rStyle w:val="FootnoteReference"/>
        </w:rPr>
        <w:footnoteRef/>
      </w:r>
      <w:r>
        <w:t xml:space="preserve"> </w:t>
      </w:r>
      <w:r>
        <w:tab/>
      </w:r>
      <w:r w:rsidRPr="0016763A">
        <w:t xml:space="preserve">The Commission invites feedback from stakeholders in </w:t>
      </w:r>
      <w:r>
        <w:t>an</w:t>
      </w:r>
      <w:r w:rsidRPr="0016763A">
        <w:t xml:space="preserve"> 8-week period following adoption of its proposals </w:t>
      </w:r>
      <w:r>
        <w:t>and</w:t>
      </w:r>
      <w:r w:rsidRPr="0016763A">
        <w:t xml:space="preserve"> makes </w:t>
      </w:r>
      <w:r>
        <w:t xml:space="preserve">this </w:t>
      </w:r>
      <w:r w:rsidRPr="0016763A">
        <w:t xml:space="preserve">available to the European Parliament and the Council of Ministers </w:t>
      </w:r>
      <w:r>
        <w:t xml:space="preserve">during </w:t>
      </w:r>
      <w:r w:rsidRPr="0016763A">
        <w:t xml:space="preserve">the legislative </w:t>
      </w:r>
      <w:r>
        <w:t>process</w:t>
      </w:r>
      <w:r w:rsidRPr="0016763A">
        <w:t xml:space="preserve">. This has proven its success recently in the case of the Commission's proposal on firearms which attracted 27680 responses the overwhelming majority of which came from individual citizens and helped inform the legislator's political stance. </w:t>
      </w:r>
    </w:p>
  </w:footnote>
  <w:footnote w:id="14">
    <w:p w:rsidR="00222A7F" w:rsidRPr="009C0164" w:rsidRDefault="00222A7F" w:rsidP="00A72E4B">
      <w:pPr>
        <w:pStyle w:val="FootnoteText"/>
        <w:spacing w:after="0"/>
      </w:pPr>
      <w:r>
        <w:rPr>
          <w:rStyle w:val="FootnoteReference"/>
        </w:rPr>
        <w:footnoteRef/>
      </w:r>
      <w:r>
        <w:t xml:space="preserve">    See: </w:t>
      </w:r>
      <w:hyperlink r:id="rId9" w:history="1">
        <w:r w:rsidRPr="00A72E4B">
          <w:rPr>
            <w:rStyle w:val="Hyperlink"/>
          </w:rPr>
          <w:t>http://ec.europa.eu/transparency/index_en.htm</w:t>
        </w:r>
      </w:hyperlink>
      <w:r>
        <w:t xml:space="preserve">  </w:t>
      </w:r>
    </w:p>
  </w:footnote>
  <w:footnote w:id="15">
    <w:p w:rsidR="00222A7F" w:rsidRDefault="00222A7F" w:rsidP="00A72E4B">
      <w:pPr>
        <w:pStyle w:val="FootnoteText"/>
        <w:spacing w:after="0"/>
      </w:pPr>
      <w:r>
        <w:rPr>
          <w:rStyle w:val="FootnoteReference"/>
        </w:rPr>
        <w:footnoteRef/>
      </w:r>
      <w:r>
        <w:t xml:space="preserve"> </w:t>
      </w:r>
      <w:r>
        <w:tab/>
      </w:r>
      <w:r w:rsidRPr="0072067B">
        <w:t>"Lig</w:t>
      </w:r>
      <w:r>
        <w:t xml:space="preserve">hten the Load – Have your Say": </w:t>
      </w:r>
      <w:hyperlink r:id="rId10" w:anchor="up" w:history="1">
        <w:r w:rsidRPr="001546A4">
          <w:rPr>
            <w:rStyle w:val="Hyperlink"/>
          </w:rPr>
          <w:t>http://ec.europa.eu/smart-regulation/refit/simplification/consultation/consultation_en.htm#up</w:t>
        </w:r>
      </w:hyperlink>
      <w:r>
        <w:t xml:space="preserve"> </w:t>
      </w:r>
    </w:p>
  </w:footnote>
  <w:footnote w:id="16">
    <w:p w:rsidR="00222A7F" w:rsidRDefault="00222A7F" w:rsidP="00A72E4B">
      <w:pPr>
        <w:pStyle w:val="FootnoteText"/>
        <w:spacing w:after="0"/>
      </w:pPr>
      <w:r>
        <w:rPr>
          <w:rStyle w:val="FootnoteReference"/>
        </w:rPr>
        <w:footnoteRef/>
      </w:r>
      <w:r>
        <w:t xml:space="preserve"> </w:t>
      </w:r>
      <w:r>
        <w:tab/>
      </w:r>
      <w:r w:rsidRPr="00B87599">
        <w:t>The Platform's work including its recommendations can be seen at:</w:t>
      </w:r>
      <w:r>
        <w:t xml:space="preserve"> </w:t>
      </w:r>
      <w:hyperlink r:id="rId11" w:anchor="members" w:history="1">
        <w:r w:rsidRPr="0010457C">
          <w:rPr>
            <w:rStyle w:val="Hyperlink"/>
          </w:rPr>
          <w:t>http://ec.europa.eu/smart-regulation/refit/refit-platform/index_en.htm#members</w:t>
        </w:r>
      </w:hyperlink>
      <w:r>
        <w:t xml:space="preserve">. </w:t>
      </w:r>
      <w:r w:rsidRPr="00C50D78">
        <w:t>The Platform adopted 17 opinions on 28 June 2016 in areas including chemicals, communication networks, competition, environment, financial services, health and food safety, internal market, taxation and statistics</w:t>
      </w:r>
      <w:r>
        <w:t xml:space="preserve">.  </w:t>
      </w:r>
    </w:p>
  </w:footnote>
  <w:footnote w:id="17">
    <w:p w:rsidR="00222A7F" w:rsidRDefault="00222A7F" w:rsidP="00A72E4B">
      <w:pPr>
        <w:pStyle w:val="FootnoteText"/>
        <w:spacing w:after="0"/>
      </w:pPr>
      <w:r>
        <w:rPr>
          <w:rStyle w:val="FootnoteReference"/>
        </w:rPr>
        <w:footnoteRef/>
      </w:r>
      <w:r>
        <w:t xml:space="preserve"> </w:t>
      </w:r>
      <w:r>
        <w:tab/>
        <w:t xml:space="preserve">In 2003, the European Parliament, the Council of the European Union and the European Commission signed an inter-institutional agreement on better-law-making where the three institutions made commitments to undertake impact assessments to support legislative proposals and substantive amendments. This agreement was replaced in April 2016 by a new agreement </w:t>
      </w:r>
      <w:r w:rsidRPr="00603AA6">
        <w:t xml:space="preserve">OJ L 123, 12 May 2016, p.1. </w:t>
      </w:r>
      <w:hyperlink r:id="rId12" w:history="1">
        <w:r w:rsidRPr="001546A4">
          <w:rPr>
            <w:rStyle w:val="Hyperlink"/>
          </w:rPr>
          <w:t>http://eur-lex.europa.eu/legal-content/EN/TXT/?uri=OJ:L:2016:123:TOC</w:t>
        </w:r>
      </w:hyperlink>
      <w:r>
        <w:t xml:space="preserve"> </w:t>
      </w:r>
      <w:r w:rsidRPr="00603AA6">
        <w:t xml:space="preserve"> </w:t>
      </w:r>
    </w:p>
  </w:footnote>
  <w:footnote w:id="18">
    <w:p w:rsidR="00222A7F" w:rsidRDefault="00222A7F" w:rsidP="00A72E4B">
      <w:pPr>
        <w:pStyle w:val="FootnoteText"/>
        <w:spacing w:after="0"/>
      </w:pPr>
      <w:r>
        <w:rPr>
          <w:rStyle w:val="FootnoteReference"/>
        </w:rPr>
        <w:footnoteRef/>
      </w:r>
      <w:r>
        <w:t xml:space="preserve"> </w:t>
      </w:r>
      <w:r>
        <w:tab/>
      </w:r>
      <w:r w:rsidRPr="00EF35CC">
        <w:t>Th</w:t>
      </w:r>
      <w:r>
        <w:t xml:space="preserve">e Regulatory Scrutiny </w:t>
      </w:r>
      <w:r w:rsidRPr="00EF35CC">
        <w:t>Board comprises seven full-time members 3 of which are recruited from outside of the Commission</w:t>
      </w:r>
      <w:r>
        <w:t xml:space="preserve"> (one post is currently vacant though should be filled in the autumn 2016). </w:t>
      </w:r>
      <w:hyperlink r:id="rId13" w:history="1">
        <w:r w:rsidRPr="001546A4">
          <w:rPr>
            <w:rStyle w:val="Hyperlink"/>
          </w:rPr>
          <w:t>http://ec.europa.eu/smart-regulation/impact/iab/members_en.htm</w:t>
        </w:r>
      </w:hyperlink>
      <w:r>
        <w:t xml:space="preserve">   </w:t>
      </w:r>
    </w:p>
  </w:footnote>
  <w:footnote w:id="19">
    <w:p w:rsidR="00222A7F" w:rsidRDefault="00222A7F" w:rsidP="00A72E4B">
      <w:pPr>
        <w:pStyle w:val="FootnoteText"/>
        <w:spacing w:after="0"/>
      </w:pPr>
      <w:r>
        <w:rPr>
          <w:rStyle w:val="FootnoteReference"/>
        </w:rPr>
        <w:footnoteRef/>
      </w:r>
      <w:r>
        <w:t xml:space="preserve"> </w:t>
      </w:r>
      <w:r>
        <w:tab/>
      </w:r>
      <w:hyperlink r:id="rId14" w:history="1">
        <w:r w:rsidRPr="001546A4">
          <w:rPr>
            <w:rStyle w:val="Hyperlink"/>
          </w:rPr>
          <w:t>http://www.oecd.org/regreform/oecd-regulatory-policy-outlook-2015-9789264238770-en.htm</w:t>
        </w:r>
      </w:hyperlink>
      <w:r>
        <w:t xml:space="preserve"> </w:t>
      </w:r>
      <w:r w:rsidRPr="00603AA6">
        <w:t xml:space="preserve"> </w:t>
      </w:r>
      <w:r>
        <w:t xml:space="preserve"> </w:t>
      </w:r>
    </w:p>
  </w:footnote>
  <w:footnote w:id="20">
    <w:p w:rsidR="00222A7F" w:rsidRDefault="00222A7F" w:rsidP="00A72E4B">
      <w:pPr>
        <w:pStyle w:val="FootnoteText"/>
        <w:spacing w:after="0"/>
      </w:pPr>
      <w:r>
        <w:rPr>
          <w:rStyle w:val="FootnoteReference"/>
        </w:rPr>
        <w:footnoteRef/>
      </w:r>
      <w:r>
        <w:t xml:space="preserve"> </w:t>
      </w:r>
      <w:r>
        <w:tab/>
        <w:t xml:space="preserve">See the call for evidence in relation to the EU’s framework for financial services:  </w:t>
      </w:r>
      <w:hyperlink r:id="rId15" w:history="1">
        <w:r w:rsidRPr="00D66AA9">
          <w:rPr>
            <w:rStyle w:val="Hyperlink"/>
          </w:rPr>
          <w:t>http://ec.europa.eu/finance/consultations/2015/financial-regulatory-framework-review/index_en.htm</w:t>
        </w:r>
      </w:hyperlink>
      <w:r>
        <w:t xml:space="preserve"> </w:t>
      </w:r>
    </w:p>
  </w:footnote>
  <w:footnote w:id="21">
    <w:p w:rsidR="00222A7F" w:rsidRPr="006F1AA4" w:rsidRDefault="00222A7F" w:rsidP="00A72E4B">
      <w:pPr>
        <w:pStyle w:val="FootnoteText"/>
        <w:spacing w:after="0"/>
        <w:jc w:val="left"/>
        <w:rPr>
          <w:lang w:val="pt-PT"/>
        </w:rPr>
      </w:pPr>
      <w:r>
        <w:rPr>
          <w:rStyle w:val="FootnoteReference"/>
        </w:rPr>
        <w:footnoteRef/>
      </w:r>
      <w:r w:rsidRPr="006F1AA4">
        <w:rPr>
          <w:lang w:val="pt-PT"/>
        </w:rPr>
        <w:t xml:space="preserve"> </w:t>
      </w:r>
      <w:r w:rsidRPr="006F1AA4">
        <w:rPr>
          <w:lang w:val="pt-PT"/>
        </w:rPr>
        <w:tab/>
        <w:t xml:space="preserve">COM(2016) 369, COM(2016) 370, COM(2016) 371: </w:t>
      </w:r>
      <w:hyperlink r:id="rId16" w:history="1">
        <w:r w:rsidRPr="006F1AA4">
          <w:rPr>
            <w:rStyle w:val="Hyperlink"/>
            <w:lang w:val="pt-PT"/>
          </w:rPr>
          <w:t>http://ec.europa.eu/transport/modes/maritime/news/2016-06-06-passenger_ship_safety_rules_en.htm</w:t>
        </w:r>
      </w:hyperlink>
      <w:r w:rsidRPr="006F1AA4">
        <w:rPr>
          <w:lang w:val="pt-PT"/>
        </w:rPr>
        <w:t xml:space="preserve"> </w:t>
      </w:r>
    </w:p>
  </w:footnote>
  <w:footnote w:id="22">
    <w:p w:rsidR="00222A7F" w:rsidRPr="006F1AA4" w:rsidRDefault="00222A7F" w:rsidP="00A72E4B">
      <w:pPr>
        <w:pStyle w:val="FootnoteText"/>
        <w:spacing w:after="0"/>
        <w:rPr>
          <w:lang w:val="pt-PT"/>
        </w:rPr>
      </w:pPr>
      <w:r>
        <w:rPr>
          <w:rStyle w:val="FootnoteReference"/>
        </w:rPr>
        <w:footnoteRef/>
      </w:r>
      <w:r w:rsidRPr="006F1AA4">
        <w:rPr>
          <w:lang w:val="pt-PT"/>
        </w:rPr>
        <w:t xml:space="preserve"> </w:t>
      </w:r>
      <w:r w:rsidRPr="006F1AA4">
        <w:rPr>
          <w:lang w:val="pt-PT"/>
        </w:rPr>
        <w:tab/>
        <w:t>COM(2016) 356</w:t>
      </w:r>
    </w:p>
  </w:footnote>
  <w:footnote w:id="23">
    <w:p w:rsidR="00222A7F" w:rsidRPr="0066576B" w:rsidRDefault="00222A7F" w:rsidP="00A72E4B">
      <w:pPr>
        <w:pStyle w:val="FootnoteText"/>
        <w:spacing w:after="0"/>
      </w:pPr>
      <w:r>
        <w:rPr>
          <w:rStyle w:val="FootnoteReference"/>
        </w:rPr>
        <w:footnoteRef/>
      </w:r>
      <w:r w:rsidRPr="0066576B">
        <w:t xml:space="preserve"> </w:t>
      </w:r>
      <w:r w:rsidRPr="0066576B">
        <w:tab/>
        <w:t>SWD (2016) 9 part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8E" w:rsidRPr="00ED728E" w:rsidRDefault="00ED728E" w:rsidP="00ED72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8E" w:rsidRPr="00ED728E" w:rsidRDefault="00ED728E" w:rsidP="00ED728E">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28E" w:rsidRPr="00ED728E" w:rsidRDefault="00ED728E" w:rsidP="00ED728E">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7F" w:rsidRDefault="00222A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7F" w:rsidRDefault="00222A7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A7F" w:rsidRDefault="00222A7F">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851CE282"/>
    <w:lvl w:ilvl="0">
      <w:start w:val="1"/>
      <w:numFmt w:val="bullet"/>
      <w:lvlText w:val=""/>
      <w:lvlJc w:val="left"/>
      <w:pPr>
        <w:tabs>
          <w:tab w:val="num" w:pos="360"/>
        </w:tabs>
        <w:ind w:left="360" w:hanging="360"/>
      </w:pPr>
      <w:rPr>
        <w:rFonts w:ascii="Symbol" w:hAnsi="Symbol"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95498D"/>
    <w:multiLevelType w:val="hybridMultilevel"/>
    <w:tmpl w:val="D108D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734306"/>
    <w:multiLevelType w:val="multilevel"/>
    <w:tmpl w:val="D266108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29612C"/>
    <w:multiLevelType w:val="hybridMultilevel"/>
    <w:tmpl w:val="4F06F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05A336E"/>
    <w:multiLevelType w:val="hybridMultilevel"/>
    <w:tmpl w:val="0FA8117C"/>
    <w:lvl w:ilvl="0" w:tplc="E982ACC8">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nsid w:val="4B483D5E"/>
    <w:multiLevelType w:val="hybridMultilevel"/>
    <w:tmpl w:val="55C27790"/>
    <w:lvl w:ilvl="0" w:tplc="FFD8C7CC">
      <w:start w:val="1"/>
      <w:numFmt w:val="decimal"/>
      <w:pStyle w:val="IAToolChapterHeading"/>
      <w:lvlText w:val="Tool #%1."/>
      <w:lvlJc w:val="left"/>
      <w:pPr>
        <w:ind w:left="717" w:hanging="360"/>
      </w:pPr>
      <w:rPr>
        <w:rFonts w:hint="default"/>
        <w:b/>
        <w:i w:val="0"/>
        <w:cap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4">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6"/>
  </w:num>
  <w:num w:numId="4">
    <w:abstractNumId w:val="16"/>
  </w:num>
  <w:num w:numId="5">
    <w:abstractNumId w:val="9"/>
  </w:num>
  <w:num w:numId="6">
    <w:abstractNumId w:val="15"/>
  </w:num>
  <w:num w:numId="7">
    <w:abstractNumId w:val="22"/>
  </w:num>
  <w:num w:numId="8">
    <w:abstractNumId w:val="23"/>
  </w:num>
  <w:num w:numId="9">
    <w:abstractNumId w:val="13"/>
  </w:num>
  <w:num w:numId="10">
    <w:abstractNumId w:val="21"/>
  </w:num>
  <w:num w:numId="11">
    <w:abstractNumId w:val="20"/>
  </w:num>
  <w:num w:numId="12">
    <w:abstractNumId w:val="17"/>
  </w:num>
  <w:num w:numId="13">
    <w:abstractNumId w:val="19"/>
  </w:num>
  <w:num w:numId="14">
    <w:abstractNumId w:val="7"/>
  </w:num>
  <w:num w:numId="15">
    <w:abstractNumId w:val="14"/>
  </w:num>
  <w:num w:numId="16">
    <w:abstractNumId w:val="5"/>
  </w:num>
  <w:num w:numId="17">
    <w:abstractNumId w:val="10"/>
  </w:num>
  <w:num w:numId="18">
    <w:abstractNumId w:val="24"/>
  </w:num>
  <w:num w:numId="19">
    <w:abstractNumId w:val="11"/>
  </w:num>
  <w:num w:numId="20">
    <w:abstractNumId w:val="25"/>
  </w:num>
  <w:num w:numId="21">
    <w:abstractNumId w:val="3"/>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8"/>
  </w:num>
  <w:num w:numId="29">
    <w:abstractNumId w:val="4"/>
  </w:num>
  <w:num w:numId="30">
    <w:abstractNumId w:val="12"/>
  </w:num>
  <w:num w:numId="31">
    <w:abstractNumId w:val="7"/>
  </w:num>
  <w:num w:numId="32">
    <w:abstractNumId w:val="16"/>
  </w:num>
  <w:num w:numId="33">
    <w:abstractNumId w:val="7"/>
  </w:num>
  <w:num w:numId="34">
    <w:abstractNumId w:val="8"/>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6"/>
  </w:num>
  <w:num w:numId="42">
    <w:abstractNumId w:val="16"/>
  </w:num>
  <w:num w:numId="43">
    <w:abstractNumId w:val="21"/>
  </w:num>
  <w:num w:numId="44">
    <w:abstractNumId w:val="21"/>
  </w:num>
  <w:num w:numId="45">
    <w:abstractNumId w:val="21"/>
  </w:num>
  <w:num w:numId="4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A959FACA49AB4F2792802690AB1007EE"/>
    <w:docVar w:name="LW_CROSSREFERENCE" w:val="&lt;UNUSED&gt;"/>
    <w:docVar w:name="LW_DocType" w:val="REP"/>
    <w:docVar w:name="LW_EMISSION" w:val="14.9.2016"/>
    <w:docVar w:name="LW_EMISSION_ISODATE" w:val="2016-09-14"/>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16) 615 final"/>
    <w:docVar w:name="LW_REF.INTERNE" w:val="&lt;UNUSED&gt;"/>
    <w:docVar w:name="LW_SOUS.TITRE.OBJ.CP" w:val="&lt;UNUSED&gt;"/>
    <w:docVar w:name="LW_SUPERTITRE" w:val="&lt;UNUSED&gt;"/>
    <w:docVar w:name="LW_TITRE.OBJ.CP" w:val="Better Regulation: Delivering better results for a stronger Union"/>
    <w:docVar w:name="LW_TYPE.DOC.CP" w:val="COMMUNICATION FROM THE COMMISSION"/>
    <w:docVar w:name="LW_TYPE.DOC.CP.USERTEXT" w:val="TO THE EUROPEAN PARLIAMENT, THE EUROPEAN COUNCIL AND THE COUNCIL"/>
  </w:docVars>
  <w:rsids>
    <w:rsidRoot w:val="00534F64"/>
    <w:rsid w:val="00005926"/>
    <w:rsid w:val="00006E16"/>
    <w:rsid w:val="000078A0"/>
    <w:rsid w:val="00013D1C"/>
    <w:rsid w:val="00014A74"/>
    <w:rsid w:val="0002174F"/>
    <w:rsid w:val="00026A1E"/>
    <w:rsid w:val="00031637"/>
    <w:rsid w:val="00047D23"/>
    <w:rsid w:val="0005249F"/>
    <w:rsid w:val="00056610"/>
    <w:rsid w:val="000573CA"/>
    <w:rsid w:val="00064C7D"/>
    <w:rsid w:val="00074D67"/>
    <w:rsid w:val="000830CF"/>
    <w:rsid w:val="0008597E"/>
    <w:rsid w:val="00085CA5"/>
    <w:rsid w:val="000A1428"/>
    <w:rsid w:val="000A28B7"/>
    <w:rsid w:val="000A5D85"/>
    <w:rsid w:val="000B4396"/>
    <w:rsid w:val="000B4AD7"/>
    <w:rsid w:val="000B617A"/>
    <w:rsid w:val="000B686F"/>
    <w:rsid w:val="000B7E2D"/>
    <w:rsid w:val="000C0E88"/>
    <w:rsid w:val="000C25BC"/>
    <w:rsid w:val="000C4DB0"/>
    <w:rsid w:val="000D09AB"/>
    <w:rsid w:val="000E7F9D"/>
    <w:rsid w:val="000F2313"/>
    <w:rsid w:val="00100E05"/>
    <w:rsid w:val="00110ABC"/>
    <w:rsid w:val="001157F1"/>
    <w:rsid w:val="00127652"/>
    <w:rsid w:val="001353A6"/>
    <w:rsid w:val="00136C25"/>
    <w:rsid w:val="0014376B"/>
    <w:rsid w:val="00143859"/>
    <w:rsid w:val="001533BB"/>
    <w:rsid w:val="001534FD"/>
    <w:rsid w:val="00157BC8"/>
    <w:rsid w:val="0016588D"/>
    <w:rsid w:val="0016763A"/>
    <w:rsid w:val="00171EC4"/>
    <w:rsid w:val="00173561"/>
    <w:rsid w:val="00176811"/>
    <w:rsid w:val="00176C06"/>
    <w:rsid w:val="00185850"/>
    <w:rsid w:val="001859F2"/>
    <w:rsid w:val="00186F0B"/>
    <w:rsid w:val="00187D9B"/>
    <w:rsid w:val="00196A0F"/>
    <w:rsid w:val="00196DAC"/>
    <w:rsid w:val="00197125"/>
    <w:rsid w:val="001979A0"/>
    <w:rsid w:val="001B17AC"/>
    <w:rsid w:val="001B3D6B"/>
    <w:rsid w:val="001D0B15"/>
    <w:rsid w:val="001E0C99"/>
    <w:rsid w:val="001E48B1"/>
    <w:rsid w:val="001E491A"/>
    <w:rsid w:val="001E5226"/>
    <w:rsid w:val="001E5529"/>
    <w:rsid w:val="001E63B8"/>
    <w:rsid w:val="001F2FDF"/>
    <w:rsid w:val="00203BB9"/>
    <w:rsid w:val="00205C07"/>
    <w:rsid w:val="002152FD"/>
    <w:rsid w:val="00220314"/>
    <w:rsid w:val="00221987"/>
    <w:rsid w:val="00221A27"/>
    <w:rsid w:val="00222A7F"/>
    <w:rsid w:val="0023519E"/>
    <w:rsid w:val="002364AF"/>
    <w:rsid w:val="00243E56"/>
    <w:rsid w:val="00254258"/>
    <w:rsid w:val="0025551C"/>
    <w:rsid w:val="00271982"/>
    <w:rsid w:val="00286A4C"/>
    <w:rsid w:val="00291197"/>
    <w:rsid w:val="0029516F"/>
    <w:rsid w:val="002A767C"/>
    <w:rsid w:val="002C4869"/>
    <w:rsid w:val="002D685D"/>
    <w:rsid w:val="002D7CA7"/>
    <w:rsid w:val="002E09A6"/>
    <w:rsid w:val="002E13A3"/>
    <w:rsid w:val="002E58D6"/>
    <w:rsid w:val="002F450A"/>
    <w:rsid w:val="00306AD0"/>
    <w:rsid w:val="003102EF"/>
    <w:rsid w:val="003160EB"/>
    <w:rsid w:val="00323773"/>
    <w:rsid w:val="00324B4C"/>
    <w:rsid w:val="0032643E"/>
    <w:rsid w:val="00342F95"/>
    <w:rsid w:val="00344AD2"/>
    <w:rsid w:val="003620E3"/>
    <w:rsid w:val="00380B97"/>
    <w:rsid w:val="00382D8B"/>
    <w:rsid w:val="00383CCF"/>
    <w:rsid w:val="00387BC3"/>
    <w:rsid w:val="003932C4"/>
    <w:rsid w:val="0039429E"/>
    <w:rsid w:val="003A275F"/>
    <w:rsid w:val="003A3044"/>
    <w:rsid w:val="003A37AF"/>
    <w:rsid w:val="003B1517"/>
    <w:rsid w:val="003B6ECF"/>
    <w:rsid w:val="003C42AA"/>
    <w:rsid w:val="003F3FED"/>
    <w:rsid w:val="003F4338"/>
    <w:rsid w:val="003F7171"/>
    <w:rsid w:val="00404990"/>
    <w:rsid w:val="00416721"/>
    <w:rsid w:val="00416E8A"/>
    <w:rsid w:val="00423474"/>
    <w:rsid w:val="00445BC9"/>
    <w:rsid w:val="00447CF3"/>
    <w:rsid w:val="00450837"/>
    <w:rsid w:val="00456579"/>
    <w:rsid w:val="0046118F"/>
    <w:rsid w:val="0047310A"/>
    <w:rsid w:val="00474952"/>
    <w:rsid w:val="00475A88"/>
    <w:rsid w:val="00480B35"/>
    <w:rsid w:val="004835B9"/>
    <w:rsid w:val="00484C2A"/>
    <w:rsid w:val="0049038B"/>
    <w:rsid w:val="004A5394"/>
    <w:rsid w:val="004A6579"/>
    <w:rsid w:val="004B15BC"/>
    <w:rsid w:val="004B3CE9"/>
    <w:rsid w:val="004B4E5B"/>
    <w:rsid w:val="004C55B2"/>
    <w:rsid w:val="004C75E4"/>
    <w:rsid w:val="004D4EF4"/>
    <w:rsid w:val="004E1162"/>
    <w:rsid w:val="004E21F9"/>
    <w:rsid w:val="004E43D1"/>
    <w:rsid w:val="004F06AF"/>
    <w:rsid w:val="004F287A"/>
    <w:rsid w:val="00504534"/>
    <w:rsid w:val="00514BAF"/>
    <w:rsid w:val="005170A4"/>
    <w:rsid w:val="00534F64"/>
    <w:rsid w:val="0056035A"/>
    <w:rsid w:val="00582408"/>
    <w:rsid w:val="005856ED"/>
    <w:rsid w:val="00590ADD"/>
    <w:rsid w:val="005A4964"/>
    <w:rsid w:val="005C1A2D"/>
    <w:rsid w:val="005E2226"/>
    <w:rsid w:val="005E72D4"/>
    <w:rsid w:val="005F0632"/>
    <w:rsid w:val="00603AA6"/>
    <w:rsid w:val="0061608E"/>
    <w:rsid w:val="006241F1"/>
    <w:rsid w:val="00624741"/>
    <w:rsid w:val="0062528F"/>
    <w:rsid w:val="00626793"/>
    <w:rsid w:val="00633896"/>
    <w:rsid w:val="00634522"/>
    <w:rsid w:val="006444B3"/>
    <w:rsid w:val="006522A3"/>
    <w:rsid w:val="00661D10"/>
    <w:rsid w:val="0066576B"/>
    <w:rsid w:val="00680169"/>
    <w:rsid w:val="00690C25"/>
    <w:rsid w:val="006956E1"/>
    <w:rsid w:val="006B4675"/>
    <w:rsid w:val="006C289F"/>
    <w:rsid w:val="006C371C"/>
    <w:rsid w:val="006C7844"/>
    <w:rsid w:val="006D7497"/>
    <w:rsid w:val="006E0501"/>
    <w:rsid w:val="006E2124"/>
    <w:rsid w:val="006E6AD3"/>
    <w:rsid w:val="006F1AA4"/>
    <w:rsid w:val="007020C7"/>
    <w:rsid w:val="00707257"/>
    <w:rsid w:val="0072067B"/>
    <w:rsid w:val="00720862"/>
    <w:rsid w:val="00721024"/>
    <w:rsid w:val="00723C4B"/>
    <w:rsid w:val="007253A6"/>
    <w:rsid w:val="007257A0"/>
    <w:rsid w:val="007420CE"/>
    <w:rsid w:val="00745392"/>
    <w:rsid w:val="007503CF"/>
    <w:rsid w:val="007545E9"/>
    <w:rsid w:val="00754BF7"/>
    <w:rsid w:val="0077314C"/>
    <w:rsid w:val="00775D3E"/>
    <w:rsid w:val="0077721D"/>
    <w:rsid w:val="00781AB6"/>
    <w:rsid w:val="007825E9"/>
    <w:rsid w:val="00782C54"/>
    <w:rsid w:val="00785E48"/>
    <w:rsid w:val="0079403E"/>
    <w:rsid w:val="007A3CC3"/>
    <w:rsid w:val="007A4371"/>
    <w:rsid w:val="007B1DAF"/>
    <w:rsid w:val="007C2304"/>
    <w:rsid w:val="007C2E3E"/>
    <w:rsid w:val="007C38C2"/>
    <w:rsid w:val="007D095A"/>
    <w:rsid w:val="007E1D56"/>
    <w:rsid w:val="007E2494"/>
    <w:rsid w:val="007E40C6"/>
    <w:rsid w:val="007E4B12"/>
    <w:rsid w:val="007F05D4"/>
    <w:rsid w:val="00803F86"/>
    <w:rsid w:val="00805297"/>
    <w:rsid w:val="00807F12"/>
    <w:rsid w:val="00816202"/>
    <w:rsid w:val="00836941"/>
    <w:rsid w:val="0084132F"/>
    <w:rsid w:val="008520A1"/>
    <w:rsid w:val="00877462"/>
    <w:rsid w:val="00884512"/>
    <w:rsid w:val="00886962"/>
    <w:rsid w:val="00890654"/>
    <w:rsid w:val="008A21F2"/>
    <w:rsid w:val="008B0764"/>
    <w:rsid w:val="008C27F8"/>
    <w:rsid w:val="008C7E78"/>
    <w:rsid w:val="008D1C3D"/>
    <w:rsid w:val="00902D54"/>
    <w:rsid w:val="00905DAA"/>
    <w:rsid w:val="00925D38"/>
    <w:rsid w:val="00927497"/>
    <w:rsid w:val="00927CFF"/>
    <w:rsid w:val="00937E90"/>
    <w:rsid w:val="009418C3"/>
    <w:rsid w:val="00943150"/>
    <w:rsid w:val="00955E65"/>
    <w:rsid w:val="00956965"/>
    <w:rsid w:val="00963BC5"/>
    <w:rsid w:val="00970344"/>
    <w:rsid w:val="00977A85"/>
    <w:rsid w:val="00981BA1"/>
    <w:rsid w:val="00983487"/>
    <w:rsid w:val="00990A63"/>
    <w:rsid w:val="009931E2"/>
    <w:rsid w:val="009937F3"/>
    <w:rsid w:val="009971CF"/>
    <w:rsid w:val="009A22AB"/>
    <w:rsid w:val="009B027A"/>
    <w:rsid w:val="009B05CA"/>
    <w:rsid w:val="009B3D79"/>
    <w:rsid w:val="009C0164"/>
    <w:rsid w:val="009C6D39"/>
    <w:rsid w:val="009D7433"/>
    <w:rsid w:val="009F2EEC"/>
    <w:rsid w:val="009F653D"/>
    <w:rsid w:val="00A052D3"/>
    <w:rsid w:val="00A119BF"/>
    <w:rsid w:val="00A264FE"/>
    <w:rsid w:val="00A328D7"/>
    <w:rsid w:val="00A35F99"/>
    <w:rsid w:val="00A40E00"/>
    <w:rsid w:val="00A42377"/>
    <w:rsid w:val="00A53B31"/>
    <w:rsid w:val="00A55462"/>
    <w:rsid w:val="00A5547B"/>
    <w:rsid w:val="00A62B9D"/>
    <w:rsid w:val="00A6651D"/>
    <w:rsid w:val="00A72E4B"/>
    <w:rsid w:val="00A75FF3"/>
    <w:rsid w:val="00A76AEE"/>
    <w:rsid w:val="00A774A2"/>
    <w:rsid w:val="00A816AE"/>
    <w:rsid w:val="00A84AAA"/>
    <w:rsid w:val="00A85000"/>
    <w:rsid w:val="00AA3E3F"/>
    <w:rsid w:val="00AA56D5"/>
    <w:rsid w:val="00AB1A7B"/>
    <w:rsid w:val="00AC360E"/>
    <w:rsid w:val="00AC5656"/>
    <w:rsid w:val="00AC5B6A"/>
    <w:rsid w:val="00AC7D00"/>
    <w:rsid w:val="00AD30A8"/>
    <w:rsid w:val="00AE4AD4"/>
    <w:rsid w:val="00AE5E44"/>
    <w:rsid w:val="00AF26DA"/>
    <w:rsid w:val="00B01DEA"/>
    <w:rsid w:val="00B023F6"/>
    <w:rsid w:val="00B11C3C"/>
    <w:rsid w:val="00B140E6"/>
    <w:rsid w:val="00B17D98"/>
    <w:rsid w:val="00B2386A"/>
    <w:rsid w:val="00B30D25"/>
    <w:rsid w:val="00B3343F"/>
    <w:rsid w:val="00B41650"/>
    <w:rsid w:val="00B45A64"/>
    <w:rsid w:val="00B4756B"/>
    <w:rsid w:val="00B50A5E"/>
    <w:rsid w:val="00B50CA1"/>
    <w:rsid w:val="00B51D25"/>
    <w:rsid w:val="00B6038E"/>
    <w:rsid w:val="00B63B80"/>
    <w:rsid w:val="00B72FCF"/>
    <w:rsid w:val="00B74AC3"/>
    <w:rsid w:val="00B87599"/>
    <w:rsid w:val="00B95ECD"/>
    <w:rsid w:val="00B9780C"/>
    <w:rsid w:val="00BA5C97"/>
    <w:rsid w:val="00BB0094"/>
    <w:rsid w:val="00BB0C89"/>
    <w:rsid w:val="00BB7FC8"/>
    <w:rsid w:val="00BE0DA7"/>
    <w:rsid w:val="00BF2B0A"/>
    <w:rsid w:val="00BF33F0"/>
    <w:rsid w:val="00BF61B9"/>
    <w:rsid w:val="00C10B1C"/>
    <w:rsid w:val="00C14FDC"/>
    <w:rsid w:val="00C201BC"/>
    <w:rsid w:val="00C209E0"/>
    <w:rsid w:val="00C24754"/>
    <w:rsid w:val="00C25AFF"/>
    <w:rsid w:val="00C30FBA"/>
    <w:rsid w:val="00C311AA"/>
    <w:rsid w:val="00C355B8"/>
    <w:rsid w:val="00C42BC6"/>
    <w:rsid w:val="00C5056F"/>
    <w:rsid w:val="00C50D78"/>
    <w:rsid w:val="00C5339F"/>
    <w:rsid w:val="00C70233"/>
    <w:rsid w:val="00C70633"/>
    <w:rsid w:val="00C716E4"/>
    <w:rsid w:val="00C812B7"/>
    <w:rsid w:val="00C903F8"/>
    <w:rsid w:val="00C9370D"/>
    <w:rsid w:val="00CA55EA"/>
    <w:rsid w:val="00CC12D7"/>
    <w:rsid w:val="00CC70D7"/>
    <w:rsid w:val="00CD5B46"/>
    <w:rsid w:val="00CD638D"/>
    <w:rsid w:val="00CE05F4"/>
    <w:rsid w:val="00CE0713"/>
    <w:rsid w:val="00CE1195"/>
    <w:rsid w:val="00D26121"/>
    <w:rsid w:val="00D31EC0"/>
    <w:rsid w:val="00D3202C"/>
    <w:rsid w:val="00D44D76"/>
    <w:rsid w:val="00D50232"/>
    <w:rsid w:val="00D55921"/>
    <w:rsid w:val="00D57E02"/>
    <w:rsid w:val="00D704C0"/>
    <w:rsid w:val="00D7117E"/>
    <w:rsid w:val="00DB630C"/>
    <w:rsid w:val="00DB7C62"/>
    <w:rsid w:val="00DC6266"/>
    <w:rsid w:val="00DD4686"/>
    <w:rsid w:val="00DD53BE"/>
    <w:rsid w:val="00DE1CE8"/>
    <w:rsid w:val="00DE3863"/>
    <w:rsid w:val="00DF55D1"/>
    <w:rsid w:val="00DF61EA"/>
    <w:rsid w:val="00DF7259"/>
    <w:rsid w:val="00DF773E"/>
    <w:rsid w:val="00E058AB"/>
    <w:rsid w:val="00E12E2C"/>
    <w:rsid w:val="00E16AFB"/>
    <w:rsid w:val="00E51468"/>
    <w:rsid w:val="00E51EBA"/>
    <w:rsid w:val="00E52BE0"/>
    <w:rsid w:val="00E5625C"/>
    <w:rsid w:val="00E573C7"/>
    <w:rsid w:val="00E5744B"/>
    <w:rsid w:val="00E6145B"/>
    <w:rsid w:val="00E61C40"/>
    <w:rsid w:val="00E65B9B"/>
    <w:rsid w:val="00E6746F"/>
    <w:rsid w:val="00E77131"/>
    <w:rsid w:val="00EA252E"/>
    <w:rsid w:val="00EA3D8C"/>
    <w:rsid w:val="00EB2143"/>
    <w:rsid w:val="00EB5DAB"/>
    <w:rsid w:val="00EB6D02"/>
    <w:rsid w:val="00EC1641"/>
    <w:rsid w:val="00EC288D"/>
    <w:rsid w:val="00EC2DC0"/>
    <w:rsid w:val="00ED728E"/>
    <w:rsid w:val="00EE0038"/>
    <w:rsid w:val="00EE50E9"/>
    <w:rsid w:val="00EE7566"/>
    <w:rsid w:val="00EF00B2"/>
    <w:rsid w:val="00EF0E05"/>
    <w:rsid w:val="00EF35CC"/>
    <w:rsid w:val="00EF3944"/>
    <w:rsid w:val="00EF4942"/>
    <w:rsid w:val="00F11467"/>
    <w:rsid w:val="00F17661"/>
    <w:rsid w:val="00F8752C"/>
    <w:rsid w:val="00F87E9A"/>
    <w:rsid w:val="00F91953"/>
    <w:rsid w:val="00F947D1"/>
    <w:rsid w:val="00FA41B6"/>
    <w:rsid w:val="00FA7B57"/>
    <w:rsid w:val="00FB582A"/>
    <w:rsid w:val="00FC05E0"/>
    <w:rsid w:val="00FC530C"/>
    <w:rsid w:val="00FC6F3F"/>
    <w:rsid w:val="00FD55CC"/>
    <w:rsid w:val="00FE1903"/>
    <w:rsid w:val="00FE324D"/>
    <w:rsid w:val="00FE5684"/>
    <w:rsid w:val="00FF3A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footer" w:uiPriority="99"/>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paragraph" w:customStyle="1" w:styleId="IAToolChapterHeading">
    <w:name w:val="IA Tool Chapter Heading"/>
    <w:basedOn w:val="Normal"/>
    <w:next w:val="Normal"/>
    <w:qFormat/>
    <w:rsid w:val="00085CA5"/>
    <w:pPr>
      <w:numPr>
        <w:numId w:val="28"/>
      </w:numPr>
      <w:tabs>
        <w:tab w:val="left" w:pos="391"/>
      </w:tabs>
    </w:pPr>
    <w:rPr>
      <w:rFonts w:ascii="Times New Roman Bold" w:hAnsi="Times New Roman Bold"/>
      <w:b/>
      <w:smallCaps/>
      <w:color w:val="548DD4"/>
      <w:sz w:val="28"/>
      <w:szCs w:val="28"/>
    </w:rPr>
  </w:style>
  <w:style w:type="character" w:customStyle="1" w:styleId="FooterChar">
    <w:name w:val="Footer Char"/>
    <w:basedOn w:val="DefaultParagraphFont"/>
    <w:link w:val="Footer"/>
    <w:uiPriority w:val="99"/>
    <w:rsid w:val="00534F64"/>
    <w:rPr>
      <w:rFonts w:ascii="Arial" w:hAnsi="Arial"/>
      <w:sz w:val="16"/>
      <w:lang w:eastAsia="en-US"/>
    </w:rPr>
  </w:style>
  <w:style w:type="character" w:customStyle="1" w:styleId="HeaderChar">
    <w:name w:val="Header Char"/>
    <w:basedOn w:val="DefaultParagraphFont"/>
    <w:link w:val="Header"/>
    <w:uiPriority w:val="99"/>
    <w:rsid w:val="00534F64"/>
    <w:rPr>
      <w:sz w:val="24"/>
      <w:lang w:eastAsia="en-US"/>
    </w:rPr>
  </w:style>
  <w:style w:type="paragraph" w:styleId="ListParagraph">
    <w:name w:val="List Paragraph"/>
    <w:basedOn w:val="Normal"/>
    <w:uiPriority w:val="34"/>
    <w:qFormat/>
    <w:rsid w:val="00186F0B"/>
    <w:pPr>
      <w:ind w:left="720"/>
      <w:contextualSpacing/>
    </w:pPr>
  </w:style>
  <w:style w:type="character" w:styleId="FootnoteReference">
    <w:name w:val="footnote reference"/>
    <w:basedOn w:val="DefaultParagraphFont"/>
    <w:uiPriority w:val="99"/>
    <w:semiHidden/>
    <w:unhideWhenUsed/>
    <w:rsid w:val="00A052D3"/>
    <w:rPr>
      <w:vertAlign w:val="superscript"/>
    </w:rPr>
  </w:style>
  <w:style w:type="character" w:styleId="Hyperlink">
    <w:name w:val="Hyperlink"/>
    <w:basedOn w:val="DefaultParagraphFont"/>
    <w:uiPriority w:val="99"/>
    <w:unhideWhenUsed/>
    <w:rsid w:val="00A052D3"/>
    <w:rPr>
      <w:color w:val="0000FF" w:themeColor="hyperlink"/>
      <w:u w:val="single"/>
    </w:rPr>
  </w:style>
  <w:style w:type="paragraph" w:styleId="BalloonText">
    <w:name w:val="Balloon Text"/>
    <w:basedOn w:val="Normal"/>
    <w:link w:val="BalloonTextChar"/>
    <w:uiPriority w:val="99"/>
    <w:semiHidden/>
    <w:unhideWhenUsed/>
    <w:rsid w:val="00EF0E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E05"/>
    <w:rPr>
      <w:rFonts w:ascii="Tahoma" w:hAnsi="Tahoma" w:cs="Tahoma"/>
      <w:sz w:val="16"/>
      <w:szCs w:val="16"/>
      <w:lang w:eastAsia="en-US"/>
    </w:rPr>
  </w:style>
  <w:style w:type="character" w:styleId="CommentReference">
    <w:name w:val="annotation reference"/>
    <w:basedOn w:val="DefaultParagraphFont"/>
    <w:uiPriority w:val="99"/>
    <w:semiHidden/>
    <w:unhideWhenUsed/>
    <w:rsid w:val="00100E05"/>
    <w:rPr>
      <w:sz w:val="16"/>
      <w:szCs w:val="16"/>
    </w:rPr>
  </w:style>
  <w:style w:type="paragraph" w:styleId="CommentSubject">
    <w:name w:val="annotation subject"/>
    <w:basedOn w:val="CommentText"/>
    <w:next w:val="CommentText"/>
    <w:link w:val="CommentSubjectChar"/>
    <w:uiPriority w:val="99"/>
    <w:semiHidden/>
    <w:unhideWhenUsed/>
    <w:rsid w:val="00100E05"/>
    <w:rPr>
      <w:b/>
      <w:bCs/>
    </w:rPr>
  </w:style>
  <w:style w:type="character" w:customStyle="1" w:styleId="CommentTextChar">
    <w:name w:val="Comment Text Char"/>
    <w:basedOn w:val="DefaultParagraphFont"/>
    <w:link w:val="CommentText"/>
    <w:semiHidden/>
    <w:rsid w:val="00100E05"/>
    <w:rPr>
      <w:lang w:eastAsia="en-US"/>
    </w:rPr>
  </w:style>
  <w:style w:type="character" w:customStyle="1" w:styleId="CommentSubjectChar">
    <w:name w:val="Comment Subject Char"/>
    <w:basedOn w:val="CommentTextChar"/>
    <w:link w:val="CommentSubject"/>
    <w:uiPriority w:val="99"/>
    <w:semiHidden/>
    <w:rsid w:val="00100E05"/>
    <w:rPr>
      <w:b/>
      <w:bCs/>
      <w:lang w:eastAsia="en-US"/>
    </w:rPr>
  </w:style>
  <w:style w:type="table" w:styleId="TableGrid">
    <w:name w:val="Table Grid"/>
    <w:basedOn w:val="TableNormal"/>
    <w:uiPriority w:val="59"/>
    <w:rsid w:val="00474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sid w:val="00E51468"/>
    <w:rPr>
      <w:color w:val="0000FF"/>
      <w:shd w:val="clear" w:color="auto" w:fill="auto"/>
    </w:rPr>
  </w:style>
  <w:style w:type="paragraph" w:customStyle="1" w:styleId="Pagedecouverture">
    <w:name w:val="Page de couverture"/>
    <w:basedOn w:val="Normal"/>
    <w:next w:val="Normal"/>
    <w:rsid w:val="00E51468"/>
    <w:pPr>
      <w:spacing w:after="0"/>
    </w:pPr>
    <w:rPr>
      <w:rFonts w:eastAsiaTheme="minorHAnsi"/>
      <w:szCs w:val="22"/>
    </w:rPr>
  </w:style>
  <w:style w:type="paragraph" w:customStyle="1" w:styleId="FooterCoverPage">
    <w:name w:val="Footer Cover Page"/>
    <w:basedOn w:val="Normal"/>
    <w:link w:val="FooterCoverPageChar"/>
    <w:rsid w:val="00E51468"/>
    <w:pPr>
      <w:tabs>
        <w:tab w:val="center" w:pos="4535"/>
        <w:tab w:val="right" w:pos="9071"/>
        <w:tab w:val="right" w:pos="9921"/>
      </w:tabs>
      <w:spacing w:before="360" w:after="0"/>
      <w:ind w:left="-850" w:right="-850"/>
      <w:jc w:val="left"/>
    </w:pPr>
  </w:style>
  <w:style w:type="character" w:customStyle="1" w:styleId="CaptionChar">
    <w:name w:val="Caption Char"/>
    <w:basedOn w:val="DefaultParagraphFont"/>
    <w:link w:val="Caption"/>
    <w:rsid w:val="00E51468"/>
    <w:rPr>
      <w:b/>
      <w:sz w:val="24"/>
      <w:lang w:eastAsia="en-US"/>
    </w:rPr>
  </w:style>
  <w:style w:type="character" w:customStyle="1" w:styleId="FooterCoverPageChar">
    <w:name w:val="Footer Cover Page Char"/>
    <w:basedOn w:val="CaptionChar"/>
    <w:link w:val="FooterCoverPage"/>
    <w:rsid w:val="00E51468"/>
    <w:rPr>
      <w:b w:val="0"/>
      <w:sz w:val="24"/>
      <w:lang w:eastAsia="en-US"/>
    </w:rPr>
  </w:style>
  <w:style w:type="paragraph" w:customStyle="1" w:styleId="HeaderCoverPage">
    <w:name w:val="Header Cover Page"/>
    <w:basedOn w:val="Normal"/>
    <w:link w:val="HeaderCoverPageChar"/>
    <w:rsid w:val="00E51468"/>
    <w:pPr>
      <w:tabs>
        <w:tab w:val="center" w:pos="4535"/>
        <w:tab w:val="right" w:pos="9071"/>
      </w:tabs>
      <w:spacing w:after="120"/>
    </w:pPr>
  </w:style>
  <w:style w:type="character" w:customStyle="1" w:styleId="HeaderCoverPageChar">
    <w:name w:val="Header Cover Page Char"/>
    <w:basedOn w:val="CaptionChar"/>
    <w:link w:val="HeaderCoverPage"/>
    <w:rsid w:val="00E51468"/>
    <w:rPr>
      <w:b w:val="0"/>
      <w:sz w:val="24"/>
      <w:lang w:eastAsia="en-US"/>
    </w:rPr>
  </w:style>
  <w:style w:type="paragraph" w:styleId="Revision">
    <w:name w:val="Revision"/>
    <w:hidden/>
    <w:uiPriority w:val="99"/>
    <w:semiHidden/>
    <w:rsid w:val="000C0E88"/>
    <w:rPr>
      <w:sz w:val="24"/>
      <w:lang w:eastAsia="en-US"/>
    </w:rPr>
  </w:style>
  <w:style w:type="character" w:customStyle="1" w:styleId="FootnoteTextChar">
    <w:name w:val="Footnote Text Char"/>
    <w:basedOn w:val="DefaultParagraphFont"/>
    <w:link w:val="FootnoteText"/>
    <w:semiHidden/>
    <w:rsid w:val="00C30FBA"/>
    <w:rPr>
      <w:lang w:eastAsia="en-US"/>
    </w:rPr>
  </w:style>
  <w:style w:type="paragraph" w:customStyle="1" w:styleId="Langue">
    <w:name w:val="Langue"/>
    <w:basedOn w:val="Normal"/>
    <w:next w:val="Normal"/>
    <w:rsid w:val="00DF61EA"/>
    <w:pPr>
      <w:framePr w:wrap="around" w:vAnchor="page" w:hAnchor="text" w:xAlign="center" w:y="14741"/>
      <w:spacing w:after="600"/>
      <w:jc w:val="center"/>
    </w:pPr>
    <w:rPr>
      <w:rFonts w:eastAsiaTheme="minorHAnsi"/>
      <w:b/>
      <w:caps/>
      <w:szCs w:val="22"/>
    </w:rPr>
  </w:style>
  <w:style w:type="paragraph" w:customStyle="1" w:styleId="Nomdelinstitution">
    <w:name w:val="Nom de l'institution"/>
    <w:basedOn w:val="Normal"/>
    <w:next w:val="Normal"/>
    <w:rsid w:val="00DF61EA"/>
    <w:pPr>
      <w:spacing w:after="0"/>
      <w:jc w:val="left"/>
    </w:pPr>
    <w:rPr>
      <w:rFonts w:ascii="Arial" w:eastAsiaTheme="minorHAnsi" w:hAnsi="Arial" w:cs="Arial"/>
      <w:szCs w:val="22"/>
    </w:rPr>
  </w:style>
  <w:style w:type="paragraph" w:customStyle="1" w:styleId="Emission">
    <w:name w:val="Emission"/>
    <w:basedOn w:val="Normal"/>
    <w:next w:val="Normal"/>
    <w:rsid w:val="00DF61EA"/>
    <w:pPr>
      <w:spacing w:after="0"/>
      <w:ind w:left="5103"/>
      <w:jc w:val="left"/>
    </w:pPr>
    <w:rPr>
      <w:rFonts w:eastAsiaTheme="minorHAnsi"/>
      <w:szCs w:val="22"/>
    </w:rPr>
  </w:style>
  <w:style w:type="paragraph" w:customStyle="1" w:styleId="Rfrenceinstitutionnelle">
    <w:name w:val="Référence institutionnelle"/>
    <w:basedOn w:val="Normal"/>
    <w:next w:val="Normal"/>
    <w:rsid w:val="00DF61EA"/>
    <w:pPr>
      <w:ind w:left="5103"/>
      <w:jc w:val="left"/>
    </w:pPr>
    <w:rPr>
      <w:rFonts w:eastAsiaTheme="minorHAnsi"/>
      <w:szCs w:val="22"/>
    </w:rPr>
  </w:style>
  <w:style w:type="paragraph" w:customStyle="1" w:styleId="Confidentialit">
    <w:name w:val="Confidentialité"/>
    <w:basedOn w:val="Normal"/>
    <w:next w:val="Normal"/>
    <w:rsid w:val="00DF61EA"/>
    <w:pPr>
      <w:spacing w:before="240"/>
      <w:ind w:left="5103"/>
      <w:jc w:val="left"/>
    </w:pPr>
    <w:rPr>
      <w:rFonts w:eastAsiaTheme="minorHAnsi"/>
      <w:i/>
      <w:sz w:val="32"/>
      <w:szCs w:val="22"/>
    </w:rPr>
  </w:style>
  <w:style w:type="paragraph" w:customStyle="1" w:styleId="TypedudocumentPagedecouverture">
    <w:name w:val="Type du document (Page de couverture)"/>
    <w:basedOn w:val="Normal"/>
    <w:next w:val="Normal"/>
    <w:rsid w:val="00DF61EA"/>
    <w:pPr>
      <w:spacing w:before="360" w:after="0"/>
      <w:jc w:val="center"/>
    </w:pPr>
    <w:rPr>
      <w:rFonts w:eastAsiaTheme="minorHAnsi"/>
      <w:b/>
      <w:szCs w:val="22"/>
    </w:rPr>
  </w:style>
  <w:style w:type="paragraph" w:customStyle="1" w:styleId="TitreobjetPagedecouverture">
    <w:name w:val="Titre objet (Page de couverture)"/>
    <w:basedOn w:val="Normal"/>
    <w:next w:val="Normal"/>
    <w:rsid w:val="00DF61EA"/>
    <w:pPr>
      <w:spacing w:before="360" w:after="360"/>
      <w:jc w:val="center"/>
    </w:pPr>
    <w:rPr>
      <w:rFonts w:eastAsiaTheme="minorHAnsi"/>
      <w:b/>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header" w:uiPriority="99"/>
    <w:lsdException w:name="footer" w:uiPriority="99"/>
    <w:lsdException w:name="caption" w:semiHidden="0" w:unhideWhenUsed="0"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5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tabs>
        <w:tab w:val="num" w:pos="0"/>
      </w:tabs>
      <w:spacing w:before="240" w:after="60"/>
      <w:outlineLvl w:val="4"/>
    </w:pPr>
    <w:rPr>
      <w:rFonts w:ascii="Arial" w:hAnsi="Arial"/>
      <w:sz w:val="22"/>
    </w:rPr>
  </w:style>
  <w:style w:type="paragraph" w:styleId="Heading6">
    <w:name w:val="heading 6"/>
    <w:basedOn w:val="Normal"/>
    <w:next w:val="Normal"/>
    <w:qFormat/>
    <w:pPr>
      <w:tabs>
        <w:tab w:val="num" w:pos="0"/>
      </w:tabs>
      <w:spacing w:before="240" w:after="60"/>
      <w:outlineLvl w:val="5"/>
    </w:pPr>
    <w:rPr>
      <w:rFonts w:ascii="Arial" w:hAnsi="Arial"/>
      <w:i/>
      <w:sz w:val="22"/>
    </w:rPr>
  </w:style>
  <w:style w:type="paragraph" w:styleId="Heading7">
    <w:name w:val="heading 7"/>
    <w:basedOn w:val="Normal"/>
    <w:next w:val="Normal"/>
    <w:qFormat/>
    <w:pPr>
      <w:tabs>
        <w:tab w:val="num" w:pos="0"/>
      </w:tabs>
      <w:spacing w:before="240" w:after="60"/>
      <w:outlineLvl w:val="6"/>
    </w:pPr>
    <w:rPr>
      <w:rFonts w:ascii="Arial" w:hAnsi="Arial"/>
      <w:sz w:val="20"/>
    </w:rPr>
  </w:style>
  <w:style w:type="paragraph" w:styleId="Heading8">
    <w:name w:val="heading 8"/>
    <w:basedOn w:val="Normal"/>
    <w:next w:val="Normal"/>
    <w:qFormat/>
    <w:pPr>
      <w:tabs>
        <w:tab w:val="num" w:pos="0"/>
      </w:tabs>
      <w:spacing w:before="240" w:after="60"/>
      <w:outlineLvl w:val="7"/>
    </w:pPr>
    <w:rPr>
      <w:rFonts w:ascii="Arial" w:hAnsi="Arial"/>
      <w:i/>
      <w:sz w:val="20"/>
    </w:rPr>
  </w:style>
  <w:style w:type="paragraph" w:styleId="Heading9">
    <w:name w:val="heading 9"/>
    <w:basedOn w:val="Normal"/>
    <w:next w:val="Normal"/>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link w:val="CaptionChar"/>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pPr>
      <w:ind w:left="4252"/>
    </w:pPr>
  </w:style>
  <w:style w:type="paragraph" w:styleId="CommentText">
    <w:name w:val="annotation text"/>
    <w:basedOn w:val="Normal"/>
    <w:link w:val="CommentTextChar"/>
    <w:semiHidden/>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link w:val="FootnoteTextChar"/>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ubtitle">
    <w:name w:val="Subtitle"/>
    <w:basedOn w:val="Normal"/>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qFormat/>
    <w:pPr>
      <w:spacing w:after="480"/>
      <w:jc w:val="center"/>
    </w:pPr>
    <w:rPr>
      <w:b/>
      <w:kern w:val="28"/>
      <w:sz w:val="48"/>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paragraph" w:customStyle="1" w:styleId="IAToolChapterHeading">
    <w:name w:val="IA Tool Chapter Heading"/>
    <w:basedOn w:val="Normal"/>
    <w:next w:val="Normal"/>
    <w:qFormat/>
    <w:rsid w:val="00085CA5"/>
    <w:pPr>
      <w:numPr>
        <w:numId w:val="28"/>
      </w:numPr>
      <w:tabs>
        <w:tab w:val="left" w:pos="391"/>
      </w:tabs>
    </w:pPr>
    <w:rPr>
      <w:rFonts w:ascii="Times New Roman Bold" w:hAnsi="Times New Roman Bold"/>
      <w:b/>
      <w:smallCaps/>
      <w:color w:val="548DD4"/>
      <w:sz w:val="28"/>
      <w:szCs w:val="28"/>
    </w:rPr>
  </w:style>
  <w:style w:type="character" w:customStyle="1" w:styleId="FooterChar">
    <w:name w:val="Footer Char"/>
    <w:basedOn w:val="DefaultParagraphFont"/>
    <w:link w:val="Footer"/>
    <w:uiPriority w:val="99"/>
    <w:rsid w:val="00534F64"/>
    <w:rPr>
      <w:rFonts w:ascii="Arial" w:hAnsi="Arial"/>
      <w:sz w:val="16"/>
      <w:lang w:eastAsia="en-US"/>
    </w:rPr>
  </w:style>
  <w:style w:type="character" w:customStyle="1" w:styleId="HeaderChar">
    <w:name w:val="Header Char"/>
    <w:basedOn w:val="DefaultParagraphFont"/>
    <w:link w:val="Header"/>
    <w:uiPriority w:val="99"/>
    <w:rsid w:val="00534F64"/>
    <w:rPr>
      <w:sz w:val="24"/>
      <w:lang w:eastAsia="en-US"/>
    </w:rPr>
  </w:style>
  <w:style w:type="paragraph" w:styleId="ListParagraph">
    <w:name w:val="List Paragraph"/>
    <w:basedOn w:val="Normal"/>
    <w:uiPriority w:val="34"/>
    <w:qFormat/>
    <w:rsid w:val="00186F0B"/>
    <w:pPr>
      <w:ind w:left="720"/>
      <w:contextualSpacing/>
    </w:pPr>
  </w:style>
  <w:style w:type="character" w:styleId="FootnoteReference">
    <w:name w:val="footnote reference"/>
    <w:basedOn w:val="DefaultParagraphFont"/>
    <w:uiPriority w:val="99"/>
    <w:semiHidden/>
    <w:unhideWhenUsed/>
    <w:rsid w:val="00A052D3"/>
    <w:rPr>
      <w:vertAlign w:val="superscript"/>
    </w:rPr>
  </w:style>
  <w:style w:type="character" w:styleId="Hyperlink">
    <w:name w:val="Hyperlink"/>
    <w:basedOn w:val="DefaultParagraphFont"/>
    <w:uiPriority w:val="99"/>
    <w:unhideWhenUsed/>
    <w:rsid w:val="00A052D3"/>
    <w:rPr>
      <w:color w:val="0000FF" w:themeColor="hyperlink"/>
      <w:u w:val="single"/>
    </w:rPr>
  </w:style>
  <w:style w:type="paragraph" w:styleId="BalloonText">
    <w:name w:val="Balloon Text"/>
    <w:basedOn w:val="Normal"/>
    <w:link w:val="BalloonTextChar"/>
    <w:uiPriority w:val="99"/>
    <w:semiHidden/>
    <w:unhideWhenUsed/>
    <w:rsid w:val="00EF0E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E05"/>
    <w:rPr>
      <w:rFonts w:ascii="Tahoma" w:hAnsi="Tahoma" w:cs="Tahoma"/>
      <w:sz w:val="16"/>
      <w:szCs w:val="16"/>
      <w:lang w:eastAsia="en-US"/>
    </w:rPr>
  </w:style>
  <w:style w:type="character" w:styleId="CommentReference">
    <w:name w:val="annotation reference"/>
    <w:basedOn w:val="DefaultParagraphFont"/>
    <w:uiPriority w:val="99"/>
    <w:semiHidden/>
    <w:unhideWhenUsed/>
    <w:rsid w:val="00100E05"/>
    <w:rPr>
      <w:sz w:val="16"/>
      <w:szCs w:val="16"/>
    </w:rPr>
  </w:style>
  <w:style w:type="paragraph" w:styleId="CommentSubject">
    <w:name w:val="annotation subject"/>
    <w:basedOn w:val="CommentText"/>
    <w:next w:val="CommentText"/>
    <w:link w:val="CommentSubjectChar"/>
    <w:uiPriority w:val="99"/>
    <w:semiHidden/>
    <w:unhideWhenUsed/>
    <w:rsid w:val="00100E05"/>
    <w:rPr>
      <w:b/>
      <w:bCs/>
    </w:rPr>
  </w:style>
  <w:style w:type="character" w:customStyle="1" w:styleId="CommentTextChar">
    <w:name w:val="Comment Text Char"/>
    <w:basedOn w:val="DefaultParagraphFont"/>
    <w:link w:val="CommentText"/>
    <w:semiHidden/>
    <w:rsid w:val="00100E05"/>
    <w:rPr>
      <w:lang w:eastAsia="en-US"/>
    </w:rPr>
  </w:style>
  <w:style w:type="character" w:customStyle="1" w:styleId="CommentSubjectChar">
    <w:name w:val="Comment Subject Char"/>
    <w:basedOn w:val="CommentTextChar"/>
    <w:link w:val="CommentSubject"/>
    <w:uiPriority w:val="99"/>
    <w:semiHidden/>
    <w:rsid w:val="00100E05"/>
    <w:rPr>
      <w:b/>
      <w:bCs/>
      <w:lang w:eastAsia="en-US"/>
    </w:rPr>
  </w:style>
  <w:style w:type="table" w:styleId="TableGrid">
    <w:name w:val="Table Grid"/>
    <w:basedOn w:val="TableNormal"/>
    <w:uiPriority w:val="59"/>
    <w:rsid w:val="00474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sid w:val="00E51468"/>
    <w:rPr>
      <w:color w:val="0000FF"/>
      <w:shd w:val="clear" w:color="auto" w:fill="auto"/>
    </w:rPr>
  </w:style>
  <w:style w:type="paragraph" w:customStyle="1" w:styleId="Pagedecouverture">
    <w:name w:val="Page de couverture"/>
    <w:basedOn w:val="Normal"/>
    <w:next w:val="Normal"/>
    <w:rsid w:val="00E51468"/>
    <w:pPr>
      <w:spacing w:after="0"/>
    </w:pPr>
    <w:rPr>
      <w:rFonts w:eastAsiaTheme="minorHAnsi"/>
      <w:szCs w:val="22"/>
    </w:rPr>
  </w:style>
  <w:style w:type="paragraph" w:customStyle="1" w:styleId="FooterCoverPage">
    <w:name w:val="Footer Cover Page"/>
    <w:basedOn w:val="Normal"/>
    <w:link w:val="FooterCoverPageChar"/>
    <w:rsid w:val="00E51468"/>
    <w:pPr>
      <w:tabs>
        <w:tab w:val="center" w:pos="4535"/>
        <w:tab w:val="right" w:pos="9071"/>
        <w:tab w:val="right" w:pos="9921"/>
      </w:tabs>
      <w:spacing w:before="360" w:after="0"/>
      <w:ind w:left="-850" w:right="-850"/>
      <w:jc w:val="left"/>
    </w:pPr>
  </w:style>
  <w:style w:type="character" w:customStyle="1" w:styleId="CaptionChar">
    <w:name w:val="Caption Char"/>
    <w:basedOn w:val="DefaultParagraphFont"/>
    <w:link w:val="Caption"/>
    <w:rsid w:val="00E51468"/>
    <w:rPr>
      <w:b/>
      <w:sz w:val="24"/>
      <w:lang w:eastAsia="en-US"/>
    </w:rPr>
  </w:style>
  <w:style w:type="character" w:customStyle="1" w:styleId="FooterCoverPageChar">
    <w:name w:val="Footer Cover Page Char"/>
    <w:basedOn w:val="CaptionChar"/>
    <w:link w:val="FooterCoverPage"/>
    <w:rsid w:val="00E51468"/>
    <w:rPr>
      <w:b w:val="0"/>
      <w:sz w:val="24"/>
      <w:lang w:eastAsia="en-US"/>
    </w:rPr>
  </w:style>
  <w:style w:type="paragraph" w:customStyle="1" w:styleId="HeaderCoverPage">
    <w:name w:val="Header Cover Page"/>
    <w:basedOn w:val="Normal"/>
    <w:link w:val="HeaderCoverPageChar"/>
    <w:rsid w:val="00E51468"/>
    <w:pPr>
      <w:tabs>
        <w:tab w:val="center" w:pos="4535"/>
        <w:tab w:val="right" w:pos="9071"/>
      </w:tabs>
      <w:spacing w:after="120"/>
    </w:pPr>
  </w:style>
  <w:style w:type="character" w:customStyle="1" w:styleId="HeaderCoverPageChar">
    <w:name w:val="Header Cover Page Char"/>
    <w:basedOn w:val="CaptionChar"/>
    <w:link w:val="HeaderCoverPage"/>
    <w:rsid w:val="00E51468"/>
    <w:rPr>
      <w:b w:val="0"/>
      <w:sz w:val="24"/>
      <w:lang w:eastAsia="en-US"/>
    </w:rPr>
  </w:style>
  <w:style w:type="paragraph" w:styleId="Revision">
    <w:name w:val="Revision"/>
    <w:hidden/>
    <w:uiPriority w:val="99"/>
    <w:semiHidden/>
    <w:rsid w:val="000C0E88"/>
    <w:rPr>
      <w:sz w:val="24"/>
      <w:lang w:eastAsia="en-US"/>
    </w:rPr>
  </w:style>
  <w:style w:type="character" w:customStyle="1" w:styleId="FootnoteTextChar">
    <w:name w:val="Footnote Text Char"/>
    <w:basedOn w:val="DefaultParagraphFont"/>
    <w:link w:val="FootnoteText"/>
    <w:semiHidden/>
    <w:rsid w:val="00C30FBA"/>
    <w:rPr>
      <w:lang w:eastAsia="en-US"/>
    </w:rPr>
  </w:style>
  <w:style w:type="paragraph" w:customStyle="1" w:styleId="Langue">
    <w:name w:val="Langue"/>
    <w:basedOn w:val="Normal"/>
    <w:next w:val="Normal"/>
    <w:rsid w:val="00DF61EA"/>
    <w:pPr>
      <w:framePr w:wrap="around" w:vAnchor="page" w:hAnchor="text" w:xAlign="center" w:y="14741"/>
      <w:spacing w:after="600"/>
      <w:jc w:val="center"/>
    </w:pPr>
    <w:rPr>
      <w:rFonts w:eastAsiaTheme="minorHAnsi"/>
      <w:b/>
      <w:caps/>
      <w:szCs w:val="22"/>
    </w:rPr>
  </w:style>
  <w:style w:type="paragraph" w:customStyle="1" w:styleId="Nomdelinstitution">
    <w:name w:val="Nom de l'institution"/>
    <w:basedOn w:val="Normal"/>
    <w:next w:val="Normal"/>
    <w:rsid w:val="00DF61EA"/>
    <w:pPr>
      <w:spacing w:after="0"/>
      <w:jc w:val="left"/>
    </w:pPr>
    <w:rPr>
      <w:rFonts w:ascii="Arial" w:eastAsiaTheme="minorHAnsi" w:hAnsi="Arial" w:cs="Arial"/>
      <w:szCs w:val="22"/>
    </w:rPr>
  </w:style>
  <w:style w:type="paragraph" w:customStyle="1" w:styleId="Emission">
    <w:name w:val="Emission"/>
    <w:basedOn w:val="Normal"/>
    <w:next w:val="Normal"/>
    <w:rsid w:val="00DF61EA"/>
    <w:pPr>
      <w:spacing w:after="0"/>
      <w:ind w:left="5103"/>
      <w:jc w:val="left"/>
    </w:pPr>
    <w:rPr>
      <w:rFonts w:eastAsiaTheme="minorHAnsi"/>
      <w:szCs w:val="22"/>
    </w:rPr>
  </w:style>
  <w:style w:type="paragraph" w:customStyle="1" w:styleId="Rfrenceinstitutionnelle">
    <w:name w:val="Référence institutionnelle"/>
    <w:basedOn w:val="Normal"/>
    <w:next w:val="Normal"/>
    <w:rsid w:val="00DF61EA"/>
    <w:pPr>
      <w:ind w:left="5103"/>
      <w:jc w:val="left"/>
    </w:pPr>
    <w:rPr>
      <w:rFonts w:eastAsiaTheme="minorHAnsi"/>
      <w:szCs w:val="22"/>
    </w:rPr>
  </w:style>
  <w:style w:type="paragraph" w:customStyle="1" w:styleId="Confidentialit">
    <w:name w:val="Confidentialité"/>
    <w:basedOn w:val="Normal"/>
    <w:next w:val="Normal"/>
    <w:rsid w:val="00DF61EA"/>
    <w:pPr>
      <w:spacing w:before="240"/>
      <w:ind w:left="5103"/>
      <w:jc w:val="left"/>
    </w:pPr>
    <w:rPr>
      <w:rFonts w:eastAsiaTheme="minorHAnsi"/>
      <w:i/>
      <w:sz w:val="32"/>
      <w:szCs w:val="22"/>
    </w:rPr>
  </w:style>
  <w:style w:type="paragraph" w:customStyle="1" w:styleId="TypedudocumentPagedecouverture">
    <w:name w:val="Type du document (Page de couverture)"/>
    <w:basedOn w:val="Normal"/>
    <w:next w:val="Normal"/>
    <w:rsid w:val="00DF61EA"/>
    <w:pPr>
      <w:spacing w:before="360" w:after="0"/>
      <w:jc w:val="center"/>
    </w:pPr>
    <w:rPr>
      <w:rFonts w:eastAsiaTheme="minorHAnsi"/>
      <w:b/>
      <w:szCs w:val="22"/>
    </w:rPr>
  </w:style>
  <w:style w:type="paragraph" w:customStyle="1" w:styleId="TitreobjetPagedecouverture">
    <w:name w:val="Titre objet (Page de couverture)"/>
    <w:basedOn w:val="Normal"/>
    <w:next w:val="Normal"/>
    <w:rsid w:val="00DF61EA"/>
    <w:pPr>
      <w:spacing w:before="360" w:after="360"/>
      <w:jc w:val="center"/>
    </w:pPr>
    <w:rPr>
      <w:rFonts w:eastAsiaTheme="minorHAns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864887">
      <w:bodyDiv w:val="1"/>
      <w:marLeft w:val="0"/>
      <w:marRight w:val="0"/>
      <w:marTop w:val="0"/>
      <w:marBottom w:val="0"/>
      <w:divBdr>
        <w:top w:val="none" w:sz="0" w:space="0" w:color="auto"/>
        <w:left w:val="none" w:sz="0" w:space="0" w:color="auto"/>
        <w:bottom w:val="none" w:sz="0" w:space="0" w:color="auto"/>
        <w:right w:val="none" w:sz="0" w:space="0" w:color="auto"/>
      </w:divBdr>
    </w:div>
    <w:div w:id="1958675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info/law/contribute-law-making_en" TargetMode="External"/><Relationship Id="rId13" Type="http://schemas.openxmlformats.org/officeDocument/2006/relationships/hyperlink" Target="http://ec.europa.eu/smart-regulation/impact/iab/members_en.htm" TargetMode="External"/><Relationship Id="rId3" Type="http://schemas.openxmlformats.org/officeDocument/2006/relationships/hyperlink" Target="http://ec.europa.eu/justice/contract/digital-contract-rules/index_en.htm" TargetMode="External"/><Relationship Id="rId7" Type="http://schemas.openxmlformats.org/officeDocument/2006/relationships/hyperlink" Target="http://ec.europa.eu/justice/data-protection/document/factsheets_2016/data-protection-factsheet_01a_en.pdf" TargetMode="External"/><Relationship Id="rId12" Type="http://schemas.openxmlformats.org/officeDocument/2006/relationships/hyperlink" Target="http://eur-lex.europa.eu/legal-content/EN/TXT/?uri=OJ:L:2016:123:TOC" TargetMode="External"/><Relationship Id="rId2" Type="http://schemas.openxmlformats.org/officeDocument/2006/relationships/hyperlink" Target="http://ec.europa.eu/echo/files/EU_Emergency_Support/Graphic_Provision_en.pdf" TargetMode="External"/><Relationship Id="rId16" Type="http://schemas.openxmlformats.org/officeDocument/2006/relationships/hyperlink" Target="http://ec.europa.eu/transport/modes/maritime/news/2016-06-06-passenger_ship_safety_rules_en.htm" TargetMode="External"/><Relationship Id="rId1" Type="http://schemas.openxmlformats.org/officeDocument/2006/relationships/hyperlink" Target="https://ec.europa.eu/priorities/index_en" TargetMode="External"/><Relationship Id="rId6" Type="http://schemas.openxmlformats.org/officeDocument/2006/relationships/hyperlink" Target="http://ec.europa.eu/finance/securities/prospectus/index_en.htm" TargetMode="External"/><Relationship Id="rId11" Type="http://schemas.openxmlformats.org/officeDocument/2006/relationships/hyperlink" Target="http://ec.europa.eu/smart-regulation/refit/refit-platform/index_en.htm" TargetMode="External"/><Relationship Id="rId5" Type="http://schemas.openxmlformats.org/officeDocument/2006/relationships/hyperlink" Target="https://ec.europa.eu/taxation_customs/sites/taxation/files/docs/body/com_2016_148_en.pdf" TargetMode="External"/><Relationship Id="rId15" Type="http://schemas.openxmlformats.org/officeDocument/2006/relationships/hyperlink" Target="http://ec.europa.eu/finance/consultations/2015/financial-regulatory-framework-review/index_en.htm" TargetMode="External"/><Relationship Id="rId10" Type="http://schemas.openxmlformats.org/officeDocument/2006/relationships/hyperlink" Target="http://ec.europa.eu/smart-regulation/refit/simplification/consultation/consultation_en.htm" TargetMode="External"/><Relationship Id="rId4" Type="http://schemas.openxmlformats.org/officeDocument/2006/relationships/hyperlink" Target="http://ec.europa.eu/info/law-making-process/evaluating-and-improving-existing-laws/refit-making-eu-law-simpler-and-less_en" TargetMode="External"/><Relationship Id="rId9" Type="http://schemas.openxmlformats.org/officeDocument/2006/relationships/hyperlink" Target="http://ec.europa.eu/transparency/index_en.htm" TargetMode="External"/><Relationship Id="rId14" Type="http://schemas.openxmlformats.org/officeDocument/2006/relationships/hyperlink" Target="http://www.oecd.org/regreform/oecd-regulatory-policy-outlook-2015-9789264238770-en.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75DD-99E6-4082-8BE5-FCFC4626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5</TotalTime>
  <Pages>11</Pages>
  <Words>4003</Words>
  <Characters>22009</Characters>
  <Application>Microsoft Office Word</Application>
  <DocSecurity>0</DocSecurity>
  <PresentationFormat>Microsoft Word 14.0</PresentationFormat>
  <Lines>357</Lines>
  <Paragraphs>67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Johnstone</dc:creator>
  <cp:keywords>EL4</cp:keywords>
  <cp:lastModifiedBy>BARTH Carmen (SG)</cp:lastModifiedBy>
  <cp:revision>6</cp:revision>
  <cp:lastPrinted>2016-09-12T16:44:00Z</cp:lastPrinted>
  <dcterms:created xsi:type="dcterms:W3CDTF">2016-09-12T16:45:00Z</dcterms:created>
  <dcterms:modified xsi:type="dcterms:W3CDTF">2016-09-14T07:14:00Z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rep.dot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Duncan Johnstone</vt:lpwstr>
  </property>
  <property fmtid="{D5CDD505-2E9C-101B-9397-08002B2CF9AE}" pid="10" name="Type">
    <vt:lpwstr>Eurolook Report</vt:lpwstr>
  </property>
  <property fmtid="{D5CDD505-2E9C-101B-9397-08002B2CF9AE}" pid="11" name="Language">
    <vt:lpwstr>EN</vt:lpwstr>
  </property>
  <property fmtid="{D5CDD505-2E9C-101B-9397-08002B2CF9AE}" pid="12" name="EL_Language">
    <vt:lpwstr>EN</vt:lpwstr>
  </property>
  <property fmtid="{D5CDD505-2E9C-101B-9397-08002B2CF9AE}" pid="13" name="Part">
    <vt:lpwstr>1</vt:lpwstr>
  </property>
  <property fmtid="{D5CDD505-2E9C-101B-9397-08002B2CF9AE}" pid="14" name="Total parts">
    <vt:lpwstr>1</vt:lpwstr>
  </property>
  <property fmtid="{D5CDD505-2E9C-101B-9397-08002B2CF9AE}" pid="15" name="DocStatus">
    <vt:lpwstr>Green</vt:lpwstr>
  </property>
  <property fmtid="{D5CDD505-2E9C-101B-9397-08002B2CF9AE}" pid="16" name="Classification">
    <vt:lpwstr> </vt:lpwstr>
  </property>
</Properties>
</file>