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D6E2234D69643FD9E8C0BAA5F8F6D0B" style="width:450.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rFonts w:eastAsia="Calibri"/>
          <w:noProof/>
          <w:lang w:eastAsia="en-GB"/>
        </w:rPr>
      </w:pPr>
      <w:bookmarkStart w:id="0" w:name="_GoBack"/>
      <w:bookmarkEnd w:id="0"/>
      <w:r>
        <w:rPr>
          <w:rFonts w:eastAsia="Calibri"/>
          <w:noProof/>
          <w:lang w:eastAsia="en-GB"/>
        </w:rPr>
        <w:lastRenderedPageBreak/>
        <w:t>The references to fishing zones are references to ICES zones, unless otherwise specified.</w:t>
      </w:r>
    </w:p>
    <w:p>
      <w:pPr>
        <w:jc w:val="center"/>
        <w:rPr>
          <w:rFonts w:eastAsia="Calibri"/>
          <w:b/>
          <w:noProof/>
          <w:lang w:eastAsia="en-GB"/>
        </w:rPr>
      </w:pPr>
      <w:r>
        <w:rPr>
          <w:rFonts w:eastAsia="Calibri"/>
          <w:b/>
          <w:noProof/>
          <w:lang w:eastAsia="en-GB"/>
        </w:rPr>
        <w:t>PART 1</w:t>
      </w:r>
      <w:r>
        <w:rPr>
          <w:rFonts w:eastAsia="Calibri"/>
          <w:b/>
          <w:noProof/>
          <w:lang w:eastAsia="en-GB"/>
        </w:rPr>
        <w:br/>
        <w:t>Definition of species and species groups</w:t>
      </w:r>
    </w:p>
    <w:p>
      <w:pPr>
        <w:ind w:left="850" w:hanging="850"/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1.</w:t>
      </w:r>
      <w:r>
        <w:rPr>
          <w:rFonts w:eastAsia="Calibri"/>
          <w:noProof/>
          <w:lang w:eastAsia="en-GB"/>
        </w:rPr>
        <w:tab/>
        <w:t>In the list set out in Part 2 of this Annex, fish stocks are referred to following the alphabetical order of the Latin names of the species; the only exception are deep-sea sharks, which are placed at the beginning of that list. For the purposes of this Regulation, the following comparative table of common names and Latin names is provided: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08"/>
        <w:gridCol w:w="2005"/>
        <w:gridCol w:w="3976"/>
      </w:tblGrid>
      <w:tr>
        <w:tc>
          <w:tcPr>
            <w:tcW w:w="17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Common name</w:t>
            </w:r>
          </w:p>
        </w:tc>
        <w:tc>
          <w:tcPr>
            <w:tcW w:w="10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Alpha-3 code</w:t>
            </w:r>
          </w:p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Scientific name</w:t>
            </w:r>
          </w:p>
        </w:tc>
      </w:tr>
      <w:tr>
        <w:tc>
          <w:tcPr>
            <w:tcW w:w="1781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Black scabbardfish</w:t>
            </w:r>
          </w:p>
        </w:tc>
        <w:tc>
          <w:tcPr>
            <w:tcW w:w="1079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BSF</w:t>
            </w:r>
          </w:p>
        </w:tc>
        <w:tc>
          <w:tcPr>
            <w:tcW w:w="2140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Aphanopus carbo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Alfonsinos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ALF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Beryx</w:t>
            </w:r>
            <w:r>
              <w:rPr>
                <w:rFonts w:eastAsia="Calibri"/>
                <w:noProof/>
                <w:sz w:val="22"/>
                <w:lang w:eastAsia="en-GB"/>
              </w:rPr>
              <w:t xml:space="preserve"> spp.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Roundnose grenadier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RNG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Coryphaenoides rupestris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Roughhead grenadier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RHG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Macrourus berglax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Red seabream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SBR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Pagellus bogaraveo</w:t>
            </w:r>
          </w:p>
        </w:tc>
      </w:tr>
      <w:tr>
        <w:tc>
          <w:tcPr>
            <w:tcW w:w="1781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Greater Forkbeard</w:t>
            </w:r>
          </w:p>
        </w:tc>
        <w:tc>
          <w:tcPr>
            <w:tcW w:w="1079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GFB</w:t>
            </w:r>
          </w:p>
        </w:tc>
        <w:tc>
          <w:tcPr>
            <w:tcW w:w="2140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iCs/>
                <w:noProof/>
                <w:sz w:val="22"/>
                <w:lang w:eastAsia="en-GB"/>
              </w:rPr>
              <w:t>Phycis blennoides</w:t>
            </w:r>
          </w:p>
        </w:tc>
      </w:tr>
    </w:tbl>
    <w:p>
      <w:pPr>
        <w:spacing w:before="360"/>
        <w:ind w:left="851" w:hanging="851"/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br w:type="page"/>
      </w:r>
      <w:r>
        <w:rPr>
          <w:rFonts w:eastAsia="Calibri"/>
          <w:noProof/>
          <w:lang w:eastAsia="en-GB"/>
        </w:rPr>
        <w:lastRenderedPageBreak/>
        <w:t>2.</w:t>
      </w:r>
      <w:r>
        <w:rPr>
          <w:rFonts w:eastAsia="Calibri"/>
          <w:noProof/>
          <w:lang w:eastAsia="en-GB"/>
        </w:rPr>
        <w:tab/>
        <w:t>For the purposes of this Regulation, 'deep-sea sharks' means the following list of species: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84"/>
        <w:gridCol w:w="882"/>
        <w:gridCol w:w="3223"/>
      </w:tblGrid>
      <w:t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Common name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Alpha-3 code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Scientific name</w:t>
            </w:r>
          </w:p>
        </w:tc>
      </w:tr>
      <w:tr>
        <w:trPr>
          <w:trHeight w:val="86"/>
        </w:trPr>
        <w:tc>
          <w:tcPr>
            <w:tcW w:w="2790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Deep-water catsharks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API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 xml:space="preserve">Apristurus </w:t>
            </w:r>
            <w:r>
              <w:rPr>
                <w:rFonts w:eastAsia="Calibri"/>
                <w:noProof/>
                <w:sz w:val="22"/>
                <w:lang w:eastAsia="en-GB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Frilled 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HXC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Chlamydoselachus anguineus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Gulper 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CWO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 xml:space="preserve">Centrophorus </w:t>
            </w:r>
            <w:r>
              <w:rPr>
                <w:rFonts w:eastAsia="Calibri"/>
                <w:noProof/>
                <w:sz w:val="22"/>
                <w:lang w:eastAsia="en-GB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Portuguese dogfish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CYO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Centroscymnus coelolepis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Longnose velvet dogfish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CYP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Centroscymnus crepidater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Black dogfish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CFB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Centroscyllium fabricii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Birdbeak dogfish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DCA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Deania calcea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Kitefin 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SCK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Dalatias licha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Great lanternshark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ETR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Etmopterus princeps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Velvet belly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ETX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Etmopterus spinax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Mouse catshark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GAM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Galeus murinus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Bluntnose six-gill shark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SBL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Hexanchus griseus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Sailfin roughshark (Sharpback shark)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OXN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Oxynotus paradoxus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Knifetooth dogfish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SYR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Scymnodon ringens</w:t>
            </w:r>
          </w:p>
        </w:tc>
      </w:tr>
      <w:tr>
        <w:tc>
          <w:tcPr>
            <w:tcW w:w="2790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  <w:smartTag w:uri="urn:schemas-microsoft-com:office:smarttags" w:element="place">
              <w:r>
                <w:rPr>
                  <w:rFonts w:eastAsia="Calibri"/>
                  <w:noProof/>
                  <w:sz w:val="22"/>
                  <w:lang w:eastAsia="en-GB"/>
                </w:rPr>
                <w:t>Greenland</w:t>
              </w:r>
            </w:smartTag>
            <w:r>
              <w:rPr>
                <w:rFonts w:eastAsia="Calibri"/>
                <w:noProof/>
                <w:sz w:val="22"/>
                <w:lang w:eastAsia="en-GB"/>
              </w:rPr>
              <w:t xml:space="preserve"> shark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noProof/>
                <w:sz w:val="22"/>
                <w:lang w:eastAsia="en-GB"/>
              </w:rPr>
              <w:t>GSK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  <w:lang w:eastAsia="en-GB"/>
              </w:rPr>
            </w:pPr>
            <w:r>
              <w:rPr>
                <w:rFonts w:eastAsia="Calibri"/>
                <w:i/>
                <w:noProof/>
                <w:sz w:val="22"/>
                <w:lang w:eastAsia="en-GB"/>
              </w:rPr>
              <w:t>Somniosus microcephalus</w:t>
            </w:r>
          </w:p>
        </w:tc>
      </w:tr>
    </w:tbl>
    <w:p>
      <w:pPr>
        <w:rPr>
          <w:rFonts w:eastAsia="Calibri"/>
          <w:noProof/>
          <w:lang w:eastAsia="en-GB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Fonts w:eastAsia="Calibri"/>
          <w:b/>
          <w:noProof/>
          <w:lang w:eastAsia="en-GB"/>
        </w:rPr>
      </w:pPr>
      <w:r>
        <w:rPr>
          <w:rFonts w:eastAsia="Calibri"/>
          <w:b/>
          <w:noProof/>
          <w:lang w:eastAsia="en-GB"/>
        </w:rPr>
        <w:lastRenderedPageBreak/>
        <w:t>PART 2</w:t>
      </w:r>
      <w:r>
        <w:rPr>
          <w:rFonts w:eastAsia="Calibri"/>
          <w:b/>
          <w:smallCaps/>
          <w:noProof/>
          <w:lang w:eastAsia="en-GB"/>
        </w:rPr>
        <w:br/>
      </w:r>
      <w:r>
        <w:rPr>
          <w:rFonts w:eastAsia="Calibri"/>
          <w:b/>
          <w:noProof/>
          <w:lang w:eastAsia="en-GB"/>
        </w:rPr>
        <w:t>Annual fishing opportunities (in tonnes live weight)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1546"/>
        <w:gridCol w:w="1510"/>
        <w:gridCol w:w="1216"/>
        <w:gridCol w:w="432"/>
        <w:gridCol w:w="765"/>
        <w:gridCol w:w="2584"/>
        <w:gridCol w:w="747"/>
        <w:gridCol w:w="747"/>
      </w:tblGrid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Deep-sea sharks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V, VI, VII, VIII and IX ; Union waters of CECAF 34.1.1, 34.1.2 and 34.2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(DWS/ 56789-)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Deep-sea sharks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(DWS/10-)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Deep-sea sharks, 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>Deania hystricosa</w:t>
            </w:r>
            <w:r>
              <w:rPr>
                <w:noProof/>
                <w:sz w:val="18"/>
                <w:szCs w:val="18"/>
                <w:lang w:eastAsia="en-GB"/>
              </w:rPr>
              <w:t xml:space="preserve"> and 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>Deania profundorum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International waters of 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(DWS/12INT-)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Black scabbardfish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I, II, III and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(BSF/1234-)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Black scabbardfish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V, VI, VII and 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(BSF/56712-)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61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2 159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1 703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Others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2 700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2 130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2 700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2130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Exclusively for by-catches. No directed fisheries are permitted under this quota.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Black scabbardfish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VIII, IX and 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(BSF/8910-)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3 165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2 703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3 200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2 733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3 200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2 733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Black scabbardfish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CECAF 34.1.2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(BSF/C3412-)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Alfonsinos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III, IV, V, VI, VII, VIII, IX, X, XII and XIV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Beryx </w:t>
            </w:r>
            <w:r>
              <w:rPr>
                <w:noProof/>
                <w:sz w:val="18"/>
                <w:szCs w:val="18"/>
                <w:lang w:eastAsia="en-GB"/>
              </w:rPr>
              <w:t>spp.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(ALF/3X14-)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280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Roundnose grenadier and roughhead grenadier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I, II and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Coryphaenoides rupestris </w:t>
            </w:r>
            <w:r>
              <w:rPr>
                <w:noProof/>
                <w:sz w:val="18"/>
                <w:szCs w:val="18"/>
                <w:lang w:eastAsia="en-GB"/>
              </w:rPr>
              <w:t>and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(RNG/124-) for roundnose grenadier;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(RHG/124-) for roughhead grenadier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Roundnose grenadier and roughhead grenadier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Coryphaenoides rupestris </w:t>
            </w:r>
            <w:r>
              <w:rPr>
                <w:noProof/>
                <w:sz w:val="18"/>
                <w:szCs w:val="18"/>
                <w:lang w:eastAsia="en-GB"/>
              </w:rPr>
              <w:t>and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(RNG/03-) for roundnose grenadier;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(RHG/03-) for roughhead grenadier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No directed fishery for roundnose grenadier shall be conducted in ICES zone IIIa.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Roundnose grenadier and roughhead grenadier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Union and international waters of Vb, VI and VII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Coryphaenoides rupestris </w:t>
            </w:r>
            <w:r>
              <w:rPr>
                <w:noProof/>
                <w:sz w:val="18"/>
                <w:szCs w:val="18"/>
                <w:lang w:eastAsia="en-GB"/>
              </w:rPr>
              <w:t>and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(RNG/5B67-) for roundnose grenadier;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(RHG/5B67-) for  roughhead grenadier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2018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Others </w:t>
            </w: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A maximum of 10 % of each quota may be fished in Union and international waters of VIII, IX, X, XII and XIV (RNG/*8X14- for roundnose grenadier; RHG/*8X14- for roughhead grenadier)).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Exclusively for by-catches. No directed fisheries are permitted.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Landings of roundnose grenadier shall not exceed 95 % of each Member State quota.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Roundnose grenadier and roughhead grenadier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Union and international waters of VIII, IX, X, XII and XIV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Coryphaenoides rupestris </w:t>
            </w:r>
            <w:r>
              <w:rPr>
                <w:noProof/>
                <w:sz w:val="18"/>
                <w:szCs w:val="18"/>
                <w:lang w:eastAsia="en-GB"/>
              </w:rPr>
              <w:t>and</w:t>
            </w:r>
            <w:r>
              <w:rPr>
                <w:i/>
                <w:iCs/>
                <w:noProof/>
                <w:sz w:val="18"/>
                <w:szCs w:val="18"/>
                <w:lang w:eastAsia="en-GB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(RNG/8X14-) for roundnose grenadier;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(RHG/8X14-) for  roughhead grenadier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2018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A maximum of 10 % of each quota may be fished in Union and international waters of Vb, VI, VII (RNG/*5B67- for roundnose grenadier; RHG/*5B67- for roughhead grenadier).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Landings of roundnose grenadier shall not exceed 80 % of each Member State quota.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Red seabream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VI, VII and VIII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(SBR/678-)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Ireland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Spain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France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United Kingdom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Others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Union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TAC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Exclusively for by-catches. No directed fisheries are permitted under this quota.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Red seabream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IX and of CECAF 34.1.11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(SBR/9-3411)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Spain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Portugal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Union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TAC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A maximum of 8 % of annual quota may be fished in Union and international waters of VI, VII and VIII (SBR/*678-).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Red seabream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(SBR/10-)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392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Greater forkbeard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I, II, III and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(GFB/1234-)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Greater forkbeard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V, VI and VII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(GFB/567-)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Germany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Ireland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Spain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565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452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France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273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625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Union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1 947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1 558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TAC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1 947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1 558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A maximum of 8 % of annual quota may be fished in Union and international waters of VIII and IX (GFB/*89-).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Greater forkbeard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VIII and IX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(GFB/89-)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Spain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185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France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Portugal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Union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TAC </w:t>
            </w: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vertAlign w:val="superscript"/>
                <w:lang w:eastAsia="en-GB"/>
              </w:rPr>
              <w:t>A maximum of 8 % of annual quota may be fished in Union and international waters of V, VI, VII (GFB/*567-).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Greater forkbeard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 and international waters of X and 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sz w:val="18"/>
                <w:szCs w:val="18"/>
                <w:lang w:eastAsia="en-GB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(GFB/1012-)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42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 xml:space="preserve"> 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>
      <w:pPr>
        <w:tabs>
          <w:tab w:val="left" w:pos="5103"/>
        </w:tabs>
        <w:autoSpaceDE w:val="0"/>
        <w:autoSpaceDN w:val="0"/>
        <w:adjustRightInd w:val="0"/>
        <w:jc w:val="center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D2E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92092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4A4B4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AC56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38E76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7A55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282F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9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7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0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22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3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>
    <w:nsid w:val="3CF00E18"/>
    <w:multiLevelType w:val="singleLevel"/>
    <w:tmpl w:val="26B0B2D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3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3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4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3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44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46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7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</w:num>
  <w:num w:numId="2">
    <w:abstractNumId w:val="26"/>
  </w:num>
  <w:num w:numId="3">
    <w:abstractNumId w:val="48"/>
  </w:num>
  <w:num w:numId="4">
    <w:abstractNumId w:val="11"/>
  </w:num>
  <w:num w:numId="5">
    <w:abstractNumId w:val="30"/>
  </w:num>
  <w:num w:numId="6">
    <w:abstractNumId w:val="23"/>
  </w:num>
  <w:num w:numId="7">
    <w:abstractNumId w:val="27"/>
  </w:num>
  <w:num w:numId="8">
    <w:abstractNumId w:val="44"/>
  </w:num>
  <w:num w:numId="9">
    <w:abstractNumId w:val="18"/>
  </w:num>
  <w:num w:numId="10">
    <w:abstractNumId w:val="7"/>
  </w:num>
  <w:num w:numId="11">
    <w:abstractNumId w:val="25"/>
  </w:num>
  <w:num w:numId="12">
    <w:abstractNumId w:val="24"/>
  </w:num>
  <w:num w:numId="13">
    <w:abstractNumId w:val="41"/>
  </w:num>
  <w:num w:numId="14">
    <w:abstractNumId w:val="43"/>
  </w:num>
  <w:num w:numId="15">
    <w:abstractNumId w:val="33"/>
  </w:num>
  <w:num w:numId="16">
    <w:abstractNumId w:val="31"/>
  </w:num>
  <w:num w:numId="17">
    <w:abstractNumId w:val="34"/>
  </w:num>
  <w:num w:numId="18">
    <w:abstractNumId w:val="21"/>
  </w:num>
  <w:num w:numId="19">
    <w:abstractNumId w:val="8"/>
  </w:num>
  <w:num w:numId="20">
    <w:abstractNumId w:val="20"/>
  </w:num>
  <w:num w:numId="21">
    <w:abstractNumId w:val="15"/>
  </w:num>
  <w:num w:numId="22">
    <w:abstractNumId w:val="13"/>
  </w:num>
  <w:num w:numId="23">
    <w:abstractNumId w:val="45"/>
  </w:num>
  <w:num w:numId="24">
    <w:abstractNumId w:val="46"/>
  </w:num>
  <w:num w:numId="25">
    <w:abstractNumId w:val="22"/>
  </w:num>
  <w:num w:numId="26">
    <w:abstractNumId w:val="39"/>
  </w:num>
  <w:num w:numId="27">
    <w:abstractNumId w:val="9"/>
  </w:num>
  <w:num w:numId="28">
    <w:abstractNumId w:val="47"/>
  </w:num>
  <w:num w:numId="29">
    <w:abstractNumId w:val="14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38"/>
  </w:num>
  <w:num w:numId="38">
    <w:abstractNumId w:val="28"/>
  </w:num>
  <w:num w:numId="39">
    <w:abstractNumId w:val="42"/>
  </w:num>
  <w:num w:numId="40">
    <w:abstractNumId w:val="17"/>
  </w:num>
  <w:num w:numId="41">
    <w:abstractNumId w:val="29"/>
  </w:num>
  <w:num w:numId="42">
    <w:abstractNumId w:val="12"/>
  </w:num>
  <w:num w:numId="43">
    <w:abstractNumId w:val="40"/>
  </w:num>
  <w:num w:numId="44">
    <w:abstractNumId w:val="10"/>
  </w:num>
  <w:num w:numId="45">
    <w:abstractNumId w:val="32"/>
  </w:num>
  <w:num w:numId="46">
    <w:abstractNumId w:val="36"/>
  </w:num>
  <w:num w:numId="47">
    <w:abstractNumId w:val="37"/>
  </w:num>
  <w:num w:numId="48">
    <w:abstractNumId w:val="16"/>
  </w:num>
  <w:num w:numId="49">
    <w:abstractNumId w:val="35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7 15:59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D6E2234D69643FD9E8C0BAA5F8F6D0B"/>
    <w:docVar w:name="LW_CROSSREFERENCE" w:val="&lt;UNUSED&gt;"/>
    <w:docVar w:name="LW_DocType" w:val="ANNEX"/>
    <w:docVar w:name="LW_EMISSION" w:val="6.10.2016"/>
    <w:docVar w:name="LW_EMISSION_ISODATE" w:val="2016-10-0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xing for 2017 and 2018 the fishing opportunities for Union fishing vessels for certain deep-sea fish stocks"/>
    <w:docVar w:name="LW_PART_NBR" w:val="1"/>
    <w:docVar w:name="LW_PART_NBR_TOTAL" w:val="1"/>
    <w:docVar w:name="LW_REF.INST.NEW" w:val="COM"/>
    <w:docVar w:name="LW_REF.INST.NEW_ADOPTED" w:val="final"/>
    <w:docVar w:name="LW_REF.INST.NEW_TEXT" w:val="(2016) 643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en-GB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en-GB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en-GB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en-GB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en-GB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semiHidden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eastAsia="fr-BE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styleId="EndnoteReference">
    <w:name w:val="endnote reference"/>
    <w:semiHidden/>
    <w:rPr>
      <w:b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1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BodyTextIndent">
    <w:name w:val="Body Text Indent"/>
    <w:basedOn w:val="Normal"/>
    <w:link w:val="BodyTextIndentChar"/>
    <w:pPr>
      <w:widowControl w:val="0"/>
      <w:spacing w:before="0" w:after="0"/>
      <w:ind w:left="1134" w:hanging="1134"/>
      <w:jc w:val="left"/>
    </w:pPr>
    <w:rPr>
      <w:rFonts w:eastAsia="Times New Roman"/>
      <w:b/>
      <w:szCs w:val="20"/>
      <w:lang w:eastAsia="fr-B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0"/>
      <w:lang w:val="en-GB" w:eastAsia="fr-BE"/>
    </w:rPr>
  </w:style>
  <w:style w:type="paragraph" w:customStyle="1" w:styleId="Rfrenceinstitutionelle">
    <w:name w:val="Référence institutionelle"/>
    <w:basedOn w:val="Normal"/>
    <w:next w:val="Normal"/>
    <w:pPr>
      <w:spacing w:before="0" w:after="240"/>
      <w:ind w:left="5103"/>
      <w:jc w:val="left"/>
    </w:pPr>
    <w:rPr>
      <w:rFonts w:eastAsia="Times New Roman"/>
      <w:szCs w:val="20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0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pPr>
      <w:spacing w:before="0" w:after="0"/>
      <w:jc w:val="left"/>
    </w:pPr>
    <w:rPr>
      <w:rFonts w:eastAsia="Times New Roman"/>
      <w:sz w:val="20"/>
      <w:szCs w:val="20"/>
      <w:lang w:eastAsia="fr-BE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Normal"/>
    <w:uiPriority w:val="99"/>
    <w:pPr>
      <w:numPr>
        <w:numId w:val="11"/>
      </w:numPr>
      <w:spacing w:before="0" w:after="240"/>
    </w:pPr>
    <w:rPr>
      <w:rFonts w:eastAsia="Times New Roman"/>
      <w:szCs w:val="20"/>
      <w:lang w:eastAsia="fr-BE"/>
    </w:rPr>
  </w:style>
  <w:style w:type="paragraph" w:customStyle="1" w:styleId="ZCom">
    <w:name w:val="Z_Com"/>
    <w:basedOn w:val="Normal"/>
    <w:next w:val="ZDGName"/>
    <w:pPr>
      <w:widowControl w:val="0"/>
      <w:spacing w:before="0" w:after="0"/>
      <w:ind w:right="85"/>
    </w:pPr>
    <w:rPr>
      <w:rFonts w:ascii="Arial" w:eastAsia="Times New Roman" w:hAnsi="Arial"/>
      <w:snapToGrid w:val="0"/>
      <w:szCs w:val="20"/>
      <w:lang w:eastAsia="fr-BE"/>
    </w:rPr>
  </w:style>
  <w:style w:type="paragraph" w:customStyle="1" w:styleId="ZDGName">
    <w:name w:val="Z_DGName"/>
    <w:basedOn w:val="Normal"/>
    <w:pPr>
      <w:widowControl w:val="0"/>
      <w:spacing w:before="0" w:after="0"/>
      <w:ind w:right="85"/>
    </w:pPr>
    <w:rPr>
      <w:rFonts w:ascii="Arial" w:eastAsia="Times New Roman" w:hAnsi="Arial"/>
      <w:snapToGrid w:val="0"/>
      <w:sz w:val="16"/>
      <w:szCs w:val="20"/>
      <w:lang w:eastAsia="fr-BE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  <w:lang w:eastAsia="fr-B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  <w:lang w:eastAsia="fr-B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eastAsia="fr-BE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  <w:lang w:eastAsia="fr-BE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  <w:lang w:eastAsia="fr-BE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  <w:lang w:eastAsia="fr-B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References">
    <w:name w:val="References"/>
    <w:basedOn w:val="Normal"/>
    <w:next w:val="Normal"/>
    <w:pPr>
      <w:spacing w:before="0" w:after="240"/>
      <w:ind w:left="5103"/>
      <w:jc w:val="left"/>
    </w:pPr>
    <w:rPr>
      <w:rFonts w:eastAsia="Times New Roman"/>
      <w:sz w:val="20"/>
      <w:szCs w:val="20"/>
      <w:lang w:eastAsia="fr-BE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fr-BE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eastAsia="Times New Roman"/>
      <w:b/>
      <w:szCs w:val="20"/>
      <w:lang w:eastAsia="fr-BE"/>
    </w:rPr>
  </w:style>
  <w:style w:type="paragraph" w:customStyle="1" w:styleId="ListBullet1">
    <w:name w:val="List Bullet 1"/>
    <w:basedOn w:val="Text1"/>
    <w:pPr>
      <w:numPr>
        <w:numId w:val="12"/>
      </w:numPr>
      <w:spacing w:before="0" w:after="240"/>
    </w:pPr>
    <w:rPr>
      <w:rFonts w:eastAsia="Times New Roman"/>
      <w:szCs w:val="20"/>
      <w:lang w:eastAsia="fr-BE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  <w:rPr>
      <w:rFonts w:eastAsia="Times New Roman"/>
      <w:szCs w:val="20"/>
      <w:lang w:eastAsia="fr-BE"/>
    </w:rPr>
  </w:style>
  <w:style w:type="paragraph" w:styleId="BodyText3">
    <w:name w:val="Body Text 3"/>
    <w:basedOn w:val="Normal"/>
    <w:link w:val="BodyText3Char"/>
    <w:pPr>
      <w:widowControl w:val="0"/>
      <w:spacing w:before="0" w:after="0" w:line="312" w:lineRule="auto"/>
      <w:jc w:val="left"/>
    </w:pPr>
    <w:rPr>
      <w:rFonts w:eastAsia="Times New Roman"/>
      <w:b/>
      <w:i/>
      <w:szCs w:val="20"/>
      <w:lang w:eastAsia="fr-B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i/>
      <w:sz w:val="24"/>
      <w:szCs w:val="20"/>
      <w:lang w:val="en-GB" w:eastAsia="fr-BE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  <w:lang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en-GB" w:eastAsia="fr-BE"/>
    </w:rPr>
  </w:style>
  <w:style w:type="paragraph" w:customStyle="1" w:styleId="ListDash1">
    <w:name w:val="List Dash 1"/>
    <w:basedOn w:val="Text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EU2006editablefooter">
    <w:name w:val="EU2006 editable footer"/>
    <w:basedOn w:val="Normal"/>
    <w:pPr>
      <w:spacing w:before="0" w:after="0" w:line="200" w:lineRule="atLeast"/>
      <w:ind w:left="1259"/>
      <w:jc w:val="left"/>
    </w:pPr>
    <w:rPr>
      <w:rFonts w:ascii="Verdana" w:eastAsia="Times New Roman" w:hAnsi="Verdana"/>
      <w:sz w:val="13"/>
      <w:szCs w:val="24"/>
      <w:lang w:val="fi-FI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Arial"/>
      <w:sz w:val="22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before="0" w:after="0"/>
      <w:jc w:val="left"/>
    </w:pPr>
    <w:rPr>
      <w:rFonts w:ascii="Tahoma" w:eastAsia="Times New Roman" w:hAnsi="Tahoma" w:cs="Tahoma"/>
      <w:sz w:val="16"/>
      <w:szCs w:val="16"/>
      <w:lang w:eastAsia="fr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B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NormalJustified">
    <w:name w:val="Normal Justified"/>
    <w:basedOn w:val="Normal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link w:val="Head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link w:val="Foot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25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pPr>
      <w:numPr>
        <w:numId w:val="26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pPr>
      <w:numPr>
        <w:ilvl w:val="1"/>
        <w:numId w:val="26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pPr>
      <w:numPr>
        <w:ilvl w:val="2"/>
        <w:numId w:val="2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pPr>
      <w:numPr>
        <w:ilvl w:val="3"/>
        <w:numId w:val="26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pPr>
      <w:numPr>
        <w:ilvl w:val="4"/>
        <w:numId w:val="2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Bullet">
    <w:name w:val="Bullet"/>
    <w:basedOn w:val="Normal"/>
    <w:pPr>
      <w:numPr>
        <w:numId w:val="2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">
    <w:name w:val="Dash"/>
    <w:basedOn w:val="Normal"/>
    <w:pPr>
      <w:numPr>
        <w:numId w:val="1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pPr>
      <w:numPr>
        <w:numId w:val="1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pPr>
      <w:numPr>
        <w:numId w:val="1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pPr>
      <w:numPr>
        <w:numId w:val="17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pPr>
      <w:numPr>
        <w:numId w:val="18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pPr>
      <w:numPr>
        <w:numId w:val="19"/>
      </w:numPr>
    </w:pPr>
  </w:style>
  <w:style w:type="paragraph" w:customStyle="1" w:styleId="DashEqual1">
    <w:name w:val="Dash Equal 1"/>
    <w:basedOn w:val="Dash1"/>
    <w:pPr>
      <w:numPr>
        <w:numId w:val="20"/>
      </w:numPr>
    </w:pPr>
  </w:style>
  <w:style w:type="paragraph" w:customStyle="1" w:styleId="DashEqual2">
    <w:name w:val="Dash Equal 2"/>
    <w:basedOn w:val="Dash2"/>
    <w:pPr>
      <w:numPr>
        <w:numId w:val="21"/>
      </w:numPr>
    </w:pPr>
  </w:style>
  <w:style w:type="paragraph" w:customStyle="1" w:styleId="DashEqual3">
    <w:name w:val="Dash Equal 3"/>
    <w:basedOn w:val="Dash3"/>
    <w:pPr>
      <w:numPr>
        <w:numId w:val="22"/>
      </w:numPr>
    </w:pPr>
  </w:style>
  <w:style w:type="paragraph" w:customStyle="1" w:styleId="DashEqual4">
    <w:name w:val="Dash Equal 4"/>
    <w:basedOn w:val="Dash4"/>
    <w:pPr>
      <w:numPr>
        <w:numId w:val="23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9"/>
      </w:numPr>
    </w:pPr>
  </w:style>
  <w:style w:type="paragraph" w:customStyle="1" w:styleId="Heading123">
    <w:name w:val="Heading 123"/>
    <w:basedOn w:val="HeadingLeft"/>
    <w:next w:val="Normal"/>
    <w:pPr>
      <w:numPr>
        <w:numId w:val="28"/>
      </w:numPr>
    </w:pPr>
  </w:style>
  <w:style w:type="paragraph" w:customStyle="1" w:styleId="HeadingABC">
    <w:name w:val="Heading ABC"/>
    <w:basedOn w:val="HeadingLeft"/>
    <w:next w:val="Normal"/>
    <w:pPr>
      <w:numPr>
        <w:numId w:val="27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tDeclassified">
    <w:name w:val="Not Declassified"/>
    <w:basedOn w:val="Normal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  <w:lang w:val="de-DE"/>
    </w:rPr>
  </w:style>
  <w:style w:type="character" w:customStyle="1" w:styleId="TechnicalBlockChar">
    <w:name w:val="Technical Block Char"/>
    <w:link w:val="TechnicalBlock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Pr>
      <w:rFonts w:ascii="Times New Roman" w:eastAsia="Times New Roman" w:hAnsi="Times New Roman" w:cs="Times New Roman"/>
      <w:sz w:val="2"/>
      <w:szCs w:val="24"/>
      <w:lang w:val="de-DE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  <w:rPr>
      <w:rFonts w:eastAsia="Calibri"/>
      <w:lang w:eastAsia="en-GB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  <w:rPr>
      <w:rFonts w:eastAsia="Calibri"/>
      <w:lang w:eastAsia="en-GB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  <w:rPr>
      <w:rFonts w:eastAsia="Calibri"/>
      <w:lang w:eastAsia="en-GB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en-GB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en-GB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72">
    <w:name w:val="xl72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5">
    <w:name w:val="xl7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76">
    <w:name w:val="xl7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6">
    <w:name w:val="xl86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7">
    <w:name w:val="xl87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9">
    <w:name w:val="xl89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92">
    <w:name w:val="xl9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  <w:rPr>
      <w:rFonts w:eastAsia="Calibri"/>
      <w:lang w:eastAsia="en-GB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  <w:rPr>
      <w:rFonts w:eastAsia="Calibri"/>
      <w:lang w:eastAsia="en-GB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  <w:rPr>
      <w:rFonts w:eastAsia="Calibri"/>
      <w:lang w:eastAsia="en-GB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  <w:rPr>
      <w:rFonts w:eastAsia="Calibri"/>
      <w:lang w:eastAsia="en-GB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font12">
    <w:name w:val="font12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en-GB"/>
    </w:rPr>
  </w:style>
  <w:style w:type="paragraph" w:customStyle="1" w:styleId="font13">
    <w:name w:val="font13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94">
    <w:name w:val="xl94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9">
    <w:name w:val="xl99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0">
    <w:name w:val="xl100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1">
    <w:name w:val="xl101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3">
    <w:name w:val="xl103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4">
    <w:name w:val="xl104"/>
    <w:basedOn w:val="Normal"/>
    <w:pP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105">
    <w:name w:val="xl10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106">
    <w:name w:val="xl106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8">
    <w:name w:val="xl10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9">
    <w:name w:val="xl109"/>
    <w:basedOn w:val="Normal"/>
    <w:pPr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0">
    <w:name w:val="xl1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4">
    <w:name w:val="xl114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115">
    <w:name w:val="xl115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pPr>
      <w:spacing w:before="1200"/>
      <w:ind w:left="1440" w:hanging="1440"/>
      <w:jc w:val="left"/>
    </w:pPr>
    <w:rPr>
      <w:rFonts w:eastAsia="Calibri"/>
    </w:rPr>
  </w:style>
  <w:style w:type="character" w:customStyle="1" w:styleId="pjChar">
    <w:name w:val="p.j. Char"/>
    <w:link w:val="pj"/>
    <w:rPr>
      <w:rFonts w:ascii="Times New Roman" w:eastAsia="Calibri" w:hAnsi="Times New Roman" w:cs="Times New Roman"/>
      <w:sz w:val="24"/>
      <w:lang w:val="en-GB"/>
    </w:rPr>
  </w:style>
  <w:style w:type="character" w:customStyle="1" w:styleId="HeaderCouncilChar">
    <w:name w:val="Header Council Char"/>
    <w:link w:val="HeaderCouncil"/>
    <w:rPr>
      <w:rFonts w:ascii="Times New Roman" w:eastAsia="Times New Roman" w:hAnsi="Times New Roman" w:cs="Times New Roman"/>
      <w:sz w:val="2"/>
      <w:szCs w:val="24"/>
      <w:lang w:val="en-GB"/>
    </w:rPr>
  </w:style>
  <w:style w:type="character" w:customStyle="1" w:styleId="FooterCouncilChar">
    <w:name w:val="Footer Council Char"/>
    <w:link w:val="FooterCouncil"/>
    <w:rPr>
      <w:rFonts w:ascii="Times New Roman" w:eastAsia="Times New Roman" w:hAnsi="Times New Roman" w:cs="Times New Roman"/>
      <w:sz w:val="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="Calibr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noProof/>
      <w:lang w:eastAsia="en-GB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lang w:val="en-GB"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  <w:noProof/>
      <w:lang w:eastAsia="en-GB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en-GB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en-GB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en-GB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en-GB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en-GB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semiHidden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eastAsia="fr-BE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styleId="EndnoteReference">
    <w:name w:val="endnote reference"/>
    <w:semiHidden/>
    <w:rPr>
      <w:b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1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BodyTextIndent">
    <w:name w:val="Body Text Indent"/>
    <w:basedOn w:val="Normal"/>
    <w:link w:val="BodyTextIndentChar"/>
    <w:pPr>
      <w:widowControl w:val="0"/>
      <w:spacing w:before="0" w:after="0"/>
      <w:ind w:left="1134" w:hanging="1134"/>
      <w:jc w:val="left"/>
    </w:pPr>
    <w:rPr>
      <w:rFonts w:eastAsia="Times New Roman"/>
      <w:b/>
      <w:szCs w:val="20"/>
      <w:lang w:eastAsia="fr-B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0"/>
      <w:lang w:val="en-GB" w:eastAsia="fr-BE"/>
    </w:rPr>
  </w:style>
  <w:style w:type="paragraph" w:customStyle="1" w:styleId="Rfrenceinstitutionelle">
    <w:name w:val="Référence institutionelle"/>
    <w:basedOn w:val="Normal"/>
    <w:next w:val="Normal"/>
    <w:pPr>
      <w:spacing w:before="0" w:after="240"/>
      <w:ind w:left="5103"/>
      <w:jc w:val="left"/>
    </w:pPr>
    <w:rPr>
      <w:rFonts w:eastAsia="Times New Roman"/>
      <w:szCs w:val="20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0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pPr>
      <w:spacing w:before="0" w:after="0"/>
      <w:jc w:val="left"/>
    </w:pPr>
    <w:rPr>
      <w:rFonts w:eastAsia="Times New Roman"/>
      <w:sz w:val="20"/>
      <w:szCs w:val="20"/>
      <w:lang w:eastAsia="fr-BE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Normal"/>
    <w:uiPriority w:val="99"/>
    <w:pPr>
      <w:numPr>
        <w:numId w:val="11"/>
      </w:numPr>
      <w:spacing w:before="0" w:after="240"/>
    </w:pPr>
    <w:rPr>
      <w:rFonts w:eastAsia="Times New Roman"/>
      <w:szCs w:val="20"/>
      <w:lang w:eastAsia="fr-BE"/>
    </w:rPr>
  </w:style>
  <w:style w:type="paragraph" w:customStyle="1" w:styleId="ZCom">
    <w:name w:val="Z_Com"/>
    <w:basedOn w:val="Normal"/>
    <w:next w:val="ZDGName"/>
    <w:pPr>
      <w:widowControl w:val="0"/>
      <w:spacing w:before="0" w:after="0"/>
      <w:ind w:right="85"/>
    </w:pPr>
    <w:rPr>
      <w:rFonts w:ascii="Arial" w:eastAsia="Times New Roman" w:hAnsi="Arial"/>
      <w:snapToGrid w:val="0"/>
      <w:szCs w:val="20"/>
      <w:lang w:eastAsia="fr-BE"/>
    </w:rPr>
  </w:style>
  <w:style w:type="paragraph" w:customStyle="1" w:styleId="ZDGName">
    <w:name w:val="Z_DGName"/>
    <w:basedOn w:val="Normal"/>
    <w:pPr>
      <w:widowControl w:val="0"/>
      <w:spacing w:before="0" w:after="0"/>
      <w:ind w:right="85"/>
    </w:pPr>
    <w:rPr>
      <w:rFonts w:ascii="Arial" w:eastAsia="Times New Roman" w:hAnsi="Arial"/>
      <w:snapToGrid w:val="0"/>
      <w:sz w:val="16"/>
      <w:szCs w:val="20"/>
      <w:lang w:eastAsia="fr-BE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  <w:lang w:eastAsia="fr-B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  <w:lang w:eastAsia="fr-B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eastAsia="fr-BE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  <w:lang w:eastAsia="fr-BE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  <w:lang w:eastAsia="fr-BE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  <w:lang w:eastAsia="fr-B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References">
    <w:name w:val="References"/>
    <w:basedOn w:val="Normal"/>
    <w:next w:val="Normal"/>
    <w:pPr>
      <w:spacing w:before="0" w:after="240"/>
      <w:ind w:left="5103"/>
      <w:jc w:val="left"/>
    </w:pPr>
    <w:rPr>
      <w:rFonts w:eastAsia="Times New Roman"/>
      <w:sz w:val="20"/>
      <w:szCs w:val="20"/>
      <w:lang w:eastAsia="fr-BE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fr-BE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eastAsia="Times New Roman"/>
      <w:b/>
      <w:szCs w:val="20"/>
      <w:lang w:eastAsia="fr-BE"/>
    </w:rPr>
  </w:style>
  <w:style w:type="paragraph" w:customStyle="1" w:styleId="ListBullet1">
    <w:name w:val="List Bullet 1"/>
    <w:basedOn w:val="Text1"/>
    <w:pPr>
      <w:numPr>
        <w:numId w:val="12"/>
      </w:numPr>
      <w:spacing w:before="0" w:after="240"/>
    </w:pPr>
    <w:rPr>
      <w:rFonts w:eastAsia="Times New Roman"/>
      <w:szCs w:val="20"/>
      <w:lang w:eastAsia="fr-BE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  <w:rPr>
      <w:rFonts w:eastAsia="Times New Roman"/>
      <w:szCs w:val="20"/>
      <w:lang w:eastAsia="fr-BE"/>
    </w:rPr>
  </w:style>
  <w:style w:type="paragraph" w:styleId="BodyText3">
    <w:name w:val="Body Text 3"/>
    <w:basedOn w:val="Normal"/>
    <w:link w:val="BodyText3Char"/>
    <w:pPr>
      <w:widowControl w:val="0"/>
      <w:spacing w:before="0" w:after="0" w:line="312" w:lineRule="auto"/>
      <w:jc w:val="left"/>
    </w:pPr>
    <w:rPr>
      <w:rFonts w:eastAsia="Times New Roman"/>
      <w:b/>
      <w:i/>
      <w:szCs w:val="20"/>
      <w:lang w:eastAsia="fr-B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i/>
      <w:sz w:val="24"/>
      <w:szCs w:val="20"/>
      <w:lang w:val="en-GB" w:eastAsia="fr-BE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  <w:lang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en-GB" w:eastAsia="fr-BE"/>
    </w:rPr>
  </w:style>
  <w:style w:type="paragraph" w:customStyle="1" w:styleId="ListDash1">
    <w:name w:val="List Dash 1"/>
    <w:basedOn w:val="Text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EU2006editablefooter">
    <w:name w:val="EU2006 editable footer"/>
    <w:basedOn w:val="Normal"/>
    <w:pPr>
      <w:spacing w:before="0" w:after="0" w:line="200" w:lineRule="atLeast"/>
      <w:ind w:left="1259"/>
      <w:jc w:val="left"/>
    </w:pPr>
    <w:rPr>
      <w:rFonts w:ascii="Verdana" w:eastAsia="Times New Roman" w:hAnsi="Verdana"/>
      <w:sz w:val="13"/>
      <w:szCs w:val="24"/>
      <w:lang w:val="fi-FI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Arial"/>
      <w:sz w:val="22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before="0" w:after="0"/>
      <w:jc w:val="left"/>
    </w:pPr>
    <w:rPr>
      <w:rFonts w:ascii="Tahoma" w:eastAsia="Times New Roman" w:hAnsi="Tahoma" w:cs="Tahoma"/>
      <w:sz w:val="16"/>
      <w:szCs w:val="16"/>
      <w:lang w:eastAsia="fr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B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NormalJustified">
    <w:name w:val="Normal Justified"/>
    <w:basedOn w:val="Normal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link w:val="Head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link w:val="Foot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25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pPr>
      <w:numPr>
        <w:numId w:val="26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pPr>
      <w:numPr>
        <w:ilvl w:val="1"/>
        <w:numId w:val="26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pPr>
      <w:numPr>
        <w:ilvl w:val="2"/>
        <w:numId w:val="2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pPr>
      <w:numPr>
        <w:ilvl w:val="3"/>
        <w:numId w:val="26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pPr>
      <w:numPr>
        <w:ilvl w:val="4"/>
        <w:numId w:val="2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Bullet">
    <w:name w:val="Bullet"/>
    <w:basedOn w:val="Normal"/>
    <w:pPr>
      <w:numPr>
        <w:numId w:val="2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">
    <w:name w:val="Dash"/>
    <w:basedOn w:val="Normal"/>
    <w:pPr>
      <w:numPr>
        <w:numId w:val="1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pPr>
      <w:numPr>
        <w:numId w:val="1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pPr>
      <w:numPr>
        <w:numId w:val="1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pPr>
      <w:numPr>
        <w:numId w:val="17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pPr>
      <w:numPr>
        <w:numId w:val="18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pPr>
      <w:numPr>
        <w:numId w:val="19"/>
      </w:numPr>
    </w:pPr>
  </w:style>
  <w:style w:type="paragraph" w:customStyle="1" w:styleId="DashEqual1">
    <w:name w:val="Dash Equal 1"/>
    <w:basedOn w:val="Dash1"/>
    <w:pPr>
      <w:numPr>
        <w:numId w:val="20"/>
      </w:numPr>
    </w:pPr>
  </w:style>
  <w:style w:type="paragraph" w:customStyle="1" w:styleId="DashEqual2">
    <w:name w:val="Dash Equal 2"/>
    <w:basedOn w:val="Dash2"/>
    <w:pPr>
      <w:numPr>
        <w:numId w:val="21"/>
      </w:numPr>
    </w:pPr>
  </w:style>
  <w:style w:type="paragraph" w:customStyle="1" w:styleId="DashEqual3">
    <w:name w:val="Dash Equal 3"/>
    <w:basedOn w:val="Dash3"/>
    <w:pPr>
      <w:numPr>
        <w:numId w:val="22"/>
      </w:numPr>
    </w:pPr>
  </w:style>
  <w:style w:type="paragraph" w:customStyle="1" w:styleId="DashEqual4">
    <w:name w:val="Dash Equal 4"/>
    <w:basedOn w:val="Dash4"/>
    <w:pPr>
      <w:numPr>
        <w:numId w:val="23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9"/>
      </w:numPr>
    </w:pPr>
  </w:style>
  <w:style w:type="paragraph" w:customStyle="1" w:styleId="Heading123">
    <w:name w:val="Heading 123"/>
    <w:basedOn w:val="HeadingLeft"/>
    <w:next w:val="Normal"/>
    <w:pPr>
      <w:numPr>
        <w:numId w:val="28"/>
      </w:numPr>
    </w:pPr>
  </w:style>
  <w:style w:type="paragraph" w:customStyle="1" w:styleId="HeadingABC">
    <w:name w:val="Heading ABC"/>
    <w:basedOn w:val="HeadingLeft"/>
    <w:next w:val="Normal"/>
    <w:pPr>
      <w:numPr>
        <w:numId w:val="27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tDeclassified">
    <w:name w:val="Not Declassified"/>
    <w:basedOn w:val="Normal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  <w:lang w:val="de-DE"/>
    </w:rPr>
  </w:style>
  <w:style w:type="character" w:customStyle="1" w:styleId="TechnicalBlockChar">
    <w:name w:val="Technical Block Char"/>
    <w:link w:val="TechnicalBlock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Pr>
      <w:rFonts w:ascii="Times New Roman" w:eastAsia="Times New Roman" w:hAnsi="Times New Roman" w:cs="Times New Roman"/>
      <w:sz w:val="2"/>
      <w:szCs w:val="24"/>
      <w:lang w:val="de-DE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  <w:rPr>
      <w:rFonts w:eastAsia="Calibri"/>
      <w:lang w:eastAsia="en-GB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  <w:rPr>
      <w:rFonts w:eastAsia="Calibri"/>
      <w:lang w:eastAsia="en-GB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  <w:rPr>
      <w:rFonts w:eastAsia="Calibri"/>
      <w:lang w:eastAsia="en-GB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en-GB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en-GB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72">
    <w:name w:val="xl72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5">
    <w:name w:val="xl7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76">
    <w:name w:val="xl7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6">
    <w:name w:val="xl86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7">
    <w:name w:val="xl87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89">
    <w:name w:val="xl89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92">
    <w:name w:val="xl9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  <w:rPr>
      <w:rFonts w:eastAsia="Calibri"/>
      <w:lang w:eastAsia="en-GB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  <w:rPr>
      <w:rFonts w:eastAsia="Calibri"/>
      <w:lang w:eastAsia="en-GB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  <w:rPr>
      <w:rFonts w:eastAsia="Calibri"/>
      <w:lang w:eastAsia="en-GB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  <w:rPr>
      <w:rFonts w:eastAsia="Calibri"/>
      <w:lang w:eastAsia="en-GB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font12">
    <w:name w:val="font12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en-GB"/>
    </w:rPr>
  </w:style>
  <w:style w:type="paragraph" w:customStyle="1" w:styleId="font13">
    <w:name w:val="font13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94">
    <w:name w:val="xl94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customStyle="1" w:styleId="xl99">
    <w:name w:val="xl99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0">
    <w:name w:val="xl100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1">
    <w:name w:val="xl101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3">
    <w:name w:val="xl103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  <w:lang w:eastAsia="en-GB"/>
    </w:rPr>
  </w:style>
  <w:style w:type="paragraph" w:customStyle="1" w:styleId="xl104">
    <w:name w:val="xl104"/>
    <w:basedOn w:val="Normal"/>
    <w:pP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105">
    <w:name w:val="xl10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106">
    <w:name w:val="xl106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8">
    <w:name w:val="xl10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09">
    <w:name w:val="xl109"/>
    <w:basedOn w:val="Normal"/>
    <w:pPr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0">
    <w:name w:val="xl1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18"/>
      <w:szCs w:val="18"/>
      <w:lang w:eastAsia="en-GB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xl114">
    <w:name w:val="xl114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115">
    <w:name w:val="xl115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  <w:lang w:eastAsia="en-GB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pPr>
      <w:spacing w:before="1200"/>
      <w:ind w:left="1440" w:hanging="1440"/>
      <w:jc w:val="left"/>
    </w:pPr>
    <w:rPr>
      <w:rFonts w:eastAsia="Calibri"/>
    </w:rPr>
  </w:style>
  <w:style w:type="character" w:customStyle="1" w:styleId="pjChar">
    <w:name w:val="p.j. Char"/>
    <w:link w:val="pj"/>
    <w:rPr>
      <w:rFonts w:ascii="Times New Roman" w:eastAsia="Calibri" w:hAnsi="Times New Roman" w:cs="Times New Roman"/>
      <w:sz w:val="24"/>
      <w:lang w:val="en-GB"/>
    </w:rPr>
  </w:style>
  <w:style w:type="character" w:customStyle="1" w:styleId="HeaderCouncilChar">
    <w:name w:val="Header Council Char"/>
    <w:link w:val="HeaderCouncil"/>
    <w:rPr>
      <w:rFonts w:ascii="Times New Roman" w:eastAsia="Times New Roman" w:hAnsi="Times New Roman" w:cs="Times New Roman"/>
      <w:sz w:val="2"/>
      <w:szCs w:val="24"/>
      <w:lang w:val="en-GB"/>
    </w:rPr>
  </w:style>
  <w:style w:type="character" w:customStyle="1" w:styleId="FooterCouncilChar">
    <w:name w:val="Footer Council Char"/>
    <w:link w:val="FooterCouncil"/>
    <w:rPr>
      <w:rFonts w:ascii="Times New Roman" w:eastAsia="Times New Roman" w:hAnsi="Times New Roman" w:cs="Times New Roman"/>
      <w:sz w:val="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="Calibr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noProof/>
      <w:lang w:eastAsia="en-GB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lang w:val="en-GB"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  <w:noProof/>
      <w:lang w:eastAsia="en-GB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13</Pages>
  <Words>1640</Words>
  <Characters>8069</Characters>
  <Application>Microsoft Office Word</Application>
  <DocSecurity>0</DocSecurity>
  <Lines>2017</Lines>
  <Paragraphs>882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KISIELIAUSKAS Mindaugas (HR)</dc:creator>
  <cp:lastModifiedBy>DIGIT/A3</cp:lastModifiedBy>
  <cp:revision>7</cp:revision>
  <cp:lastPrinted>2016-09-12T10:24:00Z</cp:lastPrinted>
  <dcterms:created xsi:type="dcterms:W3CDTF">2016-09-20T14:41:00Z</dcterms:created>
  <dcterms:modified xsi:type="dcterms:W3CDTF">2016-09-27T13:59:00Z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