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822" w:rsidRDefault="000A61B2">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93128BECE26498A9921B2F352EA57D6" style="width:450.25pt;height:334.2pt">
            <v:imagedata r:id="rId9" o:title=""/>
          </v:shape>
        </w:pict>
      </w:r>
    </w:p>
    <w:bookmarkEnd w:id="0"/>
    <w:p w:rsidR="00CD7822" w:rsidRDefault="00CD7822">
      <w:pPr>
        <w:rPr>
          <w:noProof/>
        </w:rPr>
        <w:sectPr w:rsidR="00CD7822">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CD7822" w:rsidRDefault="000A61B2">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Въведение</w:t>
      </w:r>
    </w:p>
    <w:p w:rsidR="00CD7822" w:rsidRDefault="00CD7822">
      <w:pPr>
        <w:spacing w:after="0" w:line="240" w:lineRule="auto"/>
        <w:jc w:val="both"/>
        <w:rPr>
          <w:rFonts w:ascii="Times New Roman" w:hAnsi="Times New Roman" w:cs="Times New Roman"/>
          <w:noProof/>
          <w:sz w:val="24"/>
          <w:szCs w:val="24"/>
        </w:rPr>
      </w:pP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В изготвените от Комисията доклади за напредъка</w:t>
      </w:r>
      <w:r>
        <w:rPr>
          <w:rFonts w:ascii="Times New Roman" w:hAnsi="Times New Roman" w:cs="Times New Roman"/>
          <w:noProof/>
          <w:sz w:val="24"/>
          <w:szCs w:val="24"/>
          <w:vertAlign w:val="superscript"/>
        </w:rPr>
        <w:footnoteReference w:id="1"/>
      </w:r>
      <w:r>
        <w:rPr>
          <w:rFonts w:ascii="Times New Roman" w:hAnsi="Times New Roman" w:cs="Times New Roman"/>
          <w:noProof/>
          <w:sz w:val="24"/>
          <w:szCs w:val="24"/>
        </w:rPr>
        <w:t xml:space="preserve"> относно изпълнението на Изявлението на ЕС и Турция</w:t>
      </w:r>
      <w:r>
        <w:rPr>
          <w:rFonts w:ascii="Times New Roman" w:hAnsi="Times New Roman" w:cs="Times New Roman"/>
          <w:noProof/>
          <w:sz w:val="24"/>
          <w:szCs w:val="24"/>
          <w:vertAlign w:val="superscript"/>
        </w:rPr>
        <w:footnoteReference w:id="2"/>
      </w:r>
      <w:r>
        <w:rPr>
          <w:rFonts w:ascii="Times New Roman" w:hAnsi="Times New Roman" w:cs="Times New Roman"/>
          <w:noProof/>
          <w:sz w:val="24"/>
          <w:szCs w:val="24"/>
        </w:rPr>
        <w:t xml:space="preserve"> се очертава последователна тенденция, която показва стабилни резултати с оглед на многобройните предизвикателства. </w:t>
      </w:r>
    </w:p>
    <w:p w:rsidR="00CD7822" w:rsidRDefault="00CD7822">
      <w:pPr>
        <w:spacing w:after="0" w:line="240" w:lineRule="auto"/>
        <w:jc w:val="both"/>
        <w:rPr>
          <w:rFonts w:ascii="Times New Roman" w:hAnsi="Times New Roman" w:cs="Times New Roman"/>
          <w:noProof/>
          <w:sz w:val="24"/>
          <w:szCs w:val="24"/>
        </w:rPr>
      </w:pP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Основна цел на Изявлението е да бъде разрушен бизнес моделът на контрабандистите, експ</w:t>
      </w:r>
      <w:r>
        <w:rPr>
          <w:rFonts w:ascii="Times New Roman" w:hAnsi="Times New Roman" w:cs="Times New Roman"/>
          <w:noProof/>
          <w:sz w:val="24"/>
          <w:szCs w:val="24"/>
        </w:rPr>
        <w:t>лоатиращи мигрантите и бежанците, които поемат потенциално смъртоносен риск при незаконните преминавания от Турция в Гърция. Значителното намаляване на преминаванията и жертвите след влизането в сила на Изявлението е свидетелство за ефективното му изпълнен</w:t>
      </w:r>
      <w:r>
        <w:rPr>
          <w:rFonts w:ascii="Times New Roman" w:hAnsi="Times New Roman" w:cs="Times New Roman"/>
          <w:noProof/>
          <w:sz w:val="24"/>
          <w:szCs w:val="24"/>
        </w:rPr>
        <w:t xml:space="preserve">ие. При все това, тъй като някои лица продължават да преминават от Турция в Гърция, докато връщанията от в обратната посока се осъществяват с бавен темп, инфраструктурата за прием на мигранти на гръцките острови е подложена на допълнителен натиск. Въпреки </w:t>
      </w:r>
      <w:r>
        <w:rPr>
          <w:rFonts w:ascii="Times New Roman" w:hAnsi="Times New Roman" w:cs="Times New Roman"/>
          <w:noProof/>
          <w:sz w:val="24"/>
          <w:szCs w:val="24"/>
        </w:rPr>
        <w:t>че мащабът на потоците към Гърция като цяло се запазва много по-малък в сравнение с периода преди Изявлението, този процес заслужава да бъде внимателно следен.</w:t>
      </w:r>
    </w:p>
    <w:p w:rsidR="00CD7822" w:rsidRDefault="00CD7822">
      <w:pPr>
        <w:spacing w:after="0" w:line="240" w:lineRule="auto"/>
        <w:jc w:val="both"/>
        <w:rPr>
          <w:rFonts w:ascii="Times New Roman" w:hAnsi="Times New Roman" w:cs="Times New Roman"/>
          <w:noProof/>
          <w:sz w:val="24"/>
          <w:szCs w:val="24"/>
        </w:rPr>
      </w:pP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Напредък е осъществен и по други елементи на Изявлението. Създадени са структурите, които следв</w:t>
      </w:r>
      <w:r>
        <w:rPr>
          <w:rFonts w:ascii="Times New Roman" w:hAnsi="Times New Roman" w:cs="Times New Roman"/>
          <w:noProof/>
          <w:sz w:val="24"/>
          <w:szCs w:val="24"/>
        </w:rPr>
        <w:t>а да позволят ефективното връщане в Турция след приключване на процедурите за допустимост или по същество на молбите за убежище. Темпът на презаселване на сирийските бежанци от Турция се ускорява. До момента Европейският съюз (ЕС) е отделил 2,2 милиарда ев</w:t>
      </w:r>
      <w:r>
        <w:rPr>
          <w:rFonts w:ascii="Times New Roman" w:hAnsi="Times New Roman" w:cs="Times New Roman"/>
          <w:noProof/>
          <w:sz w:val="24"/>
          <w:szCs w:val="24"/>
        </w:rPr>
        <w:t xml:space="preserve">ро от Механизма за бежанците в Турция, чийто размер е 3 милиарда евро. </w:t>
      </w:r>
    </w:p>
    <w:p w:rsidR="00CD7822" w:rsidRDefault="00CD7822">
      <w:pPr>
        <w:spacing w:after="0" w:line="240" w:lineRule="auto"/>
        <w:jc w:val="both"/>
        <w:rPr>
          <w:rFonts w:ascii="Times New Roman" w:hAnsi="Times New Roman" w:cs="Times New Roman"/>
          <w:noProof/>
          <w:sz w:val="24"/>
          <w:szCs w:val="24"/>
        </w:rPr>
      </w:pP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По време на периода, обхванат в настоящия доклад, Турция бе разтърсена от опит за преврат на 15—16 юли, при който загинаха 241 души и бяха ранени около 2 200. Неуспешният преврат пред</w:t>
      </w:r>
      <w:r>
        <w:rPr>
          <w:rFonts w:ascii="Times New Roman" w:hAnsi="Times New Roman" w:cs="Times New Roman"/>
          <w:noProof/>
          <w:sz w:val="24"/>
          <w:szCs w:val="24"/>
        </w:rPr>
        <w:t>ставляваше пряка атака срещу демокрацията в Турция. ЕС осъди категорично преврата и изрази пълната си подкрепа и солидарност към Турция и демократичните ѝ институции като държава кандидатка и ключов партньор на ЕС и призова също така турските органи да съб</w:t>
      </w:r>
      <w:r>
        <w:rPr>
          <w:rFonts w:ascii="Times New Roman" w:hAnsi="Times New Roman" w:cs="Times New Roman"/>
          <w:noProof/>
          <w:sz w:val="24"/>
          <w:szCs w:val="24"/>
        </w:rPr>
        <w:t xml:space="preserve">людават най-високите стандарти на правовата държава и основните права. </w:t>
      </w:r>
    </w:p>
    <w:p w:rsidR="00CD7822" w:rsidRDefault="00CD7822">
      <w:pPr>
        <w:spacing w:after="0" w:line="240" w:lineRule="auto"/>
        <w:jc w:val="both"/>
        <w:rPr>
          <w:rFonts w:ascii="Times New Roman" w:hAnsi="Times New Roman" w:cs="Times New Roman"/>
          <w:noProof/>
          <w:sz w:val="24"/>
          <w:szCs w:val="24"/>
        </w:rPr>
      </w:pP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 редица посещения на високо равнище, и по-специално по случай Политическия диалог на високо равнище на 9 септември, ЕС изложи своята позиция и потвърди решителността си да продължи </w:t>
      </w:r>
      <w:r>
        <w:rPr>
          <w:rFonts w:ascii="Times New Roman" w:hAnsi="Times New Roman" w:cs="Times New Roman"/>
          <w:noProof/>
          <w:sz w:val="24"/>
          <w:szCs w:val="24"/>
        </w:rPr>
        <w:t>да работи с демократична, приобщаваща и стабилна Турция във всички области. Сътрудничеството в областта на миграцията беше активно обсъдено с турските партньори, които препотвърдиха ангажимента на Турция да продължи изпълнението на Изявлението на ЕС и Турц</w:t>
      </w:r>
      <w:r>
        <w:rPr>
          <w:rFonts w:ascii="Times New Roman" w:hAnsi="Times New Roman" w:cs="Times New Roman"/>
          <w:noProof/>
          <w:sz w:val="24"/>
          <w:szCs w:val="24"/>
        </w:rPr>
        <w:t>ия.</w:t>
      </w:r>
    </w:p>
    <w:p w:rsidR="00CD7822" w:rsidRDefault="00CD7822">
      <w:pPr>
        <w:spacing w:after="0" w:line="240" w:lineRule="auto"/>
        <w:jc w:val="both"/>
        <w:rPr>
          <w:rFonts w:ascii="Times New Roman" w:hAnsi="Times New Roman" w:cs="Times New Roman"/>
          <w:noProof/>
          <w:sz w:val="24"/>
          <w:szCs w:val="24"/>
        </w:rPr>
      </w:pP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Този ангажимент е отразен в събитията, описани в настоящия доклад. В него се описва продължаващата тенденция на напредък и мерките, които са необходими за задълбочаване на изпълнението на Изявлението и по-нататъшното консолидиране на резултатите. </w:t>
      </w:r>
    </w:p>
    <w:p w:rsidR="00CD7822" w:rsidRDefault="00CD7822">
      <w:pPr>
        <w:spacing w:after="0" w:line="240" w:lineRule="auto"/>
        <w:jc w:val="both"/>
        <w:rPr>
          <w:rFonts w:ascii="Times New Roman" w:hAnsi="Times New Roman" w:cs="Times New Roman"/>
          <w:noProof/>
          <w:sz w:val="24"/>
          <w:szCs w:val="24"/>
        </w:rPr>
      </w:pPr>
    </w:p>
    <w:p w:rsidR="00CD7822" w:rsidRDefault="000A61B2" w:rsidP="000A61B2">
      <w:pPr>
        <w:keepNext/>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1.</w:t>
      </w:r>
      <w:r>
        <w:rPr>
          <w:rFonts w:ascii="Times New Roman" w:hAnsi="Times New Roman" w:cs="Times New Roman"/>
          <w:noProof/>
          <w:sz w:val="24"/>
          <w:szCs w:val="24"/>
        </w:rPr>
        <w:tab/>
      </w:r>
      <w:r>
        <w:rPr>
          <w:rFonts w:ascii="Times New Roman" w:hAnsi="Times New Roman" w:cs="Times New Roman"/>
          <w:b/>
          <w:noProof/>
          <w:sz w:val="24"/>
          <w:szCs w:val="24"/>
        </w:rPr>
        <w:t xml:space="preserve">Актуално положение </w:t>
      </w:r>
    </w:p>
    <w:p w:rsidR="00CD7822" w:rsidRDefault="00CD7822" w:rsidP="000A61B2">
      <w:pPr>
        <w:keepNext/>
        <w:spacing w:after="0" w:line="240" w:lineRule="auto"/>
        <w:jc w:val="both"/>
        <w:rPr>
          <w:rFonts w:ascii="Times New Roman" w:hAnsi="Times New Roman" w:cs="Times New Roman"/>
          <w:noProof/>
          <w:sz w:val="24"/>
          <w:szCs w:val="24"/>
        </w:rPr>
      </w:pP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След Втория доклад от 15 юни 2016 г., общият брой на лицата, пристигнали от Турция на гръцките острови, беше 9 250</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или средно 81 новопристигнали на ден. Въпреки че през август беше отбелязано увеличение, броят остава нисък в сравнение с лятото на 2015 г. (средно близо 2 900 лица са пристигали всеки ден през периода юни—септември 2015 г.), както и в сравнение с месеца,</w:t>
      </w:r>
      <w:r>
        <w:rPr>
          <w:rFonts w:ascii="Times New Roman" w:hAnsi="Times New Roman" w:cs="Times New Roman"/>
          <w:noProof/>
          <w:sz w:val="24"/>
          <w:szCs w:val="24"/>
        </w:rPr>
        <w:t xml:space="preserve"> предшестващ изпълнението на Изявлението (когато средният брой на новопристигналите е надвишавал 1 700 на ден). В тази връзка регистрираните след Изявлението 11 жертви в Егейско море, които при все че будят голямо съжаление, представляват значителен спад н</w:t>
      </w:r>
      <w:r>
        <w:rPr>
          <w:rFonts w:ascii="Times New Roman" w:hAnsi="Times New Roman" w:cs="Times New Roman"/>
          <w:noProof/>
          <w:sz w:val="24"/>
          <w:szCs w:val="24"/>
        </w:rPr>
        <w:t>а броя на смъртните случаи, като се има предвид, че през 2015 г. загинаха 270 души.</w:t>
      </w:r>
    </w:p>
    <w:p w:rsidR="00CD7822" w:rsidRDefault="00CD7822">
      <w:pPr>
        <w:spacing w:after="0" w:line="240" w:lineRule="auto"/>
        <w:jc w:val="both"/>
        <w:rPr>
          <w:rFonts w:ascii="Times New Roman" w:hAnsi="Times New Roman" w:cs="Times New Roman"/>
          <w:iCs/>
          <w:noProof/>
          <w:sz w:val="24"/>
          <w:szCs w:val="24"/>
        </w:rPr>
      </w:pPr>
    </w:p>
    <w:p w:rsidR="00CD7822" w:rsidRDefault="000A61B2">
      <w:pPr>
        <w:spacing w:after="0" w:line="240" w:lineRule="auto"/>
        <w:jc w:val="both"/>
        <w:rPr>
          <w:rFonts w:ascii="Times New Roman" w:hAnsi="Times New Roman" w:cs="Times New Roman"/>
          <w:iCs/>
          <w:noProof/>
          <w:sz w:val="24"/>
          <w:szCs w:val="24"/>
        </w:rPr>
      </w:pPr>
      <w:r>
        <w:rPr>
          <w:noProof/>
          <w:lang w:val="en-GB" w:eastAsia="en-GB" w:bidi="ar-SA"/>
        </w:rPr>
        <w:drawing>
          <wp:inline distT="0" distB="0" distL="0" distR="0">
            <wp:extent cx="5752800" cy="37656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52800" cy="3765600"/>
                    </a:xfrm>
                    <a:prstGeom prst="rect">
                      <a:avLst/>
                    </a:prstGeom>
                  </pic:spPr>
                </pic:pic>
              </a:graphicData>
            </a:graphic>
          </wp:inline>
        </w:drawing>
      </w:r>
    </w:p>
    <w:p w:rsidR="00CD7822" w:rsidRDefault="00CD7822">
      <w:pPr>
        <w:spacing w:after="0" w:line="240" w:lineRule="auto"/>
        <w:jc w:val="both"/>
        <w:rPr>
          <w:rFonts w:ascii="Times New Roman" w:hAnsi="Times New Roman" w:cs="Times New Roman"/>
          <w:iCs/>
          <w:noProof/>
          <w:sz w:val="24"/>
          <w:szCs w:val="24"/>
        </w:rPr>
      </w:pPr>
    </w:p>
    <w:p w:rsidR="00CD7822" w:rsidRDefault="000A61B2">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Засилена координация и сътрудничество</w:t>
      </w: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cs="Times New Roman"/>
          <w:i/>
          <w:noProof/>
          <w:sz w:val="24"/>
          <w:szCs w:val="24"/>
        </w:rPr>
        <w:t>Координаторът на ЕС от Комисията</w:t>
      </w:r>
      <w:r>
        <w:rPr>
          <w:rFonts w:ascii="Times New Roman" w:hAnsi="Times New Roman" w:cs="Times New Roman"/>
          <w:noProof/>
          <w:sz w:val="24"/>
          <w:szCs w:val="24"/>
        </w:rPr>
        <w:t xml:space="preserve"> продължава да осигурява всекидневната работа по последващите мерки с гръцките и турските органи, </w:t>
      </w:r>
      <w:r>
        <w:rPr>
          <w:rFonts w:ascii="Times New Roman" w:hAnsi="Times New Roman" w:cs="Times New Roman"/>
          <w:noProof/>
          <w:sz w:val="24"/>
          <w:szCs w:val="24"/>
        </w:rPr>
        <w:t xml:space="preserve">агенциите на ЕС, международните организации и други държави членки. </w:t>
      </w:r>
      <w:r>
        <w:rPr>
          <w:rFonts w:ascii="Times New Roman" w:hAnsi="Times New Roman" w:cs="Times New Roman"/>
          <w:i/>
          <w:noProof/>
          <w:sz w:val="24"/>
          <w:szCs w:val="24"/>
        </w:rPr>
        <w:t>Агенциите на ЕС</w:t>
      </w:r>
      <w:r>
        <w:rPr>
          <w:rFonts w:ascii="Times New Roman" w:hAnsi="Times New Roman" w:cs="Times New Roman"/>
          <w:noProof/>
          <w:sz w:val="24"/>
          <w:szCs w:val="24"/>
        </w:rPr>
        <w:t xml:space="preserve"> предоставят съществена и важна подкрепа. Те обаче силно разчитат на осигуряването на експерти от държавите членки, каквито систематично не достигат за покриване на нуждите.</w:t>
      </w:r>
      <w:r>
        <w:rPr>
          <w:rFonts w:ascii="Times New Roman" w:hAnsi="Times New Roman" w:cs="Times New Roman"/>
          <w:noProof/>
          <w:sz w:val="24"/>
          <w:szCs w:val="24"/>
        </w:rPr>
        <w:t xml:space="preserve"> Към 26 септември Европейската служба за подкрепа в областта на убежището е изпратила 83 преводачи в Гърция и 70 експерти от държавите членки, 41 от които са изпратени в горещите точки. Поради нуждата от 100 експерти в горещите точки в момента е налице нед</w:t>
      </w:r>
      <w:r>
        <w:rPr>
          <w:rFonts w:ascii="Times New Roman" w:hAnsi="Times New Roman" w:cs="Times New Roman"/>
          <w:noProof/>
          <w:sz w:val="24"/>
          <w:szCs w:val="24"/>
        </w:rPr>
        <w:t>остиг от 59 експерти, които да подкрепят изпълнението на Изявлението на ЕС и Турция. Що се отнася до граничната подкрепа, към 25 септември от Frontex са изпратени 699 служители в Гърция, включително общо 675 служители</w:t>
      </w:r>
      <w:r>
        <w:rPr>
          <w:rFonts w:ascii="Times New Roman" w:hAnsi="Times New Roman" w:cs="Times New Roman"/>
          <w:noProof/>
          <w:sz w:val="24"/>
          <w:szCs w:val="24"/>
          <w:vertAlign w:val="superscript"/>
        </w:rPr>
        <w:footnoteReference w:id="4"/>
      </w:r>
      <w:r>
        <w:rPr>
          <w:rFonts w:ascii="Times New Roman" w:hAnsi="Times New Roman" w:cs="Times New Roman"/>
          <w:noProof/>
          <w:sz w:val="24"/>
          <w:szCs w:val="24"/>
        </w:rPr>
        <w:t xml:space="preserve">, ангажирани с </w:t>
      </w:r>
      <w:r>
        <w:rPr>
          <w:rFonts w:ascii="Times New Roman" w:hAnsi="Times New Roman" w:cs="Times New Roman"/>
          <w:noProof/>
          <w:sz w:val="24"/>
          <w:szCs w:val="24"/>
        </w:rPr>
        <w:lastRenderedPageBreak/>
        <w:t>изпълнението на Изявлен</w:t>
      </w:r>
      <w:r>
        <w:rPr>
          <w:rFonts w:ascii="Times New Roman" w:hAnsi="Times New Roman" w:cs="Times New Roman"/>
          <w:noProof/>
          <w:sz w:val="24"/>
          <w:szCs w:val="24"/>
        </w:rPr>
        <w:t>ието на ЕС и Турция. Независимо от това за периода от септември до декември 2016 г. продължава да съществува недостиг</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Внимание трябва да се обърне на голямото текучество, тъй като при всяка ротация се губи експертен опит и се налага насочване на ресурси </w:t>
      </w:r>
      <w:r>
        <w:rPr>
          <w:rFonts w:ascii="Times New Roman" w:hAnsi="Times New Roman" w:cs="Times New Roman"/>
          <w:noProof/>
          <w:sz w:val="24"/>
          <w:szCs w:val="24"/>
        </w:rPr>
        <w:t>към обучение.</w:t>
      </w:r>
    </w:p>
    <w:p w:rsidR="00CD7822" w:rsidRDefault="00CD7822">
      <w:pPr>
        <w:spacing w:after="0" w:line="240" w:lineRule="auto"/>
        <w:jc w:val="both"/>
        <w:rPr>
          <w:rFonts w:ascii="Times New Roman" w:hAnsi="Times New Roman" w:cs="Times New Roman"/>
          <w:iCs/>
          <w:noProof/>
          <w:sz w:val="24"/>
          <w:szCs w:val="24"/>
        </w:rPr>
      </w:pPr>
    </w:p>
    <w:p w:rsidR="00CD7822" w:rsidRDefault="000A61B2">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От Европол са изпратени 8 специалисти в Гърция, които да подпомагат разследванията срещу контрабандата на мигранти. В допълнение към това 10 служители бяха командировани неотдавна от държавите членки, за да извършват проверки за сигурност на</w:t>
      </w:r>
      <w:r>
        <w:rPr>
          <w:rFonts w:ascii="Times New Roman" w:hAnsi="Times New Roman" w:cs="Times New Roman"/>
          <w:noProof/>
          <w:sz w:val="24"/>
          <w:szCs w:val="24"/>
        </w:rPr>
        <w:t xml:space="preserve"> втора линия в горещите точки. Въпреки че тази степен на разгръщане се счита за достатъчна за настоящите изисквания, нуждата от корекции ще трябва да се следи внимателно въз основа на бъдещото развитие на потоците.</w:t>
      </w:r>
    </w:p>
    <w:p w:rsidR="00CD7822" w:rsidRDefault="00CD7822">
      <w:pPr>
        <w:spacing w:after="0" w:line="240" w:lineRule="auto"/>
        <w:jc w:val="both"/>
        <w:rPr>
          <w:rFonts w:ascii="Times New Roman" w:hAnsi="Times New Roman" w:cs="Times New Roman"/>
          <w:iCs/>
          <w:noProof/>
          <w:sz w:val="24"/>
          <w:szCs w:val="24"/>
        </w:rPr>
      </w:pPr>
    </w:p>
    <w:p w:rsidR="00CD7822" w:rsidRDefault="000A61B2">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ЕС предоставя финансова подкрепа за подп</w:t>
      </w:r>
      <w:r>
        <w:rPr>
          <w:rFonts w:ascii="Times New Roman" w:hAnsi="Times New Roman" w:cs="Times New Roman"/>
          <w:noProof/>
          <w:sz w:val="24"/>
          <w:szCs w:val="24"/>
        </w:rPr>
        <w:t xml:space="preserve">омагане на </w:t>
      </w:r>
      <w:r>
        <w:rPr>
          <w:rFonts w:ascii="Times New Roman" w:hAnsi="Times New Roman" w:cs="Times New Roman"/>
          <w:i/>
          <w:noProof/>
          <w:sz w:val="24"/>
          <w:szCs w:val="24"/>
        </w:rPr>
        <w:t>турската брегова охрана</w:t>
      </w:r>
      <w:r>
        <w:rPr>
          <w:rFonts w:ascii="Times New Roman" w:hAnsi="Times New Roman" w:cs="Times New Roman"/>
          <w:noProof/>
          <w:sz w:val="24"/>
          <w:szCs w:val="24"/>
        </w:rPr>
        <w:t xml:space="preserve"> за предотвратяването и по-доброто противодействие на незаконните миграционни потоци, както и за осигуряване на шест плавателни съда за издирвателно-спасителни операции и свързаното с това обучение. Първите плавателни съдо</w:t>
      </w:r>
      <w:r>
        <w:rPr>
          <w:rFonts w:ascii="Times New Roman" w:hAnsi="Times New Roman" w:cs="Times New Roman"/>
          <w:noProof/>
          <w:sz w:val="24"/>
          <w:szCs w:val="24"/>
        </w:rPr>
        <w:t>ве следва да бъдат доставени през февруари 2017 г.</w:t>
      </w:r>
    </w:p>
    <w:p w:rsidR="00CD7822" w:rsidRDefault="00CD7822">
      <w:pPr>
        <w:spacing w:after="0" w:line="240" w:lineRule="auto"/>
        <w:contextualSpacing/>
        <w:jc w:val="both"/>
        <w:rPr>
          <w:rFonts w:ascii="Times New Roman" w:hAnsi="Times New Roman" w:cs="Times New Roman"/>
          <w:i/>
          <w:noProof/>
          <w:sz w:val="24"/>
          <w:szCs w:val="24"/>
        </w:rPr>
      </w:pP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Въпреки промените в правоприлагащите органи, военната и публичната администрация след опита за преврат — включително реорганизацията на турската жандармерия и бреговата охрана с цел поставянето ѝ под граж</w:t>
      </w:r>
      <w:r>
        <w:rPr>
          <w:rFonts w:ascii="Times New Roman" w:hAnsi="Times New Roman" w:cs="Times New Roman"/>
          <w:noProof/>
          <w:sz w:val="24"/>
          <w:szCs w:val="24"/>
        </w:rPr>
        <w:t>дански контрол — патрулирането от съответните турски органи изглежда продължава да бъде на същото ниво. Турската брегова охрана също така продължи да отговаря на исканията за помощ в открито море, издадени от гръцките органи.</w:t>
      </w:r>
    </w:p>
    <w:p w:rsidR="00CD7822" w:rsidRDefault="00CD7822">
      <w:pPr>
        <w:spacing w:after="0" w:line="240" w:lineRule="auto"/>
        <w:jc w:val="both"/>
        <w:rPr>
          <w:rFonts w:ascii="Times New Roman" w:hAnsi="Times New Roman" w:cs="Times New Roman"/>
          <w:noProof/>
          <w:sz w:val="24"/>
          <w:szCs w:val="24"/>
        </w:rPr>
      </w:pP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Турските служители за връзка,</w:t>
      </w:r>
      <w:r>
        <w:rPr>
          <w:rFonts w:ascii="Times New Roman" w:hAnsi="Times New Roman" w:cs="Times New Roman"/>
          <w:noProof/>
          <w:sz w:val="24"/>
          <w:szCs w:val="24"/>
        </w:rPr>
        <w:t xml:space="preserve"> разположени на гръцките острови, бяха отзовани от островите след опита за преврат. Тяхното връщане там все още не се е състояло. Турският служител за връзка в Нидерландия също така се свързва с Европол по въпроси, включващи контрабандата на мигранти. </w:t>
      </w:r>
    </w:p>
    <w:p w:rsidR="00CD7822" w:rsidRDefault="00CD7822">
      <w:pPr>
        <w:spacing w:after="0" w:line="240" w:lineRule="auto"/>
        <w:jc w:val="both"/>
        <w:rPr>
          <w:rFonts w:ascii="Times New Roman" w:hAnsi="Times New Roman" w:cs="Times New Roman"/>
          <w:noProof/>
          <w:sz w:val="24"/>
          <w:szCs w:val="24"/>
        </w:rPr>
      </w:pPr>
    </w:p>
    <w:p w:rsidR="00CD7822" w:rsidRDefault="000A61B2">
      <w:pPr>
        <w:tabs>
          <w:tab w:val="center" w:pos="4535"/>
        </w:tabs>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Съ</w:t>
      </w:r>
      <w:r>
        <w:rPr>
          <w:rFonts w:ascii="Times New Roman" w:hAnsi="Times New Roman" w:cs="Times New Roman"/>
          <w:i/>
          <w:noProof/>
          <w:sz w:val="24"/>
          <w:szCs w:val="24"/>
        </w:rPr>
        <w:t>трудничество на Frontex с дейността на НАТО в Егейско море</w:t>
      </w: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НАТО участва в международните усилия за спиране на незаконния трафик и незаконната миграция чрез разузнаване и наблюдение в Егейско море. Операциите на Frontex и НАТО включват дейности за ранно пре</w:t>
      </w:r>
      <w:r>
        <w:rPr>
          <w:rFonts w:ascii="Times New Roman" w:hAnsi="Times New Roman" w:cs="Times New Roman"/>
          <w:noProof/>
          <w:sz w:val="24"/>
          <w:szCs w:val="24"/>
        </w:rPr>
        <w:t>дупреждение и наблюдение и споделяне на оперативна информация с гръцката и турската брегова охрана. През юли 2016 г. Frontex и морското командване на НАТО подписаха стандартни оперативни процедури и разработват общ ситуационен анализ. Целта е да се създаде</w:t>
      </w:r>
      <w:r>
        <w:rPr>
          <w:rFonts w:ascii="Times New Roman" w:hAnsi="Times New Roman" w:cs="Times New Roman"/>
          <w:noProof/>
          <w:sz w:val="24"/>
          <w:szCs w:val="24"/>
        </w:rPr>
        <w:t xml:space="preserve"> възможност дейността на НАТО в Егейско море допълнително да повиши високата степен на разкриваемост и да се ускори обменът на информация за случаите на контрабанда на мигранти и използваните маршрути и методи.</w:t>
      </w: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cs="Times New Roman"/>
          <w:i/>
          <w:noProof/>
          <w:sz w:val="24"/>
          <w:szCs w:val="24"/>
        </w:rPr>
        <w:t xml:space="preserve"> </w:t>
      </w:r>
    </w:p>
    <w:p w:rsidR="00CD7822" w:rsidRDefault="000A61B2" w:rsidP="000A61B2">
      <w:pPr>
        <w:keepNext/>
        <w:spacing w:after="120" w:line="240" w:lineRule="auto"/>
        <w:jc w:val="both"/>
        <w:rPr>
          <w:rFonts w:ascii="Times New Roman" w:hAnsi="Times New Roman" w:cs="Times New Roman"/>
          <w:noProof/>
          <w:sz w:val="24"/>
          <w:szCs w:val="24"/>
        </w:rPr>
      </w:pPr>
      <w:r>
        <w:rPr>
          <w:rFonts w:ascii="Times New Roman" w:hAnsi="Times New Roman" w:cs="Times New Roman"/>
          <w:i/>
          <w:noProof/>
          <w:sz w:val="24"/>
          <w:szCs w:val="24"/>
        </w:rPr>
        <w:t>Информационни инициативи</w:t>
      </w:r>
    </w:p>
    <w:p w:rsidR="00CD7822" w:rsidRDefault="000A61B2">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Създадената от Комисията работна група относно информационна стратегия за мигрантите работи за установяване на източниците на информация, използвани от бежанците и мигрантите, определяне на целевата публика и изготвяне на ключовите послания и подготвяне и </w:t>
      </w:r>
      <w:r>
        <w:rPr>
          <w:rFonts w:ascii="Times New Roman" w:hAnsi="Times New Roman" w:cs="Times New Roman"/>
          <w:noProof/>
          <w:sz w:val="24"/>
          <w:szCs w:val="24"/>
        </w:rPr>
        <w:t xml:space="preserve">разпространяване на тяхното съдържание. Съвместно с авторитетен медиен консорциум още от началото на следващата година предстои да започне да функционира онлайн централен „информационен център“, който да достига до милиони бежанци в цял свят.  </w:t>
      </w:r>
    </w:p>
    <w:p w:rsidR="00CD7822" w:rsidRDefault="00CD7822">
      <w:pPr>
        <w:autoSpaceDE w:val="0"/>
        <w:autoSpaceDN w:val="0"/>
        <w:adjustRightInd w:val="0"/>
        <w:spacing w:after="0" w:line="240" w:lineRule="auto"/>
        <w:jc w:val="both"/>
        <w:rPr>
          <w:rFonts w:ascii="Times New Roman" w:hAnsi="Times New Roman" w:cs="Times New Roman"/>
          <w:noProof/>
          <w:sz w:val="24"/>
          <w:szCs w:val="24"/>
        </w:rPr>
      </w:pP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В сътрудни</w:t>
      </w:r>
      <w:r>
        <w:rPr>
          <w:rFonts w:ascii="Times New Roman" w:hAnsi="Times New Roman" w:cs="Times New Roman"/>
          <w:noProof/>
          <w:sz w:val="24"/>
          <w:szCs w:val="24"/>
        </w:rPr>
        <w:t>чество с агенциите на ЕС, Международната организация по миграция, Върховния комисариат на ООН за бежанците (ВКБООН) и гръцките органи Комисията организира информационна кампания между 25 юли и 5 август 2016 г.: бяха организирани 101 сесии на пет гръцки ост</w:t>
      </w:r>
      <w:r>
        <w:rPr>
          <w:rFonts w:ascii="Times New Roman" w:hAnsi="Times New Roman" w:cs="Times New Roman"/>
          <w:noProof/>
          <w:sz w:val="24"/>
          <w:szCs w:val="24"/>
        </w:rPr>
        <w:t>рова, чрез които над 2 300 мигранти и семействата им бяха информирани относно процедурите за убежище в Гърция за пристигналите от Турция след 20 март, относно връщането в Турция съгласно Изявлението на ЕС и Турция и относно подпомагането на доброволното вр</w:t>
      </w:r>
      <w:r>
        <w:rPr>
          <w:rFonts w:ascii="Times New Roman" w:hAnsi="Times New Roman" w:cs="Times New Roman"/>
          <w:noProof/>
          <w:sz w:val="24"/>
          <w:szCs w:val="24"/>
        </w:rPr>
        <w:t>ъщане.</w:t>
      </w:r>
    </w:p>
    <w:p w:rsidR="00CD7822" w:rsidRDefault="00CD7822">
      <w:pPr>
        <w:spacing w:after="0" w:line="240" w:lineRule="auto"/>
        <w:contextualSpacing/>
        <w:jc w:val="both"/>
        <w:rPr>
          <w:rFonts w:ascii="Times New Roman" w:hAnsi="Times New Roman" w:cs="Times New Roman"/>
          <w:noProof/>
          <w:sz w:val="24"/>
          <w:szCs w:val="24"/>
        </w:rPr>
      </w:pPr>
    </w:p>
    <w:tbl>
      <w:tblPr>
        <w:tblStyle w:val="TableGrid1"/>
        <w:tblW w:w="0" w:type="auto"/>
        <w:tblLook w:val="04A0" w:firstRow="1" w:lastRow="0" w:firstColumn="1" w:lastColumn="0" w:noHBand="0" w:noVBand="1"/>
      </w:tblPr>
      <w:tblGrid>
        <w:gridCol w:w="9286"/>
      </w:tblGrid>
      <w:tr w:rsidR="00CD7822">
        <w:tc>
          <w:tcPr>
            <w:tcW w:w="9286" w:type="dxa"/>
          </w:tcPr>
          <w:p w:rsidR="00CD7822" w:rsidRDefault="000A61B2">
            <w:pPr>
              <w:spacing w:after="200" w:line="276" w:lineRule="auto"/>
              <w:jc w:val="both"/>
              <w:rPr>
                <w:rFonts w:ascii="Times New Roman" w:hAnsi="Times New Roman" w:cs="Times New Roman"/>
                <w:b/>
                <w:bCs/>
                <w:i/>
                <w:iCs/>
                <w:noProof/>
                <w:sz w:val="24"/>
                <w:szCs w:val="24"/>
              </w:rPr>
            </w:pPr>
            <w:r>
              <w:rPr>
                <w:rFonts w:ascii="Times New Roman" w:hAnsi="Times New Roman" w:cs="Times New Roman"/>
                <w:b/>
                <w:i/>
                <w:noProof/>
                <w:sz w:val="24"/>
                <w:szCs w:val="24"/>
              </w:rPr>
              <w:t>Основни предизвикателства и следващи стъпки</w:t>
            </w:r>
          </w:p>
          <w:p w:rsidR="00CD7822" w:rsidRDefault="000A61B2">
            <w:pPr>
              <w:numPr>
                <w:ilvl w:val="0"/>
                <w:numId w:val="5"/>
              </w:numPr>
              <w:spacing w:after="200"/>
              <w:ind w:left="425" w:hanging="425"/>
              <w:contextualSpacing/>
              <w:jc w:val="both"/>
              <w:rPr>
                <w:rFonts w:ascii="Times New Roman" w:hAnsi="Times New Roman" w:cs="Times New Roman"/>
                <w:iCs/>
                <w:noProof/>
                <w:sz w:val="24"/>
                <w:szCs w:val="24"/>
              </w:rPr>
            </w:pPr>
            <w:r>
              <w:rPr>
                <w:rFonts w:ascii="Times New Roman" w:hAnsi="Times New Roman" w:cs="Times New Roman"/>
                <w:noProof/>
                <w:sz w:val="24"/>
                <w:szCs w:val="24"/>
              </w:rPr>
              <w:t>Държавите членки следва спешно да увеличат подкрепата си за Гърция чрез агенциите на ЕС. Настоящият недостиг от 59 експерти за Европейската служба за подкрепа в областта на убежището и недостигът до края на 2016 г. (до 194 експерти за периода) за Frontex т</w:t>
            </w:r>
            <w:r>
              <w:rPr>
                <w:rFonts w:ascii="Times New Roman" w:hAnsi="Times New Roman" w:cs="Times New Roman"/>
                <w:noProof/>
                <w:sz w:val="24"/>
                <w:szCs w:val="24"/>
              </w:rPr>
              <w:t xml:space="preserve">рябва да бъде попълнен преди Европейския съвет на 20—21 октомври. Експертите следва да бъдат изпращани за по-дълги периоди, за да се осигури непрекъснатост. </w:t>
            </w:r>
          </w:p>
          <w:p w:rsidR="00CD7822" w:rsidRDefault="000A61B2">
            <w:pPr>
              <w:numPr>
                <w:ilvl w:val="0"/>
                <w:numId w:val="5"/>
              </w:numPr>
              <w:spacing w:after="200"/>
              <w:ind w:left="425" w:hanging="425"/>
              <w:contextualSpacing/>
              <w:jc w:val="both"/>
              <w:rPr>
                <w:rFonts w:ascii="Times New Roman" w:hAnsi="Times New Roman" w:cs="Times New Roman"/>
                <w:noProof/>
                <w:sz w:val="24"/>
                <w:szCs w:val="24"/>
              </w:rPr>
            </w:pPr>
            <w:r>
              <w:rPr>
                <w:rFonts w:ascii="Times New Roman" w:hAnsi="Times New Roman" w:cs="Times New Roman"/>
                <w:noProof/>
                <w:sz w:val="24"/>
                <w:szCs w:val="24"/>
              </w:rPr>
              <w:t>Сътрудничеството трябва да бъде задълбочено, за да се оптимизира използването на разузнавателни да</w:t>
            </w:r>
            <w:r>
              <w:rPr>
                <w:rFonts w:ascii="Times New Roman" w:hAnsi="Times New Roman" w:cs="Times New Roman"/>
                <w:noProof/>
                <w:sz w:val="24"/>
                <w:szCs w:val="24"/>
              </w:rPr>
              <w:t>нни от всички органи на ЕС и НАТО и гръцките и турските органи.</w:t>
            </w:r>
          </w:p>
          <w:p w:rsidR="00CD7822" w:rsidRDefault="00CD7822">
            <w:pPr>
              <w:spacing w:after="200"/>
              <w:ind w:left="425"/>
              <w:contextualSpacing/>
              <w:jc w:val="both"/>
              <w:rPr>
                <w:rFonts w:ascii="Times New Roman" w:hAnsi="Times New Roman" w:cs="Times New Roman"/>
                <w:noProof/>
                <w:sz w:val="24"/>
                <w:szCs w:val="24"/>
              </w:rPr>
            </w:pPr>
          </w:p>
        </w:tc>
      </w:tr>
    </w:tbl>
    <w:p w:rsidR="00CD7822" w:rsidRDefault="00CD7822">
      <w:pPr>
        <w:spacing w:after="0" w:line="240" w:lineRule="auto"/>
        <w:contextualSpacing/>
        <w:jc w:val="both"/>
        <w:rPr>
          <w:rFonts w:ascii="Times New Roman" w:hAnsi="Times New Roman" w:cs="Times New Roman"/>
          <w:noProof/>
          <w:sz w:val="24"/>
          <w:szCs w:val="24"/>
        </w:rPr>
      </w:pPr>
    </w:p>
    <w:p w:rsidR="00CD7822" w:rsidRDefault="000A61B2">
      <w:pPr>
        <w:spacing w:after="0" w:line="240" w:lineRule="auto"/>
        <w:contextualSpacing/>
        <w:jc w:val="both"/>
        <w:rPr>
          <w:rFonts w:ascii="Times New Roman" w:hAnsi="Times New Roman" w:cs="Times New Roman"/>
          <w:b/>
          <w:noProof/>
          <w:sz w:val="24"/>
          <w:szCs w:val="24"/>
        </w:rPr>
      </w:pPr>
      <w:r>
        <w:rPr>
          <w:rFonts w:ascii="Times New Roman" w:hAnsi="Times New Roman" w:cs="Times New Roman"/>
          <w:b/>
          <w:noProof/>
          <w:sz w:val="24"/>
          <w:szCs w:val="24"/>
        </w:rPr>
        <w:t>2.</w:t>
      </w:r>
      <w:r>
        <w:rPr>
          <w:rFonts w:ascii="Times New Roman" w:hAnsi="Times New Roman" w:cs="Times New Roman"/>
          <w:noProof/>
          <w:sz w:val="24"/>
          <w:szCs w:val="24"/>
        </w:rPr>
        <w:tab/>
      </w:r>
      <w:r>
        <w:rPr>
          <w:rFonts w:ascii="Times New Roman" w:hAnsi="Times New Roman" w:cs="Times New Roman"/>
          <w:b/>
          <w:noProof/>
          <w:sz w:val="24"/>
          <w:szCs w:val="24"/>
        </w:rPr>
        <w:t>Връщане на всички нови незаконни мигранти от Гърция в Турция</w:t>
      </w:r>
    </w:p>
    <w:p w:rsidR="00CD7822" w:rsidRDefault="00CD7822">
      <w:pPr>
        <w:spacing w:after="0" w:line="240" w:lineRule="auto"/>
        <w:jc w:val="both"/>
        <w:rPr>
          <w:rFonts w:ascii="Times New Roman" w:hAnsi="Times New Roman" w:cs="Times New Roman"/>
          <w:noProof/>
          <w:sz w:val="24"/>
          <w:szCs w:val="24"/>
        </w:rPr>
      </w:pP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В Изявлението се предвижда да бъдат връщани всички нови незаконни мигранти и търсещи убежище лица, чиито молби са били обявени за недопустими или неоснователни, които преминават от Турция към гръцките острови след 20 март. Тези мерки се изпълняват стриктно</w:t>
      </w:r>
      <w:r>
        <w:rPr>
          <w:rFonts w:ascii="Times New Roman" w:hAnsi="Times New Roman" w:cs="Times New Roman"/>
          <w:noProof/>
          <w:sz w:val="24"/>
          <w:szCs w:val="24"/>
        </w:rPr>
        <w:t xml:space="preserve"> в съответствие с изискванията на ЕС и международното право и при пълно зачитане на принципа на </w:t>
      </w:r>
      <w:r>
        <w:rPr>
          <w:rFonts w:ascii="Times New Roman" w:hAnsi="Times New Roman" w:cs="Times New Roman"/>
          <w:i/>
          <w:noProof/>
          <w:sz w:val="24"/>
          <w:szCs w:val="24"/>
        </w:rPr>
        <w:t>забрана за връщане</w:t>
      </w:r>
      <w:r>
        <w:rPr>
          <w:rFonts w:ascii="Times New Roman" w:hAnsi="Times New Roman" w:cs="Times New Roman"/>
          <w:noProof/>
          <w:sz w:val="24"/>
          <w:szCs w:val="24"/>
        </w:rPr>
        <w:t xml:space="preserve">. </w:t>
      </w:r>
    </w:p>
    <w:p w:rsidR="00CD7822" w:rsidRDefault="00CD7822">
      <w:pPr>
        <w:spacing w:after="0" w:line="240" w:lineRule="auto"/>
        <w:jc w:val="both"/>
        <w:rPr>
          <w:rFonts w:ascii="Times New Roman" w:hAnsi="Times New Roman" w:cs="Times New Roman"/>
          <w:i/>
          <w:noProof/>
          <w:sz w:val="24"/>
          <w:szCs w:val="24"/>
          <w:highlight w:val="yellow"/>
        </w:rPr>
      </w:pPr>
    </w:p>
    <w:p w:rsidR="00CD7822" w:rsidRDefault="000A61B2">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Актуално положение</w:t>
      </w: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След Втория доклад от 15 юни 2016 г. 116 лица, влезли в Гърция по незаконен начин, са върнати съгласно Изявлението</w:t>
      </w:r>
      <w:r>
        <w:rPr>
          <w:rFonts w:ascii="Times New Roman" w:hAnsi="Times New Roman" w:cs="Times New Roman"/>
          <w:noProof/>
          <w:sz w:val="24"/>
          <w:szCs w:val="24"/>
          <w:vertAlign w:val="superscript"/>
        </w:rPr>
        <w:footnoteReference w:id="6"/>
      </w:r>
      <w:r>
        <w:rPr>
          <w:rFonts w:ascii="Times New Roman" w:hAnsi="Times New Roman" w:cs="Times New Roman"/>
          <w:noProof/>
          <w:sz w:val="24"/>
          <w:szCs w:val="24"/>
        </w:rPr>
        <w:t>, включително 22 сирийски граждани, с което общият брой на мигрантите, върнати в Турция след Изявлението на ЕС и Турция, възлиза на 578. Сред другите националности са пакистанци, алжирци, египтяни, мароканци, йеменци, иракчани, ливанци и палестинци. Върнат</w:t>
      </w:r>
      <w:r>
        <w:rPr>
          <w:rFonts w:ascii="Times New Roman" w:hAnsi="Times New Roman" w:cs="Times New Roman"/>
          <w:noProof/>
          <w:sz w:val="24"/>
          <w:szCs w:val="24"/>
        </w:rPr>
        <w:t xml:space="preserve">ите лица са получили отрицателни решения за предоставяне на убежище (включително отрицателни второинстанционни решения), оттеглили са молбите си за убежище или не са подали молба за убежище. </w:t>
      </w:r>
    </w:p>
    <w:p w:rsidR="00CD7822" w:rsidRDefault="00CD7822">
      <w:pPr>
        <w:spacing w:after="0" w:line="240" w:lineRule="auto"/>
        <w:jc w:val="both"/>
        <w:rPr>
          <w:rFonts w:ascii="Times New Roman" w:hAnsi="Times New Roman" w:cs="Times New Roman"/>
          <w:noProof/>
          <w:sz w:val="24"/>
          <w:szCs w:val="24"/>
        </w:rPr>
      </w:pP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Целта да се гарантират връщанията съгласно Изявлението се подко</w:t>
      </w:r>
      <w:r>
        <w:rPr>
          <w:rFonts w:ascii="Times New Roman" w:hAnsi="Times New Roman" w:cs="Times New Roman"/>
          <w:noProof/>
          <w:sz w:val="24"/>
          <w:szCs w:val="24"/>
        </w:rPr>
        <w:t>пава най-вече от бавния темп на обработването на молбите за убежище на първа инстанция от Гръцката служба по въпросите на убежището (дори с помощта на Европейската служба за</w:t>
      </w:r>
      <w:r>
        <w:rPr>
          <w:rFonts w:ascii="Times New Roman" w:hAnsi="Times New Roman"/>
          <w:noProof/>
          <w:sz w:val="24"/>
        </w:rPr>
        <w:t xml:space="preserve"> подкрепа в областта на убежището) и на разглеждането на жалбите от новосъздадения </w:t>
      </w:r>
      <w:r>
        <w:rPr>
          <w:rFonts w:ascii="Times New Roman" w:hAnsi="Times New Roman"/>
          <w:noProof/>
          <w:sz w:val="24"/>
        </w:rPr>
        <w:t>гръцки апелативен орган. Напредъкът при създаването на подходящи органи и работни процеси за управление на големия брой молби за убежище се възпрепятства от недостига на ресурси (включително интервюиращи от Европейската служба за подкрепа в областта на убе</w:t>
      </w:r>
      <w:r>
        <w:rPr>
          <w:rFonts w:ascii="Times New Roman" w:hAnsi="Times New Roman"/>
          <w:noProof/>
          <w:sz w:val="24"/>
        </w:rPr>
        <w:t>жището). Гръцката администрация спешно трябва да положи допълнителни усилия, за да изгради значително по-голям и устойчив капацитет за връщане на пристигащите мигранти, който се счита за ключовия възпиращ фактор за незаконните мигранти и контрабандистите.</w:t>
      </w:r>
    </w:p>
    <w:p w:rsidR="00CD7822" w:rsidRDefault="00CD7822">
      <w:pPr>
        <w:spacing w:after="0" w:line="240" w:lineRule="auto"/>
        <w:jc w:val="both"/>
        <w:rPr>
          <w:rFonts w:ascii="Times New Roman" w:hAnsi="Times New Roman" w:cs="Times New Roman"/>
          <w:noProof/>
          <w:sz w:val="24"/>
          <w:szCs w:val="24"/>
        </w:rPr>
      </w:pP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noProof/>
          <w:sz w:val="24"/>
        </w:rPr>
        <w:t>Обратното приемане и дейностите по връщане бяха временно преустановени в периода след опита за преврат в Турция, но бяха възобновени в началото на септември. При липсата на турски служители за връзка на островите (вж. по-горе) тази дейност се координира п</w:t>
      </w:r>
      <w:r>
        <w:rPr>
          <w:rFonts w:ascii="Times New Roman" w:hAnsi="Times New Roman"/>
          <w:noProof/>
          <w:sz w:val="24"/>
        </w:rPr>
        <w:t xml:space="preserve">ряко с турските органи. </w:t>
      </w:r>
    </w:p>
    <w:p w:rsidR="00CD7822" w:rsidRDefault="00CD7822">
      <w:pPr>
        <w:spacing w:after="0" w:line="240" w:lineRule="auto"/>
        <w:jc w:val="both"/>
        <w:rPr>
          <w:rFonts w:ascii="Times New Roman" w:hAnsi="Times New Roman" w:cs="Times New Roman"/>
          <w:noProof/>
          <w:sz w:val="24"/>
          <w:szCs w:val="24"/>
        </w:rPr>
      </w:pP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Продължава работата, насочена към увеличаване доброволните връщания от островите. С подкрепата на ЕС чрез програмата за подпомагане на доброволните връщания на Международната организация по миграция от 1 юни 2016 г. насам 1 976 ми</w:t>
      </w:r>
      <w:r>
        <w:rPr>
          <w:rFonts w:ascii="Times New Roman" w:hAnsi="Times New Roman" w:cs="Times New Roman"/>
          <w:noProof/>
          <w:sz w:val="24"/>
          <w:szCs w:val="24"/>
        </w:rPr>
        <w:t>гранти са се върнали доброволно от Гърция в държавите си по произход, като 230 са били от гръцките острови. Общо 4 678 мигранти са използвали програмата за доброволно връщане от Гърция през 2016 г.</w:t>
      </w: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CD7822" w:rsidRDefault="000A61B2">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Правни мерки</w:t>
      </w: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cs="Times New Roman"/>
          <w:i/>
          <w:noProof/>
          <w:sz w:val="24"/>
          <w:szCs w:val="24"/>
        </w:rPr>
        <w:t>Гърция</w:t>
      </w:r>
      <w:r>
        <w:rPr>
          <w:rFonts w:ascii="Times New Roman" w:hAnsi="Times New Roman" w:cs="Times New Roman"/>
          <w:noProof/>
          <w:sz w:val="24"/>
          <w:szCs w:val="24"/>
        </w:rPr>
        <w:t xml:space="preserve"> прие правни разпоредби за създаване </w:t>
      </w:r>
      <w:r>
        <w:rPr>
          <w:rFonts w:ascii="Times New Roman" w:hAnsi="Times New Roman" w:cs="Times New Roman"/>
          <w:noProof/>
          <w:sz w:val="24"/>
          <w:szCs w:val="24"/>
        </w:rPr>
        <w:t>на новия апелативен орган и новите апелативни комитети, които да разглеждат жалбите на втора инстанция, подадени след 20 юли срещу първоинстанционните решения на Гръцката служба по въпросите на убежището.</w:t>
      </w:r>
      <w:r>
        <w:rPr>
          <w:rFonts w:ascii="Times New Roman" w:hAnsi="Times New Roman" w:cs="Times New Roman"/>
          <w:noProof/>
          <w:sz w:val="24"/>
          <w:szCs w:val="24"/>
          <w:vertAlign w:val="superscript"/>
        </w:rPr>
        <w:footnoteReference w:id="7"/>
      </w:r>
      <w:r>
        <w:rPr>
          <w:rFonts w:ascii="Times New Roman" w:hAnsi="Times New Roman" w:cs="Times New Roman"/>
          <w:noProof/>
          <w:sz w:val="24"/>
          <w:szCs w:val="24"/>
        </w:rPr>
        <w:t xml:space="preserve"> Работата на тези комитети е от съществено значение</w:t>
      </w:r>
      <w:r>
        <w:rPr>
          <w:rFonts w:ascii="Times New Roman" w:hAnsi="Times New Roman" w:cs="Times New Roman"/>
          <w:noProof/>
          <w:sz w:val="24"/>
          <w:szCs w:val="24"/>
        </w:rPr>
        <w:t xml:space="preserve"> за гарантиране на справедлив процес при оценяването на молбите за убежище в съответствие с европейските и международните стандарти. Понастоящем апелативните комитети трябва да разполагат с ресурсите, необходими за пълноценното им функциониране, с цел уско</w:t>
      </w:r>
      <w:r>
        <w:rPr>
          <w:rFonts w:ascii="Times New Roman" w:hAnsi="Times New Roman" w:cs="Times New Roman"/>
          <w:noProof/>
          <w:sz w:val="24"/>
          <w:szCs w:val="24"/>
        </w:rPr>
        <w:t xml:space="preserve">ряване на разглеждането на тези жалби, за да се гарантира, че постигат целта за обработване на около 500 случая, възлагани всеки месец (100 на комитет), като следва да се отдава приоритет на подадените на гръцките острови молби за убежище, които попадат в </w:t>
      </w:r>
      <w:r>
        <w:rPr>
          <w:rFonts w:ascii="Times New Roman" w:hAnsi="Times New Roman" w:cs="Times New Roman"/>
          <w:noProof/>
          <w:sz w:val="24"/>
          <w:szCs w:val="24"/>
        </w:rPr>
        <w:t>контекста на Изявлението на ЕС и Турция.</w:t>
      </w:r>
      <w:r>
        <w:rPr>
          <w:rFonts w:ascii="Times New Roman" w:hAnsi="Times New Roman" w:cs="Times New Roman"/>
          <w:i/>
          <w:noProof/>
          <w:color w:val="FF0000"/>
          <w:sz w:val="24"/>
          <w:szCs w:val="24"/>
        </w:rPr>
        <w:t xml:space="preserve"> </w:t>
      </w:r>
    </w:p>
    <w:p w:rsidR="00CD7822" w:rsidRDefault="00CD7822">
      <w:pPr>
        <w:spacing w:after="0" w:line="240" w:lineRule="auto"/>
        <w:jc w:val="both"/>
        <w:rPr>
          <w:rFonts w:ascii="Times New Roman" w:hAnsi="Times New Roman" w:cs="Times New Roman"/>
          <w:noProof/>
          <w:sz w:val="24"/>
          <w:szCs w:val="24"/>
        </w:rPr>
      </w:pP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Първите решения по жалбите бяха издадени в средата на август. Процесът обаче е бавен. Съгласно последните налични данни</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общият брой на жалбите срещу първоинстанционните решения за допустимост и по същество на Слу</w:t>
      </w:r>
      <w:r>
        <w:rPr>
          <w:rFonts w:ascii="Times New Roman" w:hAnsi="Times New Roman" w:cs="Times New Roman"/>
          <w:noProof/>
          <w:sz w:val="24"/>
          <w:szCs w:val="24"/>
        </w:rPr>
        <w:t>жбата по въпросите на убежището е бил 1 013. От 311 решения по жалби за допустимост до момента в шест второинстанционни решения са потвърдени</w:t>
      </w:r>
      <w:r>
        <w:rPr>
          <w:rFonts w:ascii="Times New Roman" w:hAnsi="Times New Roman" w:cs="Times New Roman"/>
          <w:noProof/>
          <w:sz w:val="24"/>
          <w:szCs w:val="24"/>
          <w:vertAlign w:val="superscript"/>
        </w:rPr>
        <w:footnoteReference w:id="9"/>
      </w:r>
      <w:r>
        <w:rPr>
          <w:rFonts w:ascii="Times New Roman" w:hAnsi="Times New Roman" w:cs="Times New Roman"/>
          <w:noProof/>
          <w:sz w:val="24"/>
          <w:szCs w:val="24"/>
        </w:rPr>
        <w:t xml:space="preserve"> първоинстанционните решения за недопустимост. В 305 второинстанционни решения по жалби са отменени първоинстанцио</w:t>
      </w:r>
      <w:r>
        <w:rPr>
          <w:rFonts w:ascii="Times New Roman" w:hAnsi="Times New Roman" w:cs="Times New Roman"/>
          <w:noProof/>
          <w:sz w:val="24"/>
          <w:szCs w:val="24"/>
        </w:rPr>
        <w:t xml:space="preserve">нните решения за недопустимост. Що се отнася до разглеждането на жалбите по същество, в 40 второинстанционни решения са потвърдени отрицателните първоинстанционни решения за основанията и в две са отменени такива отрицателни решения. </w:t>
      </w:r>
    </w:p>
    <w:p w:rsidR="00CD7822" w:rsidRDefault="00CD7822">
      <w:pPr>
        <w:spacing w:after="0" w:line="240" w:lineRule="auto"/>
        <w:jc w:val="both"/>
        <w:rPr>
          <w:rFonts w:ascii="Times New Roman" w:hAnsi="Times New Roman" w:cs="Times New Roman"/>
          <w:noProof/>
          <w:sz w:val="24"/>
          <w:szCs w:val="24"/>
        </w:rPr>
      </w:pP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Новите апелативни ко</w:t>
      </w:r>
      <w:r>
        <w:rPr>
          <w:rFonts w:ascii="Times New Roman" w:hAnsi="Times New Roman" w:cs="Times New Roman"/>
          <w:noProof/>
          <w:sz w:val="24"/>
          <w:szCs w:val="24"/>
        </w:rPr>
        <w:t>митети са издали до момента най-малко 35 решения по случаи от островите — най-малко три за допустимост</w:t>
      </w:r>
      <w:r>
        <w:rPr>
          <w:rFonts w:ascii="Times New Roman" w:hAnsi="Times New Roman" w:cs="Times New Roman"/>
          <w:noProof/>
          <w:sz w:val="24"/>
          <w:szCs w:val="24"/>
          <w:vertAlign w:val="superscript"/>
        </w:rPr>
        <w:footnoteReference w:id="10"/>
      </w:r>
      <w:r>
        <w:rPr>
          <w:rFonts w:ascii="Times New Roman" w:hAnsi="Times New Roman" w:cs="Times New Roman"/>
          <w:noProof/>
          <w:sz w:val="24"/>
          <w:szCs w:val="24"/>
        </w:rPr>
        <w:t xml:space="preserve"> и 32 по същество</w:t>
      </w:r>
      <w:r>
        <w:rPr>
          <w:rFonts w:ascii="Times New Roman" w:hAnsi="Times New Roman" w:cs="Times New Roman"/>
          <w:noProof/>
          <w:sz w:val="24"/>
          <w:szCs w:val="24"/>
          <w:vertAlign w:val="superscript"/>
        </w:rPr>
        <w:footnoteReference w:id="11"/>
      </w:r>
      <w:r>
        <w:rPr>
          <w:rFonts w:ascii="Times New Roman" w:hAnsi="Times New Roman" w:cs="Times New Roman"/>
          <w:noProof/>
          <w:sz w:val="24"/>
          <w:szCs w:val="24"/>
        </w:rPr>
        <w:t xml:space="preserve">. Понастоящем сирийски гражданин обжалва решението за създаване на апелативните комитети пред по-висша апелативна инстанция — Гръцкият </w:t>
      </w:r>
      <w:r>
        <w:rPr>
          <w:rFonts w:ascii="Times New Roman" w:hAnsi="Times New Roman" w:cs="Times New Roman"/>
          <w:noProof/>
          <w:sz w:val="24"/>
          <w:szCs w:val="24"/>
        </w:rPr>
        <w:t xml:space="preserve">държавен съвет. </w:t>
      </w:r>
    </w:p>
    <w:p w:rsidR="00CD7822" w:rsidRDefault="00CD7822">
      <w:pPr>
        <w:spacing w:after="0" w:line="240" w:lineRule="auto"/>
        <w:jc w:val="both"/>
        <w:rPr>
          <w:rFonts w:ascii="Times New Roman" w:hAnsi="Times New Roman" w:cs="Times New Roman"/>
          <w:noProof/>
          <w:sz w:val="24"/>
          <w:szCs w:val="24"/>
        </w:rPr>
      </w:pPr>
    </w:p>
    <w:p w:rsidR="00CD7822" w:rsidRDefault="000A61B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 </w:t>
      </w:r>
      <w:r>
        <w:rPr>
          <w:rFonts w:ascii="Times New Roman" w:hAnsi="Times New Roman" w:cs="Times New Roman"/>
          <w:i/>
          <w:noProof/>
          <w:sz w:val="24"/>
          <w:szCs w:val="24"/>
        </w:rPr>
        <w:t>Турция</w:t>
      </w:r>
      <w:r>
        <w:rPr>
          <w:rFonts w:ascii="Times New Roman" w:hAnsi="Times New Roman" w:cs="Times New Roman"/>
          <w:noProof/>
          <w:sz w:val="24"/>
          <w:szCs w:val="24"/>
        </w:rPr>
        <w:t xml:space="preserve"> правните мерки включваха прилагането на правилата за разрешенията за работа, което доведе до получаване на 10 584 молби за разрешения за работа от сирийски граждани. Повече от 8000 са били одобрени до момента, което представлява </w:t>
      </w:r>
      <w:r>
        <w:rPr>
          <w:rFonts w:ascii="Times New Roman" w:hAnsi="Times New Roman" w:cs="Times New Roman"/>
          <w:noProof/>
          <w:sz w:val="24"/>
          <w:szCs w:val="24"/>
        </w:rPr>
        <w:t xml:space="preserve">вече два пъти по-голям брой от броя за цялата 2015 г. </w:t>
      </w: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Не е отбелязан напредък по отношение на изпълнението на разпоредбите относно гражданите на трети държави на </w:t>
      </w:r>
      <w:r>
        <w:rPr>
          <w:rFonts w:ascii="Times New Roman" w:hAnsi="Times New Roman" w:cs="Times New Roman"/>
          <w:i/>
          <w:noProof/>
          <w:sz w:val="24"/>
          <w:szCs w:val="24"/>
        </w:rPr>
        <w:t>Споразумението за обратно приемане между ЕС и Турция</w:t>
      </w:r>
      <w:r>
        <w:rPr>
          <w:rFonts w:ascii="Times New Roman" w:hAnsi="Times New Roman" w:cs="Times New Roman"/>
          <w:noProof/>
          <w:sz w:val="24"/>
          <w:szCs w:val="24"/>
        </w:rPr>
        <w:t>. Съветът на министрите на Турция все още</w:t>
      </w:r>
      <w:r>
        <w:rPr>
          <w:rFonts w:ascii="Times New Roman" w:hAnsi="Times New Roman" w:cs="Times New Roman"/>
          <w:noProof/>
          <w:sz w:val="24"/>
          <w:szCs w:val="24"/>
        </w:rPr>
        <w:t xml:space="preserve"> не е взел решения за разрешаване на прилагането на тези разпоредби. Известен напредък е постигнат при изпълнението на разпоредбите на Споразумението за обратно приемане между ЕС и Турция по отношение на обратното приемане на турски граждани.</w:t>
      </w:r>
    </w:p>
    <w:p w:rsidR="00CD7822" w:rsidRDefault="00CD7822">
      <w:pPr>
        <w:spacing w:after="0" w:line="240" w:lineRule="auto"/>
        <w:jc w:val="both"/>
        <w:rPr>
          <w:rFonts w:ascii="Times New Roman" w:hAnsi="Times New Roman" w:cs="Times New Roman"/>
          <w:i/>
          <w:noProof/>
          <w:sz w:val="24"/>
          <w:szCs w:val="24"/>
        </w:rPr>
      </w:pPr>
    </w:p>
    <w:p w:rsidR="00CD7822" w:rsidRDefault="000A61B2">
      <w:pPr>
        <w:spacing w:after="120" w:line="240" w:lineRule="auto"/>
        <w:jc w:val="both"/>
        <w:rPr>
          <w:rFonts w:ascii="Times New Roman" w:hAnsi="Times New Roman" w:cs="Times New Roman"/>
          <w:noProof/>
          <w:sz w:val="24"/>
          <w:szCs w:val="24"/>
        </w:rPr>
      </w:pPr>
      <w:r>
        <w:rPr>
          <w:rFonts w:ascii="Times New Roman" w:hAnsi="Times New Roman" w:cs="Times New Roman"/>
          <w:i/>
          <w:noProof/>
          <w:sz w:val="24"/>
          <w:szCs w:val="24"/>
        </w:rPr>
        <w:t>Оперативни м</w:t>
      </w:r>
      <w:r>
        <w:rPr>
          <w:rFonts w:ascii="Times New Roman" w:hAnsi="Times New Roman" w:cs="Times New Roman"/>
          <w:i/>
          <w:noProof/>
          <w:sz w:val="24"/>
          <w:szCs w:val="24"/>
        </w:rPr>
        <w:t>ерки</w:t>
      </w: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Постоянният — въпреки значителното намаление — поток от пристигащи лица и бавният темп на връщане увеличава натиска върху капацитета за прием на островите</w:t>
      </w:r>
      <w:r>
        <w:rPr>
          <w:rFonts w:ascii="Times New Roman" w:hAnsi="Times New Roman" w:cs="Times New Roman"/>
          <w:noProof/>
          <w:sz w:val="24"/>
          <w:szCs w:val="24"/>
          <w:vertAlign w:val="superscript"/>
        </w:rPr>
        <w:footnoteReference w:id="12"/>
      </w:r>
      <w:r>
        <w:rPr>
          <w:rFonts w:ascii="Times New Roman" w:hAnsi="Times New Roman" w:cs="Times New Roman"/>
          <w:noProof/>
          <w:sz w:val="24"/>
          <w:szCs w:val="24"/>
        </w:rPr>
        <w:t>. В резултат на това гръцките горещи точки продължават да се пренаселват, което създава трудни и</w:t>
      </w:r>
      <w:r>
        <w:rPr>
          <w:rFonts w:ascii="Times New Roman" w:hAnsi="Times New Roman" w:cs="Times New Roman"/>
          <w:noProof/>
          <w:sz w:val="24"/>
          <w:szCs w:val="24"/>
        </w:rPr>
        <w:t xml:space="preserve"> понякога опасни условия, за което свидетелства например пожарът, избухнал неотдавна на остров Лесбос. Към 27 септември общият брой на мигрантите на островите е 13 863 — значително по-голям от капацитета за прием на едва 7 450 души.</w:t>
      </w: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Положението може да б</w:t>
      </w:r>
      <w:r>
        <w:rPr>
          <w:rFonts w:ascii="Times New Roman" w:hAnsi="Times New Roman" w:cs="Times New Roman"/>
          <w:noProof/>
          <w:sz w:val="24"/>
          <w:szCs w:val="24"/>
        </w:rPr>
        <w:t>ъде облекчено единствено чрез намаляване на броя на хората, които е необходимо да останат на островите. На първа инстанция е необходимо по-бързо обработване на молбите за убежище съгласно процедурата на границата, приложима за молбите, подадени на островит</w:t>
      </w:r>
      <w:r>
        <w:rPr>
          <w:rFonts w:ascii="Times New Roman" w:hAnsi="Times New Roman" w:cs="Times New Roman"/>
          <w:noProof/>
          <w:sz w:val="24"/>
          <w:szCs w:val="24"/>
        </w:rPr>
        <w:t xml:space="preserve">е, което да позволи по-голям брой връщания в Турция на лица, чиито молби за убежище са счетени за недопустими или неоснователни. </w:t>
      </w:r>
    </w:p>
    <w:p w:rsidR="00CD7822" w:rsidRDefault="00CD7822">
      <w:pPr>
        <w:spacing w:after="0" w:line="240" w:lineRule="auto"/>
        <w:jc w:val="both"/>
        <w:rPr>
          <w:rFonts w:ascii="Times New Roman" w:hAnsi="Times New Roman" w:cs="Times New Roman"/>
          <w:noProof/>
          <w:sz w:val="24"/>
          <w:szCs w:val="24"/>
        </w:rPr>
      </w:pP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Реалното настоящо състояние на пренаселеност налага също така по-бързо разширяване на инфраструктурата за прием, както и </w:t>
      </w:r>
      <w:r>
        <w:rPr>
          <w:rFonts w:ascii="Times New Roman" w:hAnsi="Times New Roman" w:cs="Times New Roman"/>
          <w:noProof/>
          <w:sz w:val="24"/>
          <w:szCs w:val="24"/>
        </w:rPr>
        <w:t xml:space="preserve">осигуряване на условия за зимния сезон. Непридружените ненавършили пълнолетие лица следва да се прехвърлят спешно в специализирани структури: непридружените ненавършили пълнолетие лица са първостепенен приоритет за Комисията, която е осигурила финансиране </w:t>
      </w:r>
      <w:r>
        <w:rPr>
          <w:rFonts w:ascii="Times New Roman" w:hAnsi="Times New Roman" w:cs="Times New Roman"/>
          <w:noProof/>
          <w:sz w:val="24"/>
          <w:szCs w:val="24"/>
        </w:rPr>
        <w:t>за допълнително приемен капацитет и насърчава държавите членки да преместват по-голям брой такива лица.</w:t>
      </w: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Гръцките органи са назначили ръководител на Службата за прием и установяване на самоличността. На местно ниво обаче управлението на горещите токи </w:t>
      </w:r>
      <w:r>
        <w:rPr>
          <w:rFonts w:ascii="Times New Roman" w:hAnsi="Times New Roman" w:cs="Times New Roman"/>
          <w:noProof/>
          <w:sz w:val="24"/>
          <w:szCs w:val="24"/>
        </w:rPr>
        <w:t>продължава да бъде възпрепятствано от липсата на назначени и изпратени постоянни гръцки координатори на горещите точки, което беше предвидено да започне от началото на 2016 г. Това трябва да се случи без повече забавяне, за да се гарантира цялостното управ</w:t>
      </w:r>
      <w:r>
        <w:rPr>
          <w:rFonts w:ascii="Times New Roman" w:hAnsi="Times New Roman" w:cs="Times New Roman"/>
          <w:noProof/>
          <w:sz w:val="24"/>
          <w:szCs w:val="24"/>
        </w:rPr>
        <w:t>ление на горещите точки, включително от гледна точка на сигурността. С приоритет следва да бъдат официално приети също така нови стандартни оперативни процедури за горещите точки, като се вземе изцяло предвид Изявлението на ЕС и Турция.</w:t>
      </w:r>
    </w:p>
    <w:p w:rsidR="00CD7822" w:rsidRDefault="00CD7822">
      <w:pPr>
        <w:spacing w:after="0" w:line="240" w:lineRule="auto"/>
        <w:jc w:val="both"/>
        <w:rPr>
          <w:rFonts w:ascii="Times New Roman" w:hAnsi="Times New Roman" w:cs="Times New Roman"/>
          <w:noProof/>
          <w:sz w:val="24"/>
          <w:szCs w:val="24"/>
        </w:rPr>
      </w:pP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Европейската служб</w:t>
      </w:r>
      <w:r>
        <w:rPr>
          <w:rFonts w:ascii="Times New Roman" w:hAnsi="Times New Roman" w:cs="Times New Roman"/>
          <w:noProof/>
          <w:sz w:val="24"/>
          <w:szCs w:val="24"/>
        </w:rPr>
        <w:t xml:space="preserve">а за подкрепа в областта на убежището проведе цялостна оценка на сигурността на работните си пространства в три горещи точки, за да набележи основните области, в които безопасността и сигурността биха могли да бъдат засилени. Резултатите включваха наемане </w:t>
      </w:r>
      <w:r>
        <w:rPr>
          <w:rFonts w:ascii="Times New Roman" w:hAnsi="Times New Roman" w:cs="Times New Roman"/>
          <w:noProof/>
          <w:sz w:val="24"/>
          <w:szCs w:val="24"/>
        </w:rPr>
        <w:t xml:space="preserve">на частно охранително дружество, изграждане на инфраструктура за осигуряване на безопасен периметър и предоставяне на комплекти с медицински принадлежности и пожарогасители. </w:t>
      </w:r>
    </w:p>
    <w:p w:rsidR="00CD7822" w:rsidRDefault="00CD7822">
      <w:pPr>
        <w:spacing w:after="0" w:line="240" w:lineRule="auto"/>
        <w:jc w:val="both"/>
        <w:rPr>
          <w:rFonts w:ascii="Times New Roman" w:hAnsi="Times New Roman" w:cs="Times New Roman"/>
          <w:noProof/>
          <w:sz w:val="24"/>
          <w:szCs w:val="24"/>
        </w:rPr>
      </w:pP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Гръцките органи докладваха за наличието общо на повече от 60 000 регистрирани ми</w:t>
      </w:r>
      <w:r>
        <w:rPr>
          <w:rFonts w:ascii="Times New Roman" w:hAnsi="Times New Roman" w:cs="Times New Roman"/>
          <w:noProof/>
          <w:sz w:val="24"/>
          <w:szCs w:val="24"/>
        </w:rPr>
        <w:t>гранти на територията на страната. Между 9 юни и 30 юли 27 592 мигранти, намиращи се в континентална Гърция, бяха предварително регистрирани по процедурата за убежище, включително 1 225 непридружени ненавършили пълнолетие лица. Това представляваше значител</w:t>
      </w:r>
      <w:r>
        <w:rPr>
          <w:rFonts w:ascii="Times New Roman" w:hAnsi="Times New Roman" w:cs="Times New Roman"/>
          <w:noProof/>
          <w:sz w:val="24"/>
          <w:szCs w:val="24"/>
        </w:rPr>
        <w:t>но административно начинание за гръцките органи, подкрепено със средства от ЕС и експертния опит на Европейската служба за подкрепа в областта на убежището, ВКБООН и Международната организация по миграция.</w:t>
      </w:r>
      <w:r>
        <w:rPr>
          <w:rFonts w:ascii="Times New Roman" w:hAnsi="Times New Roman" w:cs="Times New Roman"/>
          <w:noProof/>
          <w:sz w:val="24"/>
          <w:szCs w:val="24"/>
          <w:vertAlign w:val="superscript"/>
        </w:rPr>
        <w:footnoteReference w:id="13"/>
      </w:r>
      <w:r>
        <w:rPr>
          <w:rFonts w:ascii="Times New Roman" w:hAnsi="Times New Roman" w:cs="Times New Roman"/>
          <w:noProof/>
          <w:sz w:val="24"/>
          <w:szCs w:val="24"/>
        </w:rPr>
        <w:t xml:space="preserve"> </w:t>
      </w:r>
    </w:p>
    <w:p w:rsidR="00CD7822" w:rsidRDefault="00CD7822">
      <w:pPr>
        <w:spacing w:after="0" w:line="240" w:lineRule="auto"/>
        <w:contextualSpacing/>
        <w:jc w:val="both"/>
        <w:rPr>
          <w:rFonts w:ascii="Times New Roman" w:hAnsi="Times New Roman" w:cs="Times New Roman"/>
          <w:noProof/>
          <w:sz w:val="24"/>
          <w:szCs w:val="24"/>
        </w:rPr>
      </w:pPr>
    </w:p>
    <w:p w:rsidR="00CD7822" w:rsidRDefault="000A61B2">
      <w:pPr>
        <w:spacing w:after="0" w:line="240" w:lineRule="auto"/>
        <w:contextualSpacing/>
        <w:jc w:val="both"/>
        <w:rPr>
          <w:rFonts w:ascii="Times New Roman" w:hAnsi="Times New Roman" w:cs="Times New Roman"/>
          <w:i/>
          <w:noProof/>
          <w:sz w:val="24"/>
          <w:szCs w:val="24"/>
        </w:rPr>
      </w:pPr>
      <w:r>
        <w:rPr>
          <w:rFonts w:ascii="Times New Roman" w:hAnsi="Times New Roman" w:cs="Times New Roman"/>
          <w:i/>
          <w:noProof/>
          <w:sz w:val="24"/>
          <w:szCs w:val="24"/>
        </w:rPr>
        <w:t xml:space="preserve">Финансова подкрепа от ЕС за Гърция </w:t>
      </w:r>
    </w:p>
    <w:p w:rsidR="00CD7822" w:rsidRDefault="00CD7822">
      <w:pPr>
        <w:spacing w:after="0" w:line="240" w:lineRule="auto"/>
        <w:contextualSpacing/>
        <w:jc w:val="both"/>
        <w:rPr>
          <w:rFonts w:ascii="Times New Roman" w:hAnsi="Times New Roman" w:cs="Times New Roman"/>
          <w:i/>
          <w:noProof/>
          <w:sz w:val="24"/>
          <w:szCs w:val="24"/>
        </w:rPr>
      </w:pPr>
    </w:p>
    <w:p w:rsidR="00CD7822" w:rsidRDefault="000A61B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След Втори</w:t>
      </w:r>
      <w:r>
        <w:rPr>
          <w:rFonts w:ascii="Times New Roman" w:hAnsi="Times New Roman" w:cs="Times New Roman"/>
          <w:noProof/>
          <w:sz w:val="24"/>
          <w:szCs w:val="24"/>
        </w:rPr>
        <w:t>я доклад от 15 юни 2016 г. Комисията отпусна повече от 90 милиона евро като спешно финансиране по линия на фонд „Убежище, миграция и интеграция“ и фонд „Вътрешна сигурност“ за подобряване на капацитета на Гърция за прием и за подпомагане на мигрантите и бе</w:t>
      </w:r>
      <w:r>
        <w:rPr>
          <w:rFonts w:ascii="Times New Roman" w:hAnsi="Times New Roman" w:cs="Times New Roman"/>
          <w:noProof/>
          <w:sz w:val="24"/>
          <w:szCs w:val="24"/>
        </w:rPr>
        <w:t>жанците.</w:t>
      </w:r>
      <w:r>
        <w:rPr>
          <w:rFonts w:ascii="Times New Roman" w:hAnsi="Times New Roman" w:cs="Times New Roman"/>
          <w:noProof/>
          <w:color w:val="000000"/>
          <w:sz w:val="24"/>
          <w:szCs w:val="24"/>
          <w:vertAlign w:val="superscript"/>
        </w:rPr>
        <w:footnoteReference w:id="14"/>
      </w:r>
      <w:r>
        <w:rPr>
          <w:rFonts w:ascii="Times New Roman" w:hAnsi="Times New Roman" w:cs="Times New Roman"/>
          <w:noProof/>
          <w:color w:val="000000"/>
          <w:sz w:val="24"/>
          <w:szCs w:val="24"/>
        </w:rPr>
        <w:t xml:space="preserve"> </w:t>
      </w:r>
      <w:r>
        <w:rPr>
          <w:rFonts w:ascii="Times New Roman" w:hAnsi="Times New Roman" w:cs="Times New Roman"/>
          <w:noProof/>
          <w:sz w:val="24"/>
          <w:szCs w:val="24"/>
        </w:rPr>
        <w:t>Тази неотдавнашна спешна помощ бе отпусната в допълнение към вече получените спешни средства: от началото на 2015 г. чрез тези фондове на ЕС са отпуснати около 352 милиона евро за подкрепа на действия в Гърция. Що се отнася до сумата от 509 милио</w:t>
      </w:r>
      <w:r>
        <w:rPr>
          <w:rFonts w:ascii="Times New Roman" w:hAnsi="Times New Roman" w:cs="Times New Roman"/>
          <w:noProof/>
          <w:sz w:val="24"/>
          <w:szCs w:val="24"/>
        </w:rPr>
        <w:t>на евро, разпределена за Гърция за периода 2014—2020 г. чрез нейните национални програми, тези национални програми се преразглеждат, за да бъдат адаптирани по по-подходящ начин към текущите нужди на Гърция. Значителна част от финансирането от ЕС (приблизит</w:t>
      </w:r>
      <w:r>
        <w:rPr>
          <w:rFonts w:ascii="Times New Roman" w:hAnsi="Times New Roman" w:cs="Times New Roman"/>
          <w:noProof/>
          <w:sz w:val="24"/>
          <w:szCs w:val="24"/>
        </w:rPr>
        <w:t>елно 198 милиона евро) се предоставя на хуманитарни партньори чрез създадения неотдавна инструмент на ЕС за спешна подкрепа. Целта на тази подкрепа е да обхване основните хуманитарни нужди на мигрантите и бежанците, включително подслон, санитарни условия и</w:t>
      </w:r>
      <w:r>
        <w:rPr>
          <w:rFonts w:ascii="Times New Roman" w:hAnsi="Times New Roman" w:cs="Times New Roman"/>
          <w:noProof/>
          <w:sz w:val="24"/>
          <w:szCs w:val="24"/>
        </w:rPr>
        <w:t xml:space="preserve"> системи от ваучери за закупуване на храна и други стоки от първа необходимост. В нея е включена специална помощ за образованието на децата и за непридружените ненавършили пълнолетие лица. </w:t>
      </w:r>
    </w:p>
    <w:p w:rsidR="00CD7822" w:rsidRDefault="00CD7822">
      <w:pPr>
        <w:spacing w:after="0" w:line="240" w:lineRule="auto"/>
        <w:jc w:val="both"/>
        <w:rPr>
          <w:rFonts w:ascii="Times New Roman" w:hAnsi="Times New Roman" w:cs="Times New Roman"/>
          <w:noProof/>
          <w:sz w:val="24"/>
          <w:szCs w:val="24"/>
        </w:rPr>
      </w:pPr>
    </w:p>
    <w:tbl>
      <w:tblPr>
        <w:tblStyle w:val="TableGrid1"/>
        <w:tblW w:w="0" w:type="auto"/>
        <w:tblLook w:val="04A0" w:firstRow="1" w:lastRow="0" w:firstColumn="1" w:lastColumn="0" w:noHBand="0" w:noVBand="1"/>
      </w:tblPr>
      <w:tblGrid>
        <w:gridCol w:w="9286"/>
      </w:tblGrid>
      <w:tr w:rsidR="00CD7822">
        <w:tc>
          <w:tcPr>
            <w:tcW w:w="9286" w:type="dxa"/>
          </w:tcPr>
          <w:p w:rsidR="00CD7822" w:rsidRDefault="000A61B2">
            <w:pPr>
              <w:spacing w:after="200" w:line="276" w:lineRule="auto"/>
              <w:jc w:val="both"/>
              <w:rPr>
                <w:rFonts w:ascii="Times New Roman" w:hAnsi="Times New Roman" w:cs="Times New Roman"/>
                <w:b/>
                <w:bCs/>
                <w:i/>
                <w:iCs/>
                <w:noProof/>
                <w:sz w:val="24"/>
                <w:szCs w:val="24"/>
              </w:rPr>
            </w:pPr>
            <w:r>
              <w:rPr>
                <w:rFonts w:ascii="Times New Roman" w:hAnsi="Times New Roman" w:cs="Times New Roman"/>
                <w:b/>
                <w:i/>
                <w:noProof/>
                <w:sz w:val="24"/>
                <w:szCs w:val="24"/>
              </w:rPr>
              <w:t>Основни предизвикателства и следващи стъпки</w:t>
            </w:r>
          </w:p>
          <w:p w:rsidR="00CD7822" w:rsidRDefault="000A61B2">
            <w:pPr>
              <w:numPr>
                <w:ilvl w:val="0"/>
                <w:numId w:val="3"/>
              </w:numPr>
              <w:ind w:left="426" w:hanging="426"/>
              <w:contextualSpacing/>
              <w:jc w:val="both"/>
              <w:rPr>
                <w:rFonts w:ascii="Times New Roman" w:hAnsi="Times New Roman" w:cs="Times New Roman"/>
                <w:noProof/>
                <w:sz w:val="24"/>
                <w:szCs w:val="24"/>
              </w:rPr>
            </w:pPr>
            <w:r>
              <w:rPr>
                <w:rFonts w:ascii="Times New Roman" w:hAnsi="Times New Roman" w:cs="Times New Roman"/>
                <w:noProof/>
                <w:sz w:val="24"/>
                <w:szCs w:val="24"/>
              </w:rPr>
              <w:t>Ускоряване на обработ</w:t>
            </w:r>
            <w:r>
              <w:rPr>
                <w:rFonts w:ascii="Times New Roman" w:hAnsi="Times New Roman" w:cs="Times New Roman"/>
                <w:noProof/>
                <w:sz w:val="24"/>
                <w:szCs w:val="24"/>
              </w:rPr>
              <w:t>ването на молбите за убежище от регистрацията до обжалването в съответствие с европейското и международното право;</w:t>
            </w:r>
          </w:p>
          <w:p w:rsidR="00CD7822" w:rsidRDefault="000A61B2">
            <w:pPr>
              <w:numPr>
                <w:ilvl w:val="0"/>
                <w:numId w:val="3"/>
              </w:numPr>
              <w:ind w:left="426" w:hanging="426"/>
              <w:contextualSpacing/>
              <w:jc w:val="both"/>
              <w:rPr>
                <w:rFonts w:ascii="Times New Roman" w:hAnsi="Times New Roman" w:cs="Times New Roman"/>
                <w:noProof/>
                <w:sz w:val="24"/>
                <w:szCs w:val="24"/>
              </w:rPr>
            </w:pPr>
            <w:r>
              <w:rPr>
                <w:rFonts w:ascii="Times New Roman" w:hAnsi="Times New Roman" w:cs="Times New Roman"/>
                <w:noProof/>
                <w:sz w:val="24"/>
                <w:szCs w:val="24"/>
              </w:rPr>
              <w:t>Спешно ускоряване на темпа на връщане в Турция;</w:t>
            </w:r>
          </w:p>
          <w:p w:rsidR="00CD7822" w:rsidRDefault="000A61B2">
            <w:pPr>
              <w:numPr>
                <w:ilvl w:val="0"/>
                <w:numId w:val="3"/>
              </w:numPr>
              <w:ind w:left="426" w:hanging="426"/>
              <w:contextualSpacing/>
              <w:jc w:val="both"/>
              <w:rPr>
                <w:rFonts w:ascii="Times New Roman" w:hAnsi="Times New Roman" w:cs="Times New Roman"/>
                <w:noProof/>
                <w:sz w:val="24"/>
                <w:szCs w:val="24"/>
              </w:rPr>
            </w:pPr>
            <w:r>
              <w:rPr>
                <w:rFonts w:ascii="Times New Roman" w:hAnsi="Times New Roman" w:cs="Times New Roman"/>
                <w:noProof/>
                <w:sz w:val="24"/>
                <w:szCs w:val="24"/>
              </w:rPr>
              <w:t>Разширяване и подготвяне на инфраструктурата за прием на гръцките острови за зимата;</w:t>
            </w:r>
          </w:p>
          <w:p w:rsidR="00CD7822" w:rsidRDefault="000A61B2">
            <w:pPr>
              <w:numPr>
                <w:ilvl w:val="0"/>
                <w:numId w:val="3"/>
              </w:numPr>
              <w:ind w:left="426" w:hanging="426"/>
              <w:contextualSpacing/>
              <w:jc w:val="both"/>
              <w:rPr>
                <w:rFonts w:ascii="Times New Roman" w:hAnsi="Times New Roman" w:cs="Times New Roman"/>
                <w:noProof/>
                <w:sz w:val="24"/>
                <w:szCs w:val="24"/>
              </w:rPr>
            </w:pPr>
            <w:r>
              <w:rPr>
                <w:rFonts w:ascii="Times New Roman" w:hAnsi="Times New Roman" w:cs="Times New Roman"/>
                <w:noProof/>
                <w:sz w:val="24"/>
                <w:szCs w:val="24"/>
              </w:rPr>
              <w:t>Приемане</w:t>
            </w:r>
            <w:r>
              <w:rPr>
                <w:rFonts w:ascii="Times New Roman" w:hAnsi="Times New Roman" w:cs="Times New Roman"/>
                <w:noProof/>
                <w:sz w:val="24"/>
                <w:szCs w:val="24"/>
              </w:rPr>
              <w:t xml:space="preserve"> от страна на гръцките органи на стандартни оперативни процедури за горещите точки и назначаване на постоянни координатори в горещите токи;</w:t>
            </w:r>
          </w:p>
          <w:p w:rsidR="00CD7822" w:rsidRDefault="000A61B2">
            <w:pPr>
              <w:numPr>
                <w:ilvl w:val="0"/>
                <w:numId w:val="3"/>
              </w:numPr>
              <w:ind w:left="426" w:hanging="426"/>
              <w:contextualSpacing/>
              <w:jc w:val="both"/>
              <w:rPr>
                <w:rFonts w:ascii="Times New Roman" w:hAnsi="Times New Roman" w:cs="Times New Roman"/>
                <w:noProof/>
                <w:sz w:val="24"/>
                <w:szCs w:val="24"/>
              </w:rPr>
            </w:pPr>
            <w:r>
              <w:rPr>
                <w:rFonts w:ascii="Times New Roman" w:hAnsi="Times New Roman" w:cs="Times New Roman"/>
                <w:noProof/>
                <w:sz w:val="24"/>
                <w:szCs w:val="24"/>
              </w:rPr>
              <w:t>Осигуряване на прехвърлянето на непридружените ненавършили пълнолетие лица в специализирани структури;</w:t>
            </w:r>
          </w:p>
          <w:p w:rsidR="00CD7822" w:rsidRDefault="000A61B2">
            <w:pPr>
              <w:pStyle w:val="ListParagraph"/>
              <w:numPr>
                <w:ilvl w:val="0"/>
                <w:numId w:val="7"/>
              </w:numPr>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Турция следва да разреши прилагането на разпоредбите за граждани на трети държави от Споразумението за обратно приемане между ЕС и Турция. </w:t>
            </w:r>
          </w:p>
          <w:p w:rsidR="00CD7822" w:rsidRDefault="00CD7822">
            <w:pPr>
              <w:ind w:left="207"/>
              <w:jc w:val="both"/>
              <w:rPr>
                <w:rFonts w:ascii="Times New Roman" w:hAnsi="Times New Roman" w:cs="Times New Roman"/>
                <w:noProof/>
                <w:sz w:val="24"/>
                <w:szCs w:val="24"/>
              </w:rPr>
            </w:pPr>
          </w:p>
        </w:tc>
      </w:tr>
    </w:tbl>
    <w:p w:rsidR="00CD7822" w:rsidRDefault="00CD7822">
      <w:pPr>
        <w:spacing w:after="0" w:line="240" w:lineRule="auto"/>
        <w:jc w:val="both"/>
        <w:rPr>
          <w:rFonts w:ascii="Times New Roman" w:hAnsi="Times New Roman" w:cs="Times New Roman"/>
          <w:noProof/>
          <w:sz w:val="24"/>
          <w:szCs w:val="24"/>
        </w:rPr>
      </w:pPr>
    </w:p>
    <w:p w:rsidR="00CD7822" w:rsidRDefault="000A61B2">
      <w:pPr>
        <w:spacing w:after="0" w:line="240" w:lineRule="auto"/>
        <w:jc w:val="both"/>
        <w:rPr>
          <w:rFonts w:ascii="Times New Roman" w:hAnsi="Times New Roman" w:cs="Times New Roman"/>
          <w:b/>
          <w:noProof/>
          <w:sz w:val="24"/>
          <w:szCs w:val="24"/>
        </w:rPr>
      </w:pPr>
      <w:r>
        <w:rPr>
          <w:b/>
          <w:noProof/>
        </w:rPr>
        <w:t>3.</w:t>
      </w:r>
      <w:r>
        <w:rPr>
          <w:noProof/>
        </w:rPr>
        <w:tab/>
      </w:r>
      <w:r>
        <w:rPr>
          <w:rFonts w:ascii="Times New Roman" w:hAnsi="Times New Roman"/>
          <w:b/>
          <w:noProof/>
          <w:sz w:val="24"/>
        </w:rPr>
        <w:t>Презаселване от Турция в ЕС на принципа „един за един“</w:t>
      </w:r>
    </w:p>
    <w:p w:rsidR="00CD7822" w:rsidRDefault="00CD7822">
      <w:pPr>
        <w:spacing w:after="0" w:line="240" w:lineRule="auto"/>
        <w:jc w:val="both"/>
        <w:rPr>
          <w:rFonts w:ascii="Times New Roman" w:hAnsi="Times New Roman" w:cs="Times New Roman"/>
          <w:noProof/>
          <w:sz w:val="24"/>
          <w:szCs w:val="24"/>
        </w:rPr>
      </w:pPr>
    </w:p>
    <w:p w:rsidR="00CD7822" w:rsidRDefault="000A61B2">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Актуално положение</w:t>
      </w:r>
    </w:p>
    <w:p w:rsidR="00CD7822" w:rsidRDefault="000A61B2">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Според последните данни</w:t>
      </w:r>
      <w:r>
        <w:rPr>
          <w:rFonts w:ascii="Times New Roman" w:hAnsi="Times New Roman" w:cs="Times New Roman"/>
          <w:noProof/>
          <w:sz w:val="24"/>
          <w:szCs w:val="24"/>
        </w:rPr>
        <w:t xml:space="preserve"> към 26 септември 1 614 сирийски граждани са били презаселени в ЕС съгласно рамката „един за един“, при която ЕС презаселва един сирийски гражданин от Турция в ЕС срещу всеки сирийски гражданин, върнат в Турция от гръцките острови. От тях 1 103 сирийски гр</w:t>
      </w:r>
      <w:r>
        <w:rPr>
          <w:rFonts w:ascii="Times New Roman" w:hAnsi="Times New Roman" w:cs="Times New Roman"/>
          <w:noProof/>
          <w:sz w:val="24"/>
          <w:szCs w:val="24"/>
        </w:rPr>
        <w:t>аждани са презаселени от Турция след Втория доклад от 15 юни 2016 г. в 12 държави членки (Белгия, Естония, Финландия, Франция, Германия, Италия, Латвия, Литва, Нидерландия, Португалия, Испания и Швеция)</w:t>
      </w:r>
      <w:r>
        <w:rPr>
          <w:rStyle w:val="FootnoteReference"/>
          <w:rFonts w:ascii="Times New Roman" w:hAnsi="Times New Roman" w:cs="Times New Roman"/>
          <w:noProof/>
          <w:color w:val="000000"/>
          <w:sz w:val="24"/>
          <w:szCs w:val="24"/>
        </w:rPr>
        <w:footnoteReference w:id="15"/>
      </w:r>
      <w:r>
        <w:rPr>
          <w:rFonts w:ascii="Times New Roman" w:hAnsi="Times New Roman" w:cs="Times New Roman"/>
          <w:noProof/>
          <w:sz w:val="24"/>
          <w:szCs w:val="24"/>
        </w:rPr>
        <w:t>.</w:t>
      </w:r>
      <w:r>
        <w:rPr>
          <w:rFonts w:ascii="Times New Roman" w:hAnsi="Times New Roman" w:cs="Times New Roman"/>
          <w:noProof/>
          <w:color w:val="000000"/>
          <w:sz w:val="24"/>
          <w:szCs w:val="24"/>
        </w:rPr>
        <w:t xml:space="preserve"> </w:t>
      </w:r>
      <w:r>
        <w:rPr>
          <w:rFonts w:ascii="Times New Roman" w:hAnsi="Times New Roman" w:cs="Times New Roman"/>
          <w:noProof/>
          <w:sz w:val="24"/>
          <w:szCs w:val="24"/>
        </w:rPr>
        <w:t>Това увеличава на 13 броят на държавите членки, в к</w:t>
      </w:r>
      <w:r>
        <w:rPr>
          <w:rFonts w:ascii="Times New Roman" w:hAnsi="Times New Roman" w:cs="Times New Roman"/>
          <w:noProof/>
          <w:sz w:val="24"/>
          <w:szCs w:val="24"/>
        </w:rPr>
        <w:t>оито се изпращат лица за презаселване съгласно схемата</w:t>
      </w:r>
      <w:r>
        <w:rPr>
          <w:rStyle w:val="FootnoteReference"/>
          <w:rFonts w:ascii="Times New Roman" w:hAnsi="Times New Roman" w:cs="Times New Roman"/>
          <w:noProof/>
          <w:color w:val="000000"/>
          <w:sz w:val="24"/>
          <w:szCs w:val="24"/>
        </w:rPr>
        <w:footnoteReference w:id="16"/>
      </w:r>
      <w:r>
        <w:rPr>
          <w:rFonts w:ascii="Times New Roman" w:hAnsi="Times New Roman" w:cs="Times New Roman"/>
          <w:noProof/>
          <w:sz w:val="24"/>
          <w:szCs w:val="24"/>
        </w:rPr>
        <w:t>.</w:t>
      </w:r>
      <w:r>
        <w:rPr>
          <w:rFonts w:ascii="Times New Roman" w:hAnsi="Times New Roman" w:cs="Times New Roman"/>
          <w:noProof/>
          <w:color w:val="000000"/>
          <w:sz w:val="24"/>
          <w:szCs w:val="24"/>
        </w:rPr>
        <w:t xml:space="preserve"> В допълнение към това, въпреки че презаселването беше прекъснато в средата на месец юли след опита за преврат, то беше възобновено през месец август. Броят на лицата, преминали през необходимите проц</w:t>
      </w:r>
      <w:r>
        <w:rPr>
          <w:rFonts w:ascii="Times New Roman" w:hAnsi="Times New Roman" w:cs="Times New Roman"/>
          <w:noProof/>
          <w:color w:val="000000"/>
          <w:sz w:val="24"/>
          <w:szCs w:val="24"/>
        </w:rPr>
        <w:t xml:space="preserve">едури и очакващи презаселване, е 509. В резултат на това темпът на презаселване </w:t>
      </w:r>
      <w:r>
        <w:rPr>
          <w:rFonts w:ascii="Times New Roman" w:hAnsi="Times New Roman" w:cs="Times New Roman"/>
          <w:noProof/>
          <w:sz w:val="24"/>
          <w:szCs w:val="24"/>
        </w:rPr>
        <w:t>е напреднал значително в сравнение с темпа на връщане от гръцките острови. И този темп трябва да се поддържа.</w:t>
      </w:r>
    </w:p>
    <w:p w:rsidR="00CD7822" w:rsidRDefault="00CD7822">
      <w:pPr>
        <w:autoSpaceDE w:val="0"/>
        <w:autoSpaceDN w:val="0"/>
        <w:adjustRightInd w:val="0"/>
        <w:spacing w:after="0" w:line="240" w:lineRule="auto"/>
        <w:jc w:val="both"/>
        <w:rPr>
          <w:rFonts w:ascii="Times New Roman" w:hAnsi="Times New Roman" w:cs="Times New Roman"/>
          <w:noProof/>
          <w:color w:val="000000"/>
          <w:sz w:val="24"/>
          <w:szCs w:val="24"/>
        </w:rPr>
      </w:pPr>
    </w:p>
    <w:p w:rsidR="00CD7822" w:rsidRDefault="000A61B2">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Държавите членки са готови да продължат с презаселването. На 2 се</w:t>
      </w:r>
      <w:r>
        <w:rPr>
          <w:rFonts w:ascii="Times New Roman" w:hAnsi="Times New Roman" w:cs="Times New Roman"/>
          <w:noProof/>
          <w:color w:val="000000"/>
          <w:sz w:val="24"/>
          <w:szCs w:val="24"/>
        </w:rPr>
        <w:t>птември турските органи предоставиха на ВКБООН списък с 5</w:t>
      </w:r>
      <w:r>
        <w:rPr>
          <w:rFonts w:ascii="Times New Roman" w:hAnsi="Times New Roman" w:cs="Times New Roman"/>
          <w:noProof/>
          <w:sz w:val="24"/>
          <w:szCs w:val="24"/>
        </w:rPr>
        <w:t> 700 сирийски бежанци, посочени за възможно презаселване (въпреки че не всички случаи ще доведат до ефективно презаселване, например поради дублиране или възможно отпадане). ВКБООН очаква първите 300</w:t>
      </w:r>
      <w:r>
        <w:rPr>
          <w:rFonts w:ascii="Times New Roman" w:hAnsi="Times New Roman" w:cs="Times New Roman"/>
          <w:noProof/>
          <w:sz w:val="24"/>
          <w:szCs w:val="24"/>
        </w:rPr>
        <w:t xml:space="preserve"> случая да бъдат представени на държавите членки до края на септември. Пред турските органи беше отбелязано значението на непрекъснатото посочване на нови случаи. Те отговориха, че работят по следващия списък с лица, посочени за евентуално презаселване.</w:t>
      </w:r>
    </w:p>
    <w:p w:rsidR="00CD7822" w:rsidRDefault="00CD7822">
      <w:pPr>
        <w:autoSpaceDE w:val="0"/>
        <w:autoSpaceDN w:val="0"/>
        <w:adjustRightInd w:val="0"/>
        <w:spacing w:after="0" w:line="240" w:lineRule="auto"/>
        <w:jc w:val="both"/>
        <w:rPr>
          <w:rFonts w:ascii="Times New Roman" w:hAnsi="Times New Roman" w:cs="Times New Roman"/>
          <w:noProof/>
          <w:color w:val="000000"/>
          <w:sz w:val="24"/>
          <w:szCs w:val="24"/>
        </w:rPr>
      </w:pPr>
    </w:p>
    <w:p w:rsidR="00CD7822" w:rsidRDefault="000A61B2">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П</w:t>
      </w:r>
      <w:r>
        <w:rPr>
          <w:rFonts w:ascii="Times New Roman" w:hAnsi="Times New Roman" w:cs="Times New Roman"/>
          <w:i/>
          <w:noProof/>
          <w:sz w:val="24"/>
          <w:szCs w:val="24"/>
        </w:rPr>
        <w:t>равни мерки</w:t>
      </w: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С цел да бъде подкрепено изпълнението на Изявлението, през март 2016 г. Комисията представи предложение, с което да позволи на държавите членки да изпълнят задълженията си за преместване по отношение на неразпределените 54 000 места, като прием</w:t>
      </w:r>
      <w:r>
        <w:rPr>
          <w:rFonts w:ascii="Times New Roman" w:hAnsi="Times New Roman" w:cs="Times New Roman"/>
          <w:noProof/>
          <w:sz w:val="24"/>
          <w:szCs w:val="24"/>
        </w:rPr>
        <w:t>ат намиращите се в Турция сирийски граждани, които имат явна нужда от международна закрила, чрез презаселване или други форми на законен прием</w:t>
      </w:r>
      <w:r>
        <w:rPr>
          <w:rFonts w:ascii="Times New Roman" w:hAnsi="Times New Roman" w:cs="Times New Roman"/>
          <w:noProof/>
          <w:sz w:val="24"/>
          <w:szCs w:val="24"/>
          <w:vertAlign w:val="superscript"/>
        </w:rPr>
        <w:footnoteReference w:id="17"/>
      </w:r>
      <w:r>
        <w:rPr>
          <w:rFonts w:ascii="Times New Roman" w:hAnsi="Times New Roman" w:cs="Times New Roman"/>
          <w:noProof/>
          <w:sz w:val="24"/>
          <w:szCs w:val="24"/>
        </w:rPr>
        <w:t xml:space="preserve">. В предложението се предвижда също така държавите членки, които използват тази възможност, да получат финансова </w:t>
      </w:r>
      <w:r>
        <w:rPr>
          <w:rFonts w:ascii="Times New Roman" w:hAnsi="Times New Roman" w:cs="Times New Roman"/>
          <w:noProof/>
          <w:sz w:val="24"/>
          <w:szCs w:val="24"/>
        </w:rPr>
        <w:t>вноска под формата на еднократна сума от 6 500 евро за всеки сириец, който е допуснат законно на територията им от Турция. След издадено от Европейския парламент становище на 15 септември 2016 г. предстои Съветът да приеме предложението</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w:t>
      </w: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CD7822" w:rsidRDefault="000A61B2">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Оперативни </w:t>
      </w:r>
      <w:r>
        <w:rPr>
          <w:rFonts w:ascii="Times New Roman" w:hAnsi="Times New Roman" w:cs="Times New Roman"/>
          <w:i/>
          <w:noProof/>
          <w:sz w:val="24"/>
          <w:szCs w:val="24"/>
        </w:rPr>
        <w:t>мерки</w:t>
      </w: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Екипът на ЕС по презаселването, функциониращ в рамките на делегацията на ЕС в Анкара, продължава да координира и подпомага операциите на държавите членки и връзките с Международната организация по миграция, ВКБООН и турската Генерална дирекция „Управ</w:t>
      </w:r>
      <w:r>
        <w:rPr>
          <w:rFonts w:ascii="Times New Roman" w:hAnsi="Times New Roman" w:cs="Times New Roman"/>
          <w:noProof/>
          <w:sz w:val="24"/>
          <w:szCs w:val="24"/>
        </w:rPr>
        <w:t>ление на миграцията“. Всички страни работят заедно, за да се справят с всеки технически проблем, възникващ по време на процеса, който може да доведе до забавяне на операциите по презаселване и да окаже въздействие върху общия брой на бежанците, презаселени</w:t>
      </w:r>
      <w:r>
        <w:rPr>
          <w:rFonts w:ascii="Times New Roman" w:hAnsi="Times New Roman" w:cs="Times New Roman"/>
          <w:noProof/>
          <w:sz w:val="24"/>
          <w:szCs w:val="24"/>
        </w:rPr>
        <w:t xml:space="preserve"> в ЕС. Общият център за интервюиране в Анкара улеснява интервютата със сирийските кандидати за презаселване.</w:t>
      </w:r>
    </w:p>
    <w:p w:rsidR="00CD7822" w:rsidRDefault="00CD7822">
      <w:pPr>
        <w:spacing w:after="0" w:line="240" w:lineRule="auto"/>
        <w:jc w:val="both"/>
        <w:rPr>
          <w:rFonts w:ascii="Times New Roman" w:hAnsi="Times New Roman" w:cs="Times New Roman"/>
          <w:noProof/>
          <w:sz w:val="24"/>
          <w:szCs w:val="24"/>
        </w:rPr>
      </w:pPr>
    </w:p>
    <w:tbl>
      <w:tblPr>
        <w:tblStyle w:val="TableGrid1"/>
        <w:tblW w:w="0" w:type="auto"/>
        <w:tblLook w:val="04A0" w:firstRow="1" w:lastRow="0" w:firstColumn="1" w:lastColumn="0" w:noHBand="0" w:noVBand="1"/>
      </w:tblPr>
      <w:tblGrid>
        <w:gridCol w:w="9286"/>
      </w:tblGrid>
      <w:tr w:rsidR="00CD7822">
        <w:tc>
          <w:tcPr>
            <w:tcW w:w="9286" w:type="dxa"/>
          </w:tcPr>
          <w:p w:rsidR="00CD7822" w:rsidRDefault="000A61B2">
            <w:pPr>
              <w:spacing w:after="200" w:line="276" w:lineRule="auto"/>
              <w:jc w:val="both"/>
              <w:rPr>
                <w:rFonts w:ascii="Times New Roman" w:hAnsi="Times New Roman" w:cs="Times New Roman"/>
                <w:b/>
                <w:i/>
                <w:noProof/>
                <w:sz w:val="24"/>
                <w:szCs w:val="24"/>
              </w:rPr>
            </w:pPr>
            <w:r>
              <w:rPr>
                <w:rFonts w:ascii="Times New Roman" w:hAnsi="Times New Roman" w:cs="Times New Roman"/>
                <w:b/>
                <w:i/>
                <w:noProof/>
                <w:sz w:val="24"/>
                <w:szCs w:val="24"/>
              </w:rPr>
              <w:t>Основни предизвикателства и следващи стъпки</w:t>
            </w:r>
          </w:p>
          <w:p w:rsidR="00CD7822" w:rsidRDefault="000A61B2">
            <w:pPr>
              <w:numPr>
                <w:ilvl w:val="0"/>
                <w:numId w:val="4"/>
              </w:numPr>
              <w:spacing w:after="200"/>
              <w:ind w:left="426" w:hanging="426"/>
              <w:contextualSpacing/>
              <w:jc w:val="both"/>
              <w:rPr>
                <w:rFonts w:ascii="Times New Roman" w:hAnsi="Times New Roman" w:cs="Times New Roman"/>
                <w:noProof/>
                <w:sz w:val="24"/>
                <w:szCs w:val="24"/>
              </w:rPr>
            </w:pPr>
            <w:r>
              <w:rPr>
                <w:rFonts w:ascii="Times New Roman" w:hAnsi="Times New Roman" w:cs="Times New Roman"/>
                <w:noProof/>
                <w:sz w:val="24"/>
                <w:szCs w:val="24"/>
              </w:rPr>
              <w:t>Поддържане на темпа на презаселване;</w:t>
            </w:r>
          </w:p>
          <w:p w:rsidR="00CD7822" w:rsidRDefault="000A61B2">
            <w:pPr>
              <w:numPr>
                <w:ilvl w:val="0"/>
                <w:numId w:val="4"/>
              </w:numPr>
              <w:spacing w:after="200"/>
              <w:ind w:left="426" w:hanging="426"/>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Приемане от страна на Съвета на предложението на Комисията </w:t>
            </w:r>
            <w:r>
              <w:rPr>
                <w:rFonts w:ascii="Times New Roman" w:hAnsi="Times New Roman" w:cs="Times New Roman"/>
                <w:noProof/>
                <w:sz w:val="24"/>
                <w:szCs w:val="24"/>
              </w:rPr>
              <w:t>относно неразпределените 54 000 места.</w:t>
            </w:r>
          </w:p>
          <w:p w:rsidR="00CD7822" w:rsidRDefault="00CD7822">
            <w:pPr>
              <w:spacing w:after="200"/>
              <w:ind w:left="357"/>
              <w:contextualSpacing/>
              <w:jc w:val="both"/>
              <w:rPr>
                <w:rFonts w:ascii="Times New Roman" w:hAnsi="Times New Roman" w:cs="Times New Roman"/>
                <w:noProof/>
                <w:sz w:val="24"/>
                <w:szCs w:val="24"/>
              </w:rPr>
            </w:pPr>
          </w:p>
        </w:tc>
      </w:tr>
    </w:tbl>
    <w:p w:rsidR="00CD7822" w:rsidRDefault="00CD7822">
      <w:pPr>
        <w:spacing w:after="0" w:line="240" w:lineRule="auto"/>
        <w:jc w:val="both"/>
        <w:rPr>
          <w:rFonts w:ascii="Times New Roman" w:hAnsi="Times New Roman" w:cs="Times New Roman"/>
          <w:noProof/>
          <w:sz w:val="24"/>
          <w:szCs w:val="24"/>
          <w:u w:val="single"/>
        </w:rPr>
      </w:pPr>
    </w:p>
    <w:p w:rsidR="00CD7822" w:rsidRDefault="000A61B2">
      <w:pPr>
        <w:spacing w:after="0" w:line="240" w:lineRule="auto"/>
        <w:contextualSpacing/>
        <w:jc w:val="both"/>
        <w:rPr>
          <w:rFonts w:ascii="Times New Roman" w:hAnsi="Times New Roman" w:cs="Times New Roman"/>
          <w:b/>
          <w:noProof/>
          <w:sz w:val="24"/>
          <w:szCs w:val="24"/>
        </w:rPr>
      </w:pPr>
      <w:r>
        <w:rPr>
          <w:rFonts w:ascii="Times New Roman" w:hAnsi="Times New Roman" w:cs="Times New Roman"/>
          <w:b/>
          <w:noProof/>
          <w:sz w:val="24"/>
          <w:szCs w:val="24"/>
        </w:rPr>
        <w:t>4.</w:t>
      </w:r>
      <w:r>
        <w:rPr>
          <w:rFonts w:ascii="Times New Roman" w:hAnsi="Times New Roman" w:cs="Times New Roman"/>
          <w:noProof/>
          <w:sz w:val="24"/>
          <w:szCs w:val="24"/>
        </w:rPr>
        <w:tab/>
      </w:r>
      <w:r>
        <w:rPr>
          <w:rFonts w:ascii="Times New Roman" w:hAnsi="Times New Roman" w:cs="Times New Roman"/>
          <w:b/>
          <w:noProof/>
          <w:sz w:val="24"/>
          <w:szCs w:val="24"/>
        </w:rPr>
        <w:t xml:space="preserve">Предотвратяване на появата на нови морски или сухопътни маршрути за незаконна миграция </w:t>
      </w:r>
    </w:p>
    <w:p w:rsidR="00CD7822" w:rsidRDefault="00CD7822">
      <w:pPr>
        <w:autoSpaceDE w:val="0"/>
        <w:autoSpaceDN w:val="0"/>
        <w:adjustRightInd w:val="0"/>
        <w:spacing w:after="0" w:line="240" w:lineRule="auto"/>
        <w:jc w:val="both"/>
        <w:rPr>
          <w:rFonts w:ascii="Times New Roman" w:hAnsi="Times New Roman" w:cs="Times New Roman"/>
          <w:noProof/>
          <w:color w:val="000000"/>
          <w:sz w:val="24"/>
          <w:szCs w:val="24"/>
        </w:rPr>
      </w:pPr>
    </w:p>
    <w:p w:rsidR="00CD7822" w:rsidRDefault="000A61B2">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Усилията за контролиране на потоците в Егейско море досега не са довели до съществено развитие на алтернативни маршрути от Турция. Независимо от това фактът, че продължава да съществува значителен поток от хора, пристигащи в държави членки като Австрия и Г</w:t>
      </w:r>
      <w:r>
        <w:rPr>
          <w:rFonts w:ascii="Times New Roman" w:hAnsi="Times New Roman" w:cs="Times New Roman"/>
          <w:noProof/>
          <w:color w:val="000000"/>
          <w:sz w:val="24"/>
          <w:szCs w:val="24"/>
        </w:rPr>
        <w:t>ермания, подчертава възможността хората да продължават да намират начин да напускат Турция. Някои плавателни съдове са изминали по-дълъг маршрут, за да достигнат до други държави членки: 24 плавателни съда, напуснали Турция, са достигнали Италия през перио</w:t>
      </w:r>
      <w:r>
        <w:rPr>
          <w:rFonts w:ascii="Times New Roman" w:hAnsi="Times New Roman" w:cs="Times New Roman"/>
          <w:noProof/>
          <w:color w:val="000000"/>
          <w:sz w:val="24"/>
          <w:szCs w:val="24"/>
        </w:rPr>
        <w:t xml:space="preserve">да на докладване. По суша се отчита увеличаване на разкритите незаконни преминавания на сухопътните граници на Турция с България и Гърция. </w:t>
      </w:r>
    </w:p>
    <w:p w:rsidR="00CD7822" w:rsidRDefault="00CD7822">
      <w:pPr>
        <w:autoSpaceDE w:val="0"/>
        <w:autoSpaceDN w:val="0"/>
        <w:adjustRightInd w:val="0"/>
        <w:spacing w:after="0" w:line="240" w:lineRule="auto"/>
        <w:jc w:val="both"/>
        <w:rPr>
          <w:rFonts w:ascii="Times New Roman" w:hAnsi="Times New Roman" w:cs="Times New Roman"/>
          <w:noProof/>
          <w:color w:val="000000"/>
          <w:sz w:val="24"/>
          <w:szCs w:val="24"/>
        </w:rPr>
      </w:pPr>
    </w:p>
    <w:p w:rsidR="00CD7822" w:rsidRDefault="000A61B2">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rPr>
        <w:t>Ето защо е важно положението да се следи непрекъснато и да се предприемат превантивни мерки. Засилването на комуник</w:t>
      </w:r>
      <w:r>
        <w:rPr>
          <w:rFonts w:ascii="Times New Roman" w:hAnsi="Times New Roman" w:cs="Times New Roman"/>
          <w:noProof/>
          <w:color w:val="000000"/>
          <w:sz w:val="24"/>
          <w:szCs w:val="24"/>
        </w:rPr>
        <w:t xml:space="preserve">ацията и обмена на информация между турските органи и техните партньори в ЕС ще бъде важен фактор за справяне с нововъзникващите рискове. В ЕС са взети мерки за защита на уязвимите граници. </w:t>
      </w:r>
      <w:r>
        <w:rPr>
          <w:rFonts w:ascii="Times New Roman" w:hAnsi="Times New Roman" w:cs="Times New Roman"/>
          <w:noProof/>
          <w:sz w:val="24"/>
          <w:szCs w:val="24"/>
        </w:rPr>
        <w:t>Например след искане от страна на българските органи за допълнител</w:t>
      </w:r>
      <w:r>
        <w:rPr>
          <w:rFonts w:ascii="Times New Roman" w:hAnsi="Times New Roman" w:cs="Times New Roman"/>
          <w:noProof/>
          <w:sz w:val="24"/>
          <w:szCs w:val="24"/>
        </w:rPr>
        <w:t>на помощ Frontex постепенно увеличи присъствието си по българската граница с Турция (както и със Сърбия).</w:t>
      </w:r>
      <w:r>
        <w:rPr>
          <w:rFonts w:ascii="Times New Roman" w:hAnsi="Times New Roman" w:cs="Times New Roman"/>
          <w:noProof/>
          <w:color w:val="000000"/>
          <w:sz w:val="24"/>
          <w:szCs w:val="24"/>
        </w:rPr>
        <w:t xml:space="preserve"> </w:t>
      </w:r>
      <w:r>
        <w:rPr>
          <w:rFonts w:ascii="Times New Roman" w:hAnsi="Times New Roman" w:cs="Times New Roman"/>
          <w:noProof/>
          <w:sz w:val="24"/>
          <w:szCs w:val="24"/>
        </w:rPr>
        <w:t>Към 26 септември в България са изпратени 177 експерти, но продължава да съществува недостиг в сравнение с договорените съгласно искането 345 експерти.</w:t>
      </w:r>
      <w:r>
        <w:rPr>
          <w:rFonts w:ascii="Times New Roman" w:hAnsi="Times New Roman" w:cs="Times New Roman"/>
          <w:noProof/>
          <w:sz w:val="24"/>
          <w:szCs w:val="24"/>
        </w:rPr>
        <w:t xml:space="preserve"> Комисията продължава да настоява всички държави членки да оказват принос в отговор на отправените искания от Frontex. В допълнение към това Комисията отпусна неотдавна 108 милиона евро за спешно подпомагане на България за засилване на наблюдението на гран</w:t>
      </w:r>
      <w:r>
        <w:rPr>
          <w:rFonts w:ascii="Times New Roman" w:hAnsi="Times New Roman" w:cs="Times New Roman"/>
          <w:noProof/>
          <w:sz w:val="24"/>
          <w:szCs w:val="24"/>
        </w:rPr>
        <w:t>иците и управлението на миграцията по външните граници на тази държава членка с Турция, Сърбия и Бивша югославска република Македония. Продължава разглеждането на следващите заявления на България за допълнително спешно подпомагане в размер до 52 милиона ев</w:t>
      </w:r>
      <w:r>
        <w:rPr>
          <w:rFonts w:ascii="Times New Roman" w:hAnsi="Times New Roman" w:cs="Times New Roman"/>
          <w:noProof/>
          <w:sz w:val="24"/>
          <w:szCs w:val="24"/>
        </w:rPr>
        <w:t xml:space="preserve">ро. </w:t>
      </w:r>
      <w:r>
        <w:rPr>
          <w:rFonts w:ascii="Times New Roman" w:hAnsi="Times New Roman" w:cs="Times New Roman"/>
          <w:noProof/>
          <w:color w:val="000000"/>
          <w:sz w:val="24"/>
          <w:szCs w:val="24"/>
        </w:rPr>
        <w:t>Предстоящото начало на дейността на Европейската гранична и брегова охрана следва да окаже значителна подкрепа за ефективността и стабилността на външната граница на ЕС.</w:t>
      </w:r>
    </w:p>
    <w:p w:rsidR="00CD7822" w:rsidRDefault="00CD7822">
      <w:pPr>
        <w:autoSpaceDE w:val="0"/>
        <w:autoSpaceDN w:val="0"/>
        <w:adjustRightInd w:val="0"/>
        <w:spacing w:after="0" w:line="240" w:lineRule="auto"/>
        <w:jc w:val="both"/>
        <w:rPr>
          <w:rFonts w:ascii="Times New Roman" w:hAnsi="Times New Roman" w:cs="Times New Roman"/>
          <w:noProof/>
          <w:sz w:val="24"/>
          <w:szCs w:val="24"/>
        </w:rPr>
      </w:pPr>
    </w:p>
    <w:p w:rsidR="00CD7822" w:rsidRDefault="000A61B2">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5.</w:t>
      </w:r>
      <w:r>
        <w:rPr>
          <w:rFonts w:ascii="Times New Roman" w:hAnsi="Times New Roman" w:cs="Times New Roman"/>
          <w:noProof/>
          <w:sz w:val="24"/>
          <w:szCs w:val="24"/>
        </w:rPr>
        <w:tab/>
      </w:r>
      <w:r>
        <w:rPr>
          <w:rFonts w:ascii="Times New Roman" w:hAnsi="Times New Roman" w:cs="Times New Roman"/>
          <w:b/>
          <w:noProof/>
          <w:sz w:val="24"/>
          <w:szCs w:val="24"/>
        </w:rPr>
        <w:t>Доброволна схема за хуманитарно приемане</w:t>
      </w:r>
    </w:p>
    <w:p w:rsidR="00CD7822" w:rsidRDefault="00CD7822">
      <w:pPr>
        <w:spacing w:after="0" w:line="240" w:lineRule="auto"/>
        <w:jc w:val="both"/>
        <w:rPr>
          <w:rFonts w:ascii="Times New Roman" w:hAnsi="Times New Roman" w:cs="Times New Roman"/>
          <w:noProof/>
          <w:sz w:val="24"/>
          <w:szCs w:val="24"/>
        </w:rPr>
      </w:pPr>
    </w:p>
    <w:p w:rsidR="00CD7822" w:rsidRDefault="000A61B2">
      <w:pPr>
        <w:spacing w:after="0" w:line="240" w:lineRule="auto"/>
        <w:jc w:val="both"/>
        <w:rPr>
          <w:rFonts w:ascii="Times New Roman" w:hAnsi="Times New Roman" w:cs="Times New Roman"/>
          <w:iCs/>
          <w:noProof/>
          <w:sz w:val="24"/>
          <w:szCs w:val="24"/>
        </w:rPr>
      </w:pPr>
      <w:r>
        <w:rPr>
          <w:rFonts w:ascii="Times New Roman" w:hAnsi="Times New Roman" w:cs="Times New Roman"/>
          <w:noProof/>
          <w:sz w:val="24"/>
          <w:szCs w:val="24"/>
        </w:rPr>
        <w:t xml:space="preserve">В Съвета продължава обсъждането на </w:t>
      </w:r>
      <w:r>
        <w:rPr>
          <w:rFonts w:ascii="Times New Roman" w:hAnsi="Times New Roman" w:cs="Times New Roman"/>
          <w:noProof/>
          <w:sz w:val="24"/>
          <w:szCs w:val="24"/>
        </w:rPr>
        <w:t>стандартните оперативни процедури за доброволната схема за хуманитарно приемане в тясно сътрудничество с Комисията, Европейската служба за подкрепа в областта на убежището, ВКБООН и Международната организация по миграция. Коментарите на Турция относно стан</w:t>
      </w:r>
      <w:r>
        <w:rPr>
          <w:rFonts w:ascii="Times New Roman" w:hAnsi="Times New Roman" w:cs="Times New Roman"/>
          <w:noProof/>
          <w:sz w:val="24"/>
          <w:szCs w:val="24"/>
        </w:rPr>
        <w:t>дартните оперативни процедури, представени през юни, бяха обсъдени в Съвета и последва техническа среща в Анкара. Между държавите членки и Турция ще бъде извършен допълнителен обмен на информация за финализирането на стандартните оперативни процедури.</w:t>
      </w:r>
    </w:p>
    <w:p w:rsidR="00CD7822" w:rsidRDefault="00CD7822">
      <w:pPr>
        <w:spacing w:after="0" w:line="240" w:lineRule="auto"/>
        <w:jc w:val="both"/>
        <w:rPr>
          <w:rFonts w:ascii="Times New Roman" w:hAnsi="Times New Roman" w:cs="Times New Roman"/>
          <w:iCs/>
          <w:noProof/>
          <w:sz w:val="24"/>
          <w:szCs w:val="24"/>
        </w:rPr>
      </w:pPr>
    </w:p>
    <w:p w:rsidR="00CD7822" w:rsidRDefault="000A61B2">
      <w:pPr>
        <w:spacing w:after="0" w:line="240" w:lineRule="auto"/>
        <w:jc w:val="both"/>
        <w:rPr>
          <w:rFonts w:ascii="Times New Roman" w:hAnsi="Times New Roman" w:cs="Times New Roman"/>
          <w:iCs/>
          <w:noProof/>
          <w:sz w:val="24"/>
          <w:szCs w:val="24"/>
        </w:rPr>
      </w:pPr>
      <w:r>
        <w:rPr>
          <w:rFonts w:ascii="Times New Roman" w:hAnsi="Times New Roman" w:cs="Times New Roman"/>
          <w:noProof/>
          <w:sz w:val="24"/>
          <w:szCs w:val="24"/>
        </w:rPr>
        <w:t>Сле</w:t>
      </w:r>
      <w:r>
        <w:rPr>
          <w:rFonts w:ascii="Times New Roman" w:hAnsi="Times New Roman" w:cs="Times New Roman"/>
          <w:noProof/>
          <w:sz w:val="24"/>
          <w:szCs w:val="24"/>
        </w:rPr>
        <w:t xml:space="preserve">д като стандартните оперативни процедури бъдат договорени, следва да бъде преценено дали са изпълнени условията за задействане на схемата. В Изявлението на ЕС и Турция се посочва, че схемата ще бъде задействана след като спрат или поне значително и трайно </w:t>
      </w:r>
      <w:r>
        <w:rPr>
          <w:rFonts w:ascii="Times New Roman" w:hAnsi="Times New Roman" w:cs="Times New Roman"/>
          <w:noProof/>
          <w:sz w:val="24"/>
          <w:szCs w:val="24"/>
        </w:rPr>
        <w:t>намалеят незаконните преминавания между Турция и ЕС. Въвеждането на схемата ще насърчи изпълнението на Изявлението, като осигури на сирийските граждани безопасна и законна алтернатива на незаконната миграция в ЕС.</w:t>
      </w:r>
    </w:p>
    <w:p w:rsidR="00CD7822" w:rsidRDefault="00CD7822">
      <w:pPr>
        <w:spacing w:after="0" w:line="240" w:lineRule="auto"/>
        <w:ind w:left="360"/>
        <w:contextualSpacing/>
        <w:jc w:val="both"/>
        <w:rPr>
          <w:rFonts w:ascii="Times New Roman" w:hAnsi="Times New Roman" w:cs="Times New Roman"/>
          <w:b/>
          <w:noProof/>
          <w:sz w:val="24"/>
          <w:szCs w:val="24"/>
        </w:rPr>
      </w:pPr>
    </w:p>
    <w:p w:rsidR="00CD7822" w:rsidRDefault="000A61B2">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6.</w:t>
      </w:r>
      <w:r>
        <w:rPr>
          <w:rFonts w:ascii="Times New Roman" w:hAnsi="Times New Roman" w:cs="Times New Roman"/>
          <w:noProof/>
          <w:sz w:val="24"/>
          <w:szCs w:val="24"/>
        </w:rPr>
        <w:tab/>
      </w:r>
      <w:r>
        <w:rPr>
          <w:rFonts w:ascii="Times New Roman" w:hAnsi="Times New Roman" w:cs="Times New Roman"/>
          <w:b/>
          <w:noProof/>
          <w:sz w:val="24"/>
          <w:szCs w:val="24"/>
        </w:rPr>
        <w:t>Либерализиране на визовия режим</w:t>
      </w:r>
    </w:p>
    <w:p w:rsidR="00CD7822" w:rsidRDefault="00CD7822">
      <w:pPr>
        <w:spacing w:after="0" w:line="240" w:lineRule="auto"/>
        <w:jc w:val="both"/>
        <w:rPr>
          <w:rFonts w:ascii="Times New Roman" w:hAnsi="Times New Roman" w:cs="Times New Roman"/>
          <w:noProof/>
          <w:sz w:val="24"/>
          <w:szCs w:val="24"/>
          <w:highlight w:val="yellow"/>
          <w:u w:val="single"/>
        </w:rPr>
      </w:pP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Що се</w:t>
      </w:r>
      <w:r>
        <w:rPr>
          <w:rFonts w:ascii="Times New Roman" w:hAnsi="Times New Roman" w:cs="Times New Roman"/>
          <w:noProof/>
          <w:sz w:val="24"/>
          <w:szCs w:val="24"/>
        </w:rPr>
        <w:t xml:space="preserve"> отнася до изпълнението на пътната карта за либерализиране на визовия режим, във Втория доклад от 15 юни 2016 г. са описани седем целеви условия, които остава да бъдат изпълнени:</w:t>
      </w:r>
    </w:p>
    <w:p w:rsidR="00CD7822" w:rsidRDefault="00CD7822">
      <w:pPr>
        <w:spacing w:after="0" w:line="240" w:lineRule="auto"/>
        <w:jc w:val="both"/>
        <w:rPr>
          <w:rFonts w:ascii="Times New Roman" w:hAnsi="Times New Roman" w:cs="Times New Roman"/>
          <w:noProof/>
          <w:sz w:val="24"/>
          <w:szCs w:val="24"/>
        </w:rPr>
      </w:pPr>
    </w:p>
    <w:p w:rsidR="00CD7822" w:rsidRDefault="000A61B2">
      <w:pPr>
        <w:numPr>
          <w:ilvl w:val="0"/>
          <w:numId w:val="2"/>
        </w:num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издаване на </w:t>
      </w:r>
      <w:r>
        <w:rPr>
          <w:rFonts w:ascii="Times New Roman" w:hAnsi="Times New Roman" w:cs="Times New Roman"/>
          <w:i/>
          <w:noProof/>
          <w:sz w:val="24"/>
          <w:szCs w:val="24"/>
        </w:rPr>
        <w:t>биометрични документи за пътуване</w:t>
      </w:r>
      <w:r>
        <w:rPr>
          <w:rFonts w:ascii="Times New Roman" w:hAnsi="Times New Roman" w:cs="Times New Roman"/>
          <w:noProof/>
          <w:sz w:val="24"/>
          <w:szCs w:val="24"/>
        </w:rPr>
        <w:t>, изцяло съвместими със стандар</w:t>
      </w:r>
      <w:r>
        <w:rPr>
          <w:rFonts w:ascii="Times New Roman" w:hAnsi="Times New Roman" w:cs="Times New Roman"/>
          <w:noProof/>
          <w:sz w:val="24"/>
          <w:szCs w:val="24"/>
        </w:rPr>
        <w:t>тите на ЕС;</w:t>
      </w:r>
    </w:p>
    <w:p w:rsidR="00CD7822" w:rsidRDefault="000A61B2">
      <w:pPr>
        <w:numPr>
          <w:ilvl w:val="0"/>
          <w:numId w:val="2"/>
        </w:num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приемане на предвидената в пътната карта мярка за предотвратяване на </w:t>
      </w:r>
      <w:r>
        <w:rPr>
          <w:rFonts w:ascii="Times New Roman" w:hAnsi="Times New Roman" w:cs="Times New Roman"/>
          <w:i/>
          <w:noProof/>
          <w:sz w:val="24"/>
          <w:szCs w:val="24"/>
        </w:rPr>
        <w:t>корупцията</w:t>
      </w:r>
      <w:r>
        <w:rPr>
          <w:rFonts w:ascii="Times New Roman" w:hAnsi="Times New Roman" w:cs="Times New Roman"/>
          <w:noProof/>
          <w:sz w:val="24"/>
          <w:szCs w:val="24"/>
        </w:rPr>
        <w:t xml:space="preserve">; </w:t>
      </w:r>
    </w:p>
    <w:p w:rsidR="00CD7822" w:rsidRDefault="000A61B2">
      <w:pPr>
        <w:numPr>
          <w:ilvl w:val="0"/>
          <w:numId w:val="2"/>
        </w:num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сключване на </w:t>
      </w:r>
      <w:r>
        <w:rPr>
          <w:rFonts w:ascii="Times New Roman" w:hAnsi="Times New Roman" w:cs="Times New Roman"/>
          <w:i/>
          <w:noProof/>
          <w:sz w:val="24"/>
          <w:szCs w:val="24"/>
        </w:rPr>
        <w:t>споразумение за оперативно сътрудничество с Европол</w:t>
      </w:r>
      <w:r>
        <w:rPr>
          <w:rFonts w:ascii="Times New Roman" w:hAnsi="Times New Roman" w:cs="Times New Roman"/>
          <w:noProof/>
          <w:sz w:val="24"/>
          <w:szCs w:val="24"/>
        </w:rPr>
        <w:t>;</w:t>
      </w:r>
    </w:p>
    <w:p w:rsidR="00CD7822" w:rsidRDefault="000A61B2">
      <w:pPr>
        <w:numPr>
          <w:ilvl w:val="0"/>
          <w:numId w:val="2"/>
        </w:num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преразглеждане на законодателството и практиките </w:t>
      </w:r>
      <w:r>
        <w:rPr>
          <w:rFonts w:ascii="Times New Roman" w:hAnsi="Times New Roman" w:cs="Times New Roman"/>
          <w:i/>
          <w:noProof/>
          <w:sz w:val="24"/>
          <w:szCs w:val="24"/>
        </w:rPr>
        <w:t>за борба с тероризма</w:t>
      </w:r>
      <w:r>
        <w:rPr>
          <w:rFonts w:ascii="Times New Roman" w:hAnsi="Times New Roman" w:cs="Times New Roman"/>
          <w:noProof/>
          <w:sz w:val="24"/>
          <w:szCs w:val="24"/>
        </w:rPr>
        <w:t xml:space="preserve"> в съответствие с европейските стандарти;</w:t>
      </w:r>
    </w:p>
    <w:p w:rsidR="00CD7822" w:rsidRDefault="000A61B2">
      <w:pPr>
        <w:numPr>
          <w:ilvl w:val="0"/>
          <w:numId w:val="2"/>
        </w:num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привеждане на законодателството за </w:t>
      </w:r>
      <w:r>
        <w:rPr>
          <w:rFonts w:ascii="Times New Roman" w:hAnsi="Times New Roman" w:cs="Times New Roman"/>
          <w:i/>
          <w:noProof/>
          <w:sz w:val="24"/>
          <w:szCs w:val="24"/>
        </w:rPr>
        <w:t>защита на личните данни</w:t>
      </w:r>
      <w:r>
        <w:rPr>
          <w:rFonts w:ascii="Times New Roman" w:hAnsi="Times New Roman" w:cs="Times New Roman"/>
          <w:noProof/>
          <w:sz w:val="24"/>
          <w:szCs w:val="24"/>
        </w:rPr>
        <w:t xml:space="preserve"> в съответствие със стандартите на ЕС;</w:t>
      </w:r>
    </w:p>
    <w:p w:rsidR="00CD7822" w:rsidRDefault="000A61B2">
      <w:pPr>
        <w:numPr>
          <w:ilvl w:val="0"/>
          <w:numId w:val="2"/>
        </w:num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предлагане на ефективно</w:t>
      </w:r>
      <w:r>
        <w:rPr>
          <w:rFonts w:ascii="Times New Roman" w:hAnsi="Times New Roman" w:cs="Times New Roman"/>
          <w:i/>
          <w:noProof/>
          <w:sz w:val="24"/>
          <w:szCs w:val="24"/>
        </w:rPr>
        <w:t xml:space="preserve"> съдебно сътрудничество по наказателноправни въпроси</w:t>
      </w:r>
      <w:r>
        <w:rPr>
          <w:rFonts w:ascii="Times New Roman" w:hAnsi="Times New Roman" w:cs="Times New Roman"/>
          <w:noProof/>
          <w:sz w:val="24"/>
          <w:szCs w:val="24"/>
        </w:rPr>
        <w:t xml:space="preserve"> на всички държави — членки на ЕС.</w:t>
      </w:r>
    </w:p>
    <w:p w:rsidR="00CD7822" w:rsidRDefault="000A61B2">
      <w:pPr>
        <w:numPr>
          <w:ilvl w:val="0"/>
          <w:numId w:val="2"/>
        </w:num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изпълне</w:t>
      </w:r>
      <w:r>
        <w:rPr>
          <w:rFonts w:ascii="Times New Roman" w:hAnsi="Times New Roman" w:cs="Times New Roman"/>
          <w:noProof/>
          <w:sz w:val="24"/>
          <w:szCs w:val="24"/>
        </w:rPr>
        <w:t xml:space="preserve">ние на всички разпоредби на </w:t>
      </w:r>
      <w:r>
        <w:rPr>
          <w:rFonts w:ascii="Times New Roman" w:hAnsi="Times New Roman" w:cs="Times New Roman"/>
          <w:i/>
          <w:noProof/>
          <w:sz w:val="24"/>
          <w:szCs w:val="24"/>
        </w:rPr>
        <w:t>Споразумението за обратно приемане между ЕС и Турция</w:t>
      </w:r>
      <w:r>
        <w:rPr>
          <w:rFonts w:ascii="Times New Roman" w:hAnsi="Times New Roman" w:cs="Times New Roman"/>
          <w:noProof/>
          <w:sz w:val="24"/>
          <w:szCs w:val="24"/>
        </w:rPr>
        <w:t>.</w:t>
      </w:r>
    </w:p>
    <w:p w:rsidR="00CD7822" w:rsidRDefault="00CD7822">
      <w:pPr>
        <w:spacing w:after="0" w:line="240" w:lineRule="auto"/>
        <w:jc w:val="both"/>
        <w:rPr>
          <w:rFonts w:ascii="Times New Roman" w:hAnsi="Times New Roman" w:cs="Times New Roman"/>
          <w:noProof/>
          <w:sz w:val="24"/>
          <w:szCs w:val="24"/>
        </w:rPr>
      </w:pP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Комисията насърчава усилията на Турция да изпълни възможно най-скоро всички оставащи критерии от пътната карта за либерализиране на визовия режим</w:t>
      </w:r>
      <w:r>
        <w:rPr>
          <w:rFonts w:ascii="Times New Roman" w:hAnsi="Times New Roman" w:cs="Times New Roman"/>
          <w:noProof/>
          <w:sz w:val="24"/>
          <w:szCs w:val="24"/>
          <w:vertAlign w:val="superscript"/>
        </w:rPr>
        <w:footnoteReference w:id="19"/>
      </w:r>
      <w:r>
        <w:rPr>
          <w:rFonts w:ascii="Times New Roman" w:hAnsi="Times New Roman" w:cs="Times New Roman"/>
          <w:noProof/>
          <w:sz w:val="24"/>
          <w:szCs w:val="24"/>
        </w:rPr>
        <w:t>. Комисията и Турция продъл</w:t>
      </w:r>
      <w:r>
        <w:rPr>
          <w:rFonts w:ascii="Times New Roman" w:hAnsi="Times New Roman" w:cs="Times New Roman"/>
          <w:noProof/>
          <w:sz w:val="24"/>
          <w:szCs w:val="24"/>
        </w:rPr>
        <w:t xml:space="preserve">жават задълбочения диалог за намиране на решения, както и за определяне на законодателните и процедурните промени, необходими за изпълнението на всички оставащи критерии. </w:t>
      </w:r>
    </w:p>
    <w:p w:rsidR="00CD7822" w:rsidRDefault="00CD7822">
      <w:pPr>
        <w:spacing w:after="0" w:line="240" w:lineRule="auto"/>
        <w:jc w:val="both"/>
        <w:rPr>
          <w:rFonts w:ascii="Times New Roman" w:hAnsi="Times New Roman" w:cs="Times New Roman"/>
          <w:noProof/>
          <w:sz w:val="24"/>
          <w:szCs w:val="24"/>
        </w:rPr>
      </w:pP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Успоредно с това продължиха обсъжданията между съзаконодателите на предложението на</w:t>
      </w:r>
      <w:r>
        <w:rPr>
          <w:rFonts w:ascii="Times New Roman" w:hAnsi="Times New Roman" w:cs="Times New Roman"/>
          <w:noProof/>
          <w:sz w:val="24"/>
          <w:szCs w:val="24"/>
        </w:rPr>
        <w:t xml:space="preserve"> Комисията</w:t>
      </w:r>
      <w:r>
        <w:rPr>
          <w:rFonts w:ascii="Times New Roman" w:hAnsi="Times New Roman" w:cs="Times New Roman"/>
          <w:noProof/>
          <w:sz w:val="24"/>
          <w:szCs w:val="24"/>
          <w:vertAlign w:val="superscript"/>
        </w:rPr>
        <w:footnoteReference w:id="20"/>
      </w:r>
      <w:r>
        <w:rPr>
          <w:rFonts w:ascii="Times New Roman" w:hAnsi="Times New Roman" w:cs="Times New Roman"/>
          <w:noProof/>
          <w:sz w:val="24"/>
          <w:szCs w:val="24"/>
        </w:rPr>
        <w:t xml:space="preserve"> за укрепване на съществуващия механизъм за суспендиране, в който се посочват обстоятелствата, водещи до евентуално суспендиране на безвизовото пътуване на гражданите на всички държави, за които визовият режим е либерализиран.</w:t>
      </w:r>
    </w:p>
    <w:p w:rsidR="00CD7822" w:rsidRDefault="00CD7822">
      <w:pPr>
        <w:spacing w:after="0" w:line="240" w:lineRule="auto"/>
        <w:jc w:val="both"/>
        <w:rPr>
          <w:rFonts w:ascii="Times New Roman" w:hAnsi="Times New Roman" w:cs="Times New Roman"/>
          <w:noProof/>
          <w:color w:val="FF0000"/>
          <w:sz w:val="24"/>
          <w:szCs w:val="24"/>
        </w:rPr>
      </w:pPr>
    </w:p>
    <w:p w:rsidR="00CD7822" w:rsidRDefault="000A61B2">
      <w:pPr>
        <w:spacing w:after="0" w:line="240" w:lineRule="auto"/>
        <w:jc w:val="both"/>
        <w:rPr>
          <w:rFonts w:ascii="Times New Roman" w:eastAsia="Calibri" w:hAnsi="Times New Roman" w:cs="Times New Roman"/>
          <w:b/>
          <w:noProof/>
          <w:sz w:val="24"/>
          <w:szCs w:val="24"/>
        </w:rPr>
      </w:pPr>
      <w:r>
        <w:rPr>
          <w:rFonts w:ascii="Times New Roman" w:hAnsi="Times New Roman" w:cs="Times New Roman"/>
          <w:b/>
          <w:noProof/>
          <w:sz w:val="24"/>
          <w:szCs w:val="24"/>
        </w:rPr>
        <w:t>7.</w:t>
      </w:r>
      <w:r>
        <w:rPr>
          <w:rFonts w:ascii="Times New Roman" w:hAnsi="Times New Roman" w:cs="Times New Roman"/>
          <w:noProof/>
          <w:sz w:val="24"/>
          <w:szCs w:val="24"/>
        </w:rPr>
        <w:tab/>
      </w:r>
      <w:r>
        <w:rPr>
          <w:rFonts w:ascii="Times New Roman" w:hAnsi="Times New Roman" w:cs="Times New Roman"/>
          <w:b/>
          <w:noProof/>
          <w:sz w:val="24"/>
          <w:szCs w:val="24"/>
        </w:rPr>
        <w:t>Механизъм за б</w:t>
      </w:r>
      <w:r>
        <w:rPr>
          <w:rFonts w:ascii="Times New Roman" w:hAnsi="Times New Roman" w:cs="Times New Roman"/>
          <w:b/>
          <w:noProof/>
          <w:sz w:val="24"/>
          <w:szCs w:val="24"/>
        </w:rPr>
        <w:t>ежанците в Турция</w:t>
      </w:r>
    </w:p>
    <w:p w:rsidR="00CD7822" w:rsidRDefault="00CD7822">
      <w:pPr>
        <w:spacing w:after="0" w:line="240" w:lineRule="auto"/>
        <w:jc w:val="both"/>
        <w:rPr>
          <w:rFonts w:ascii="Times New Roman" w:hAnsi="Times New Roman" w:cs="Times New Roman"/>
          <w:noProof/>
          <w:sz w:val="24"/>
          <w:szCs w:val="24"/>
        </w:rPr>
      </w:pPr>
    </w:p>
    <w:p w:rsidR="00CD7822" w:rsidRDefault="000A61B2">
      <w:pPr>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След Втория доклад от 15 юни 2016 г. общата сума, отпусната по линия на Механизма както за хуманитарна, така и за нехуманитарна помощ, достигна 2,239 милиарда евро за периода 2016—2017 г.</w:t>
      </w:r>
      <w:r>
        <w:rPr>
          <w:rFonts w:ascii="Times New Roman" w:hAnsi="Times New Roman" w:cs="Times New Roman"/>
          <w:noProof/>
          <w:color w:val="000000"/>
          <w:sz w:val="24"/>
          <w:szCs w:val="24"/>
        </w:rPr>
        <w:t xml:space="preserve"> Това представлява голям процент от общата сума от</w:t>
      </w:r>
      <w:r>
        <w:rPr>
          <w:rFonts w:ascii="Times New Roman" w:hAnsi="Times New Roman" w:cs="Times New Roman"/>
          <w:noProof/>
          <w:color w:val="000000"/>
          <w:sz w:val="24"/>
          <w:szCs w:val="24"/>
        </w:rPr>
        <w:t xml:space="preserve"> 3 милиарда евро. </w:t>
      </w:r>
      <w:r>
        <w:rPr>
          <w:rFonts w:ascii="Times New Roman" w:hAnsi="Times New Roman" w:cs="Times New Roman"/>
          <w:noProof/>
          <w:sz w:val="24"/>
          <w:szCs w:val="24"/>
        </w:rPr>
        <w:t>Средствата в рамките на отпусната сума, за които са сключени договори, се увеличиха до 1,252 милиарда евро. Комисията полага всички усилия да ускори плащанията на средствата по линия на Механизма, за които са сключени договори, които дост</w:t>
      </w:r>
      <w:r>
        <w:rPr>
          <w:rFonts w:ascii="Times New Roman" w:hAnsi="Times New Roman" w:cs="Times New Roman"/>
          <w:noProof/>
          <w:sz w:val="24"/>
          <w:szCs w:val="24"/>
        </w:rPr>
        <w:t>игнаха сумата от 467 милиона евро.</w:t>
      </w:r>
      <w:r>
        <w:rPr>
          <w:rFonts w:ascii="Times New Roman" w:hAnsi="Times New Roman" w:cs="Times New Roman"/>
          <w:noProof/>
          <w:sz w:val="24"/>
          <w:szCs w:val="24"/>
          <w:vertAlign w:val="superscript"/>
        </w:rPr>
        <w:footnoteReference w:id="21"/>
      </w:r>
      <w:r>
        <w:rPr>
          <w:rFonts w:ascii="Times New Roman" w:hAnsi="Times New Roman" w:cs="Times New Roman"/>
          <w:noProof/>
          <w:sz w:val="24"/>
          <w:szCs w:val="24"/>
        </w:rPr>
        <w:t xml:space="preserve"> </w:t>
      </w:r>
    </w:p>
    <w:p w:rsidR="00CD7822" w:rsidRDefault="000A61B2">
      <w:pPr>
        <w:spacing w:before="100" w:beforeAutospacing="1" w:after="100" w:afterAutospacing="1"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След Втория доклад от 15 юни 2016 г. Комисията продължава усилията си за посрещане на най-критичните нужди на бежанците и приемните общности в Турция. </w:t>
      </w:r>
    </w:p>
    <w:p w:rsidR="00CD7822" w:rsidRDefault="000A61B2">
      <w:pPr>
        <w:spacing w:after="0" w:line="240" w:lineRule="auto"/>
        <w:contextualSpacing/>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По линия на </w:t>
      </w:r>
      <w:r>
        <w:rPr>
          <w:rFonts w:ascii="Times New Roman" w:hAnsi="Times New Roman" w:cs="Times New Roman"/>
          <w:i/>
          <w:noProof/>
          <w:sz w:val="24"/>
          <w:szCs w:val="24"/>
        </w:rPr>
        <w:t>пакета за хуманитарна помощ</w:t>
      </w:r>
      <w:r>
        <w:rPr>
          <w:rFonts w:ascii="Times New Roman" w:hAnsi="Times New Roman" w:cs="Times New Roman"/>
          <w:noProof/>
          <w:sz w:val="24"/>
          <w:szCs w:val="24"/>
          <w:vertAlign w:val="superscript"/>
        </w:rPr>
        <w:footnoteReference w:id="22"/>
      </w:r>
      <w:r>
        <w:rPr>
          <w:rFonts w:ascii="Times New Roman" w:hAnsi="Times New Roman" w:cs="Times New Roman"/>
          <w:noProof/>
          <w:sz w:val="24"/>
          <w:szCs w:val="24"/>
        </w:rPr>
        <w:t xml:space="preserve"> на Механизма до момента са отпуснати 595 милиона евро, от които 512 милиона евро представляват средства, за които са сключени договори. От тази сума са изплатени 407 милиона евро. През юни Комисията публикува план за изпълнение на хуманитарни дейности. Съ</w:t>
      </w:r>
      <w:r>
        <w:rPr>
          <w:rFonts w:ascii="Times New Roman" w:hAnsi="Times New Roman" w:cs="Times New Roman"/>
          <w:noProof/>
          <w:sz w:val="24"/>
          <w:szCs w:val="24"/>
        </w:rPr>
        <w:t xml:space="preserve">гласно този план, в допълнение към договорите на стойност 74 милиона, сключени до края на юли за разширяване на дейностите в областта на защитата, подготовката за зимата, здравеопазването и образованието, е сключен договор на стойност 348 милиона евро със </w:t>
      </w:r>
      <w:r>
        <w:rPr>
          <w:rFonts w:ascii="Times New Roman" w:hAnsi="Times New Roman" w:cs="Times New Roman"/>
          <w:noProof/>
          <w:sz w:val="24"/>
          <w:szCs w:val="24"/>
        </w:rPr>
        <w:t>Световната продоволствена програма, която ще работи в партньорство с турските организации за изпълнение на „Мрежата за социална закрила при извънредни обстоятелства“ — най-голямата досега хуманитарна програма на ЕС</w:t>
      </w:r>
      <w:r>
        <w:rPr>
          <w:rFonts w:ascii="Times New Roman" w:hAnsi="Times New Roman" w:cs="Times New Roman"/>
          <w:noProof/>
          <w:sz w:val="24"/>
          <w:szCs w:val="24"/>
          <w:vertAlign w:val="superscript"/>
        </w:rPr>
        <w:footnoteReference w:id="23"/>
      </w:r>
      <w:r>
        <w:rPr>
          <w:rFonts w:ascii="Times New Roman" w:hAnsi="Times New Roman" w:cs="Times New Roman"/>
          <w:noProof/>
          <w:sz w:val="24"/>
          <w:szCs w:val="24"/>
        </w:rPr>
        <w:t xml:space="preserve">. Чрез нея ще бъдат осигурени електронни </w:t>
      </w:r>
      <w:r>
        <w:rPr>
          <w:rFonts w:ascii="Times New Roman" w:hAnsi="Times New Roman" w:cs="Times New Roman"/>
          <w:noProof/>
          <w:sz w:val="24"/>
          <w:szCs w:val="24"/>
        </w:rPr>
        <w:t>карти, за да се даде възможност на близо един милион от най-уязвимите бежанци да посрещнат основните си нужди по отношение на храна, подслон и образование чрез предвидими ежемесечни допълнителни средства — система, която е разходноефективна и ефикасна, как</w:t>
      </w:r>
      <w:r>
        <w:rPr>
          <w:rFonts w:ascii="Times New Roman" w:hAnsi="Times New Roman" w:cs="Times New Roman"/>
          <w:noProof/>
          <w:sz w:val="24"/>
          <w:szCs w:val="24"/>
        </w:rPr>
        <w:t>то и по-достойна за засегнатите лица. Изпълнението на тази програма е ключов приоритет за следващите месеци в тази област заедно с подготовката за зимата, защитата и неформалното образование и здравеопазването.</w:t>
      </w:r>
    </w:p>
    <w:p w:rsidR="00CD7822" w:rsidRDefault="00CD7822">
      <w:pPr>
        <w:spacing w:after="0" w:line="240" w:lineRule="auto"/>
        <w:jc w:val="both"/>
        <w:rPr>
          <w:rFonts w:ascii="Times New Roman" w:eastAsia="Calibri" w:hAnsi="Times New Roman" w:cs="Times New Roman"/>
          <w:noProof/>
          <w:sz w:val="24"/>
          <w:szCs w:val="24"/>
        </w:rPr>
      </w:pPr>
    </w:p>
    <w:p w:rsidR="00CD7822" w:rsidRDefault="000A61B2">
      <w:pPr>
        <w:spacing w:after="0" w:line="240" w:lineRule="auto"/>
        <w:contextualSpacing/>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По линия на </w:t>
      </w:r>
      <w:r>
        <w:rPr>
          <w:rFonts w:ascii="Times New Roman" w:hAnsi="Times New Roman" w:cs="Times New Roman"/>
          <w:i/>
          <w:noProof/>
          <w:sz w:val="24"/>
          <w:szCs w:val="24"/>
        </w:rPr>
        <w:t>пакета за нехуманитарна помощ</w:t>
      </w:r>
      <w:r>
        <w:rPr>
          <w:rFonts w:ascii="Times New Roman" w:hAnsi="Times New Roman" w:cs="Times New Roman"/>
          <w:noProof/>
          <w:sz w:val="24"/>
          <w:szCs w:val="24"/>
        </w:rPr>
        <w:t xml:space="preserve"> Ко</w:t>
      </w:r>
      <w:r>
        <w:rPr>
          <w:rFonts w:ascii="Times New Roman" w:hAnsi="Times New Roman" w:cs="Times New Roman"/>
          <w:noProof/>
          <w:sz w:val="24"/>
          <w:szCs w:val="24"/>
        </w:rPr>
        <w:t>мисията прие през юли 2016 г. специална мярка за образование, здравеопазване, общинска инфраструктура и социално-икономическа подкрепа за бежанците в Турция, по линия на която се отпускат общо 1,415 милиарда евро. Два мащабни договора на обща стойност окол</w:t>
      </w:r>
      <w:r>
        <w:rPr>
          <w:rFonts w:ascii="Times New Roman" w:hAnsi="Times New Roman" w:cs="Times New Roman"/>
          <w:noProof/>
          <w:sz w:val="24"/>
          <w:szCs w:val="24"/>
        </w:rPr>
        <w:t>о 600 милиона евро бяха подписани с турското Министерство на здравеопазването и турското Министерство на националното образование</w:t>
      </w:r>
      <w:r>
        <w:rPr>
          <w:rFonts w:ascii="Times New Roman" w:hAnsi="Times New Roman" w:cs="Times New Roman"/>
          <w:noProof/>
          <w:sz w:val="24"/>
          <w:szCs w:val="24"/>
          <w:vertAlign w:val="superscript"/>
        </w:rPr>
        <w:footnoteReference w:id="24"/>
      </w:r>
      <w:r>
        <w:rPr>
          <w:rFonts w:ascii="Times New Roman" w:hAnsi="Times New Roman" w:cs="Times New Roman"/>
          <w:noProof/>
          <w:sz w:val="24"/>
          <w:szCs w:val="24"/>
        </w:rPr>
        <w:t>. Те ще осигурят на бежанците устойчив достъп до образование и здравеопазване. Тези договори идват след двата договора, подпис</w:t>
      </w:r>
      <w:r>
        <w:rPr>
          <w:rFonts w:ascii="Times New Roman" w:hAnsi="Times New Roman" w:cs="Times New Roman"/>
          <w:noProof/>
          <w:sz w:val="24"/>
          <w:szCs w:val="24"/>
        </w:rPr>
        <w:t>ани през август: пряко споразумение с турската Генерална дирекция „Управление на миграцията“ на стойност 60 милиона евро за подкрепа на мигрантите при връщането им от Гърция в Турция;</w:t>
      </w:r>
      <w:r>
        <w:rPr>
          <w:rFonts w:ascii="Times New Roman" w:hAnsi="Times New Roman" w:cs="Times New Roman"/>
          <w:noProof/>
          <w:sz w:val="24"/>
          <w:szCs w:val="24"/>
          <w:vertAlign w:val="superscript"/>
        </w:rPr>
        <w:footnoteReference w:id="25"/>
      </w:r>
      <w:r>
        <w:rPr>
          <w:rFonts w:ascii="Times New Roman" w:hAnsi="Times New Roman" w:cs="Times New Roman"/>
          <w:noProof/>
          <w:sz w:val="24"/>
          <w:szCs w:val="24"/>
        </w:rPr>
        <w:t xml:space="preserve"> и договорът с Международната организация по миграция на стойност 20 мил</w:t>
      </w:r>
      <w:r>
        <w:rPr>
          <w:rFonts w:ascii="Times New Roman" w:hAnsi="Times New Roman" w:cs="Times New Roman"/>
          <w:noProof/>
          <w:sz w:val="24"/>
          <w:szCs w:val="24"/>
        </w:rPr>
        <w:t>иона евро за развиване на капацитета на турската брегова охрана за издирвателно-спасителни операции (вж. по-горе). През следващите няколко месеца ще бъдат сключени договори за още проекти за помощ при изграждането на училища, болници и комунални услуги. Об</w:t>
      </w:r>
      <w:r>
        <w:rPr>
          <w:rFonts w:ascii="Times New Roman" w:hAnsi="Times New Roman" w:cs="Times New Roman"/>
          <w:noProof/>
          <w:sz w:val="24"/>
          <w:szCs w:val="24"/>
        </w:rPr>
        <w:t>що за нехуманитарна помощ са отпуснати около 1,6 милиарда евро, от които са сключени договори на стойност 740 милиона евро. От тези средства са изплатени 60 милиона евро, до края на октомври авансовите плащания по договорите за здравеопазване и образование</w:t>
      </w:r>
      <w:r>
        <w:rPr>
          <w:rFonts w:ascii="Times New Roman" w:hAnsi="Times New Roman" w:cs="Times New Roman"/>
          <w:noProof/>
          <w:sz w:val="24"/>
          <w:szCs w:val="24"/>
        </w:rPr>
        <w:t xml:space="preserve"> ще нараснат до 240 милиона евро</w:t>
      </w:r>
      <w:r>
        <w:rPr>
          <w:rFonts w:ascii="Times New Roman" w:hAnsi="Times New Roman" w:cs="Times New Roman"/>
          <w:noProof/>
          <w:sz w:val="24"/>
          <w:szCs w:val="24"/>
          <w:vertAlign w:val="superscript"/>
        </w:rPr>
        <w:footnoteReference w:id="26"/>
      </w:r>
      <w:r>
        <w:rPr>
          <w:rFonts w:ascii="Times New Roman" w:hAnsi="Times New Roman" w:cs="Times New Roman"/>
          <w:noProof/>
          <w:sz w:val="24"/>
          <w:szCs w:val="24"/>
        </w:rPr>
        <w:t>. Следващите стъпки ще включват подготовка за сключване на редица споразумения за делегиране с международни финансови институции с цел подкрепа на общинската и социалната инфраструктура, както и проекти „отдолу нагоре“ по л</w:t>
      </w:r>
      <w:r>
        <w:rPr>
          <w:rFonts w:ascii="Times New Roman" w:hAnsi="Times New Roman" w:cs="Times New Roman"/>
          <w:noProof/>
          <w:sz w:val="24"/>
          <w:szCs w:val="24"/>
        </w:rPr>
        <w:t>иния на Регионалния доверителен фонд на ЕС в отговор на кризата в Сирия в нови области, като например подобряване на достъпа на бежанците до висше образование, професионално обучение и пазара на труда.</w:t>
      </w:r>
    </w:p>
    <w:p w:rsidR="00CD7822" w:rsidRDefault="00CD7822">
      <w:pPr>
        <w:spacing w:after="0" w:line="240" w:lineRule="auto"/>
        <w:jc w:val="both"/>
        <w:rPr>
          <w:rFonts w:ascii="Times New Roman" w:eastAsia="Calibri" w:hAnsi="Times New Roman" w:cs="Times New Roman"/>
          <w:b/>
          <w:noProof/>
          <w:sz w:val="24"/>
          <w:szCs w:val="24"/>
        </w:rPr>
      </w:pPr>
    </w:p>
    <w:p w:rsidR="00CD7822" w:rsidRDefault="00CD7822">
      <w:pPr>
        <w:spacing w:after="0" w:line="240" w:lineRule="auto"/>
        <w:jc w:val="both"/>
        <w:rPr>
          <w:rFonts w:ascii="Times New Roman" w:hAnsi="Times New Roman" w:cs="Times New Roman"/>
          <w:noProof/>
          <w:sz w:val="24"/>
          <w:szCs w:val="24"/>
        </w:rPr>
      </w:pPr>
    </w:p>
    <w:tbl>
      <w:tblPr>
        <w:tblStyle w:val="TableGrid1"/>
        <w:tblW w:w="0" w:type="auto"/>
        <w:tblLook w:val="04A0" w:firstRow="1" w:lastRow="0" w:firstColumn="1" w:lastColumn="0" w:noHBand="0" w:noVBand="1"/>
      </w:tblPr>
      <w:tblGrid>
        <w:gridCol w:w="9286"/>
      </w:tblGrid>
      <w:tr w:rsidR="00CD7822">
        <w:tc>
          <w:tcPr>
            <w:tcW w:w="9286" w:type="dxa"/>
          </w:tcPr>
          <w:p w:rsidR="00CD7822" w:rsidRDefault="000A61B2">
            <w:pPr>
              <w:spacing w:after="200" w:line="276" w:lineRule="auto"/>
              <w:jc w:val="both"/>
              <w:rPr>
                <w:rFonts w:ascii="Times New Roman" w:hAnsi="Times New Roman" w:cs="Times New Roman"/>
                <w:b/>
                <w:i/>
                <w:noProof/>
                <w:sz w:val="24"/>
                <w:szCs w:val="24"/>
              </w:rPr>
            </w:pPr>
            <w:r>
              <w:rPr>
                <w:rFonts w:ascii="Times New Roman" w:hAnsi="Times New Roman" w:cs="Times New Roman"/>
                <w:b/>
                <w:i/>
                <w:noProof/>
                <w:sz w:val="24"/>
                <w:szCs w:val="24"/>
              </w:rPr>
              <w:t>Основни предизвикателства и следващи стъпки</w:t>
            </w:r>
          </w:p>
          <w:p w:rsidR="00CD7822" w:rsidRDefault="000A61B2">
            <w:pPr>
              <w:pStyle w:val="ListParagraph"/>
              <w:numPr>
                <w:ilvl w:val="0"/>
                <w:numId w:val="8"/>
              </w:numPr>
              <w:ind w:left="426" w:hanging="426"/>
              <w:jc w:val="both"/>
              <w:rPr>
                <w:rFonts w:ascii="Times New Roman" w:hAnsi="Times New Roman" w:cs="Times New Roman"/>
                <w:noProof/>
                <w:sz w:val="24"/>
                <w:szCs w:val="24"/>
              </w:rPr>
            </w:pPr>
            <w:r>
              <w:rPr>
                <w:rFonts w:ascii="Times New Roman" w:hAnsi="Times New Roman" w:cs="Times New Roman"/>
                <w:noProof/>
                <w:sz w:val="24"/>
                <w:szCs w:val="24"/>
              </w:rPr>
              <w:t>Осигуряв</w:t>
            </w:r>
            <w:r>
              <w:rPr>
                <w:rFonts w:ascii="Times New Roman" w:hAnsi="Times New Roman" w:cs="Times New Roman"/>
                <w:noProof/>
                <w:sz w:val="24"/>
                <w:szCs w:val="24"/>
              </w:rPr>
              <w:t>ане на бързо обработване на всички целеви програми;</w:t>
            </w:r>
          </w:p>
          <w:p w:rsidR="00CD7822" w:rsidRDefault="000A61B2">
            <w:pPr>
              <w:pStyle w:val="ListParagraph"/>
              <w:numPr>
                <w:ilvl w:val="0"/>
                <w:numId w:val="8"/>
              </w:numPr>
              <w:ind w:left="426" w:hanging="426"/>
              <w:jc w:val="both"/>
              <w:rPr>
                <w:rFonts w:ascii="Times New Roman" w:hAnsi="Times New Roman" w:cs="Times New Roman"/>
                <w:noProof/>
                <w:sz w:val="24"/>
                <w:szCs w:val="24"/>
              </w:rPr>
            </w:pPr>
            <w:r>
              <w:rPr>
                <w:rFonts w:ascii="Times New Roman" w:hAnsi="Times New Roman" w:cs="Times New Roman"/>
                <w:noProof/>
                <w:sz w:val="24"/>
                <w:szCs w:val="24"/>
              </w:rPr>
              <w:t>Осигуряване на ефективното им и финансово стабилно изпълнение в пълно сътрудничество с турските органи.</w:t>
            </w:r>
          </w:p>
          <w:p w:rsidR="00CD7822" w:rsidRDefault="00CD7822">
            <w:pPr>
              <w:jc w:val="both"/>
              <w:rPr>
                <w:rFonts w:ascii="Times New Roman" w:hAnsi="Times New Roman" w:cs="Times New Roman"/>
                <w:noProof/>
                <w:sz w:val="24"/>
                <w:szCs w:val="24"/>
              </w:rPr>
            </w:pPr>
          </w:p>
        </w:tc>
      </w:tr>
    </w:tbl>
    <w:p w:rsidR="00CD7822" w:rsidRDefault="00CD7822">
      <w:pPr>
        <w:spacing w:after="0" w:line="240" w:lineRule="auto"/>
        <w:jc w:val="both"/>
        <w:rPr>
          <w:rFonts w:ascii="Times New Roman" w:hAnsi="Times New Roman" w:cs="Times New Roman"/>
          <w:noProof/>
          <w:sz w:val="24"/>
          <w:szCs w:val="24"/>
          <w:u w:val="single"/>
        </w:rPr>
      </w:pPr>
    </w:p>
    <w:p w:rsidR="00CD7822" w:rsidRDefault="00CD7822">
      <w:pPr>
        <w:spacing w:after="0" w:line="240" w:lineRule="auto"/>
        <w:jc w:val="both"/>
        <w:rPr>
          <w:rFonts w:ascii="Times New Roman" w:eastAsia="Calibri" w:hAnsi="Times New Roman" w:cs="Times New Roman"/>
          <w:b/>
          <w:noProof/>
          <w:sz w:val="24"/>
          <w:szCs w:val="24"/>
        </w:rPr>
      </w:pPr>
    </w:p>
    <w:p w:rsidR="00CD7822" w:rsidRDefault="000A61B2">
      <w:pPr>
        <w:spacing w:after="0" w:line="240" w:lineRule="auto"/>
        <w:contextualSpacing/>
        <w:jc w:val="both"/>
        <w:rPr>
          <w:rFonts w:ascii="Times New Roman" w:eastAsia="Calibri" w:hAnsi="Times New Roman" w:cs="Times New Roman"/>
          <w:b/>
          <w:noProof/>
          <w:sz w:val="24"/>
          <w:szCs w:val="24"/>
        </w:rPr>
      </w:pPr>
      <w:r>
        <w:rPr>
          <w:rFonts w:ascii="Times New Roman" w:hAnsi="Times New Roman" w:cs="Times New Roman"/>
          <w:b/>
          <w:noProof/>
          <w:sz w:val="24"/>
          <w:szCs w:val="24"/>
        </w:rPr>
        <w:t>8.</w:t>
      </w:r>
      <w:r>
        <w:rPr>
          <w:rFonts w:ascii="Times New Roman" w:hAnsi="Times New Roman" w:cs="Times New Roman"/>
          <w:noProof/>
          <w:sz w:val="24"/>
          <w:szCs w:val="24"/>
        </w:rPr>
        <w:tab/>
      </w:r>
      <w:r>
        <w:rPr>
          <w:rFonts w:ascii="Times New Roman" w:hAnsi="Times New Roman" w:cs="Times New Roman"/>
          <w:b/>
          <w:noProof/>
          <w:sz w:val="24"/>
          <w:szCs w:val="24"/>
        </w:rPr>
        <w:t>Усъвършенстване на митническия съюз</w:t>
      </w:r>
    </w:p>
    <w:p w:rsidR="00CD7822" w:rsidRDefault="00CD7822">
      <w:pPr>
        <w:spacing w:after="0" w:line="240" w:lineRule="auto"/>
        <w:jc w:val="both"/>
        <w:rPr>
          <w:rFonts w:ascii="Times New Roman" w:eastAsia="Calibri" w:hAnsi="Times New Roman" w:cs="Times New Roman"/>
          <w:noProof/>
          <w:sz w:val="24"/>
          <w:szCs w:val="24"/>
        </w:rPr>
      </w:pPr>
    </w:p>
    <w:p w:rsidR="00CD7822" w:rsidRDefault="000A61B2">
      <w:pPr>
        <w:spacing w:after="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Митническият съюз между ЕС и Турция представлява </w:t>
      </w:r>
      <w:r>
        <w:rPr>
          <w:rFonts w:ascii="Times New Roman" w:hAnsi="Times New Roman" w:cs="Times New Roman"/>
          <w:noProof/>
          <w:sz w:val="24"/>
          <w:szCs w:val="24"/>
        </w:rPr>
        <w:t xml:space="preserve">крайъгълният камък, на който се основават тесните икономически и търговски отношения, позволили на Турция да се издигне до петия основен търговски партньор на ЕС в света, а на ЕС да е основният търговски партньор на Турция. При все това по време на първия </w:t>
      </w:r>
      <w:r>
        <w:rPr>
          <w:rFonts w:ascii="Times New Roman" w:hAnsi="Times New Roman" w:cs="Times New Roman"/>
          <w:noProof/>
          <w:sz w:val="24"/>
          <w:szCs w:val="24"/>
        </w:rPr>
        <w:t>икономически диалог на високо равнище между ЕС и Турция през месец април беше подчертана възможността за допълнително задълбочаване, за да бъде оползотворен неизползваният потенциал в двустранните преференциални търговски отношения и за подобряване на функ</w:t>
      </w:r>
      <w:r>
        <w:rPr>
          <w:rFonts w:ascii="Times New Roman" w:hAnsi="Times New Roman" w:cs="Times New Roman"/>
          <w:noProof/>
          <w:sz w:val="24"/>
          <w:szCs w:val="24"/>
        </w:rPr>
        <w:t>ционирането на митническия съюз. Подготвителната работа за подготовка на преговорите за модернизиране и разширяване на митническия съюз отбелязва добър напредък. По време на неотдавнашната обществена консултация беше изразена силна подкрепа за осъвременява</w:t>
      </w:r>
      <w:r>
        <w:rPr>
          <w:rFonts w:ascii="Times New Roman" w:hAnsi="Times New Roman" w:cs="Times New Roman"/>
          <w:noProof/>
          <w:sz w:val="24"/>
          <w:szCs w:val="24"/>
        </w:rPr>
        <w:t>не на митническия съюз и подобряване на функционирането му</w:t>
      </w:r>
      <w:r>
        <w:rPr>
          <w:rFonts w:ascii="Times New Roman" w:hAnsi="Times New Roman" w:cs="Times New Roman"/>
          <w:noProof/>
          <w:sz w:val="24"/>
          <w:szCs w:val="24"/>
          <w:vertAlign w:val="superscript"/>
        </w:rPr>
        <w:footnoteReference w:id="27"/>
      </w:r>
      <w:r>
        <w:rPr>
          <w:rFonts w:ascii="Times New Roman" w:hAnsi="Times New Roman" w:cs="Times New Roman"/>
          <w:noProof/>
          <w:sz w:val="24"/>
          <w:szCs w:val="24"/>
        </w:rPr>
        <w:t>, резултатите от която ще бъдат включени в оценка на въздействието, правеща преглед на бъдещите възможностите с оглед на евентуален проект на директива за водене на преговори, която да бъде предста</w:t>
      </w:r>
      <w:r>
        <w:rPr>
          <w:rFonts w:ascii="Times New Roman" w:hAnsi="Times New Roman" w:cs="Times New Roman"/>
          <w:noProof/>
          <w:sz w:val="24"/>
          <w:szCs w:val="24"/>
        </w:rPr>
        <w:t>вена от Комисията до края на 2016 г.</w:t>
      </w:r>
    </w:p>
    <w:p w:rsidR="00CD7822" w:rsidRDefault="00CD7822">
      <w:pPr>
        <w:spacing w:after="0" w:line="240" w:lineRule="auto"/>
        <w:jc w:val="both"/>
        <w:rPr>
          <w:rFonts w:ascii="Times New Roman" w:eastAsia="Calibri" w:hAnsi="Times New Roman" w:cs="Times New Roman"/>
          <w:b/>
          <w:noProof/>
          <w:sz w:val="24"/>
          <w:szCs w:val="24"/>
        </w:rPr>
      </w:pPr>
    </w:p>
    <w:p w:rsidR="00CD7822" w:rsidRDefault="000A61B2">
      <w:pPr>
        <w:spacing w:after="0" w:line="240" w:lineRule="auto"/>
        <w:jc w:val="both"/>
        <w:rPr>
          <w:rFonts w:ascii="Times New Roman" w:eastAsia="Calibri" w:hAnsi="Times New Roman" w:cs="Times New Roman"/>
          <w:b/>
          <w:noProof/>
          <w:sz w:val="24"/>
          <w:szCs w:val="24"/>
        </w:rPr>
      </w:pPr>
      <w:r>
        <w:rPr>
          <w:rFonts w:ascii="Times New Roman" w:hAnsi="Times New Roman" w:cs="Times New Roman"/>
          <w:b/>
          <w:noProof/>
          <w:sz w:val="24"/>
          <w:szCs w:val="24"/>
        </w:rPr>
        <w:t>9.</w:t>
      </w:r>
      <w:r>
        <w:rPr>
          <w:rFonts w:ascii="Times New Roman" w:hAnsi="Times New Roman" w:cs="Times New Roman"/>
          <w:noProof/>
          <w:sz w:val="24"/>
          <w:szCs w:val="24"/>
        </w:rPr>
        <w:tab/>
      </w:r>
      <w:r>
        <w:rPr>
          <w:rFonts w:ascii="Times New Roman" w:hAnsi="Times New Roman" w:cs="Times New Roman"/>
          <w:b/>
          <w:noProof/>
          <w:sz w:val="24"/>
          <w:szCs w:val="24"/>
        </w:rPr>
        <w:t>Процес на присъединяване</w:t>
      </w:r>
    </w:p>
    <w:p w:rsidR="00CD7822" w:rsidRDefault="00CD7822">
      <w:pPr>
        <w:spacing w:after="0" w:line="240" w:lineRule="auto"/>
        <w:jc w:val="both"/>
        <w:rPr>
          <w:rFonts w:ascii="Times New Roman" w:hAnsi="Times New Roman" w:cs="Times New Roman"/>
          <w:noProof/>
          <w:sz w:val="24"/>
          <w:szCs w:val="24"/>
        </w:rPr>
      </w:pP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Преговорите за присъединяване по</w:t>
      </w:r>
      <w:r>
        <w:rPr>
          <w:rFonts w:ascii="Times New Roman" w:hAnsi="Times New Roman" w:cs="Times New Roman"/>
          <w:i/>
          <w:noProof/>
          <w:sz w:val="24"/>
          <w:szCs w:val="24"/>
        </w:rPr>
        <w:t xml:space="preserve"> глава 33 (Финансови и бюджетни разпоредби)</w:t>
      </w:r>
      <w:r>
        <w:rPr>
          <w:rFonts w:ascii="Times New Roman" w:hAnsi="Times New Roman" w:cs="Times New Roman"/>
          <w:noProof/>
          <w:sz w:val="24"/>
          <w:szCs w:val="24"/>
        </w:rPr>
        <w:t xml:space="preserve"> започнаха на 30 юни в съответствие с Изявлението на ЕС и Турция. Подготвителната работа продължава с цел постиган</w:t>
      </w:r>
      <w:r>
        <w:rPr>
          <w:rFonts w:ascii="Times New Roman" w:hAnsi="Times New Roman" w:cs="Times New Roman"/>
          <w:noProof/>
          <w:sz w:val="24"/>
          <w:szCs w:val="24"/>
        </w:rPr>
        <w:t>е на напредък по пет други глави, без да се засягат позициите на държавите членки в съответствие с действащите разпоредби.</w:t>
      </w:r>
    </w:p>
    <w:p w:rsidR="00CD7822" w:rsidRDefault="00CD7822">
      <w:pPr>
        <w:spacing w:after="0" w:line="240" w:lineRule="auto"/>
        <w:jc w:val="both"/>
        <w:rPr>
          <w:rFonts w:ascii="Times New Roman" w:hAnsi="Times New Roman" w:cs="Times New Roman"/>
          <w:noProof/>
          <w:sz w:val="24"/>
          <w:szCs w:val="24"/>
        </w:rPr>
      </w:pP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 основните области </w:t>
      </w:r>
      <w:r>
        <w:rPr>
          <w:rFonts w:ascii="Times New Roman" w:hAnsi="Times New Roman" w:cs="Times New Roman"/>
          <w:i/>
          <w:noProof/>
          <w:sz w:val="24"/>
          <w:szCs w:val="24"/>
        </w:rPr>
        <w:t xml:space="preserve">„Съдебна власт и основни права“ </w:t>
      </w:r>
      <w:r>
        <w:rPr>
          <w:rFonts w:ascii="Times New Roman" w:hAnsi="Times New Roman" w:cs="Times New Roman"/>
          <w:noProof/>
          <w:sz w:val="24"/>
          <w:szCs w:val="24"/>
        </w:rPr>
        <w:t>и</w:t>
      </w:r>
      <w:r>
        <w:rPr>
          <w:rFonts w:ascii="Times New Roman" w:hAnsi="Times New Roman" w:cs="Times New Roman"/>
          <w:i/>
          <w:noProof/>
          <w:sz w:val="24"/>
          <w:szCs w:val="24"/>
        </w:rPr>
        <w:t xml:space="preserve"> „Правосъдие, свобода и сигурност“ (глави 23 и 24)</w:t>
      </w:r>
      <w:r>
        <w:rPr>
          <w:rFonts w:ascii="Times New Roman" w:hAnsi="Times New Roman" w:cs="Times New Roman"/>
          <w:noProof/>
          <w:sz w:val="24"/>
          <w:szCs w:val="24"/>
        </w:rPr>
        <w:t xml:space="preserve"> Комисията актуализира докуме</w:t>
      </w:r>
      <w:r>
        <w:rPr>
          <w:rFonts w:ascii="Times New Roman" w:hAnsi="Times New Roman" w:cs="Times New Roman"/>
          <w:noProof/>
          <w:sz w:val="24"/>
          <w:szCs w:val="24"/>
        </w:rPr>
        <w:t>нтите с цел да бъдат отразени последните развития. Тези глави обхващат редица важни въпроси, включително основни права като свободата на словото, съдебната система, политиката за борба с корупцията, миграцията и убежището, визовите правила, управлението на</w:t>
      </w:r>
      <w:r>
        <w:rPr>
          <w:rFonts w:ascii="Times New Roman" w:hAnsi="Times New Roman" w:cs="Times New Roman"/>
          <w:noProof/>
          <w:sz w:val="24"/>
          <w:szCs w:val="24"/>
        </w:rPr>
        <w:t xml:space="preserve"> границите, полицейското сътрудничество и борбата срещу организираната престъпност и тероризма. ЕС очаква от Турция да спазва най-високите стандарти по отношение на демокрацията, върховенството на закона и зачитането на основните свободи, включително свобо</w:t>
      </w:r>
      <w:r>
        <w:rPr>
          <w:rFonts w:ascii="Times New Roman" w:hAnsi="Times New Roman" w:cs="Times New Roman"/>
          <w:noProof/>
          <w:sz w:val="24"/>
          <w:szCs w:val="24"/>
        </w:rPr>
        <w:t>дата на изразяване на мнение. Комисията ще следи развитията и ще ги разгледа подробно в предстоящия доклад за Турция, който ще бъде издаден през ноември като част от пакета за разширяването.</w:t>
      </w:r>
    </w:p>
    <w:p w:rsidR="00CD7822" w:rsidRDefault="00CD7822">
      <w:pPr>
        <w:spacing w:after="0" w:line="240" w:lineRule="auto"/>
        <w:jc w:val="both"/>
        <w:rPr>
          <w:rFonts w:ascii="Times New Roman" w:hAnsi="Times New Roman" w:cs="Times New Roman"/>
          <w:noProof/>
          <w:sz w:val="24"/>
          <w:szCs w:val="24"/>
        </w:rPr>
      </w:pP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Това надгражда подготвителната работа, предприета от Комисията и</w:t>
      </w:r>
      <w:r>
        <w:rPr>
          <w:rFonts w:ascii="Times New Roman" w:hAnsi="Times New Roman" w:cs="Times New Roman"/>
          <w:noProof/>
          <w:sz w:val="24"/>
          <w:szCs w:val="24"/>
        </w:rPr>
        <w:t xml:space="preserve"> Европейската служба за външна дейност в областта на </w:t>
      </w:r>
      <w:r>
        <w:rPr>
          <w:rFonts w:ascii="Times New Roman" w:hAnsi="Times New Roman" w:cs="Times New Roman"/>
          <w:i/>
          <w:noProof/>
          <w:sz w:val="24"/>
          <w:szCs w:val="24"/>
        </w:rPr>
        <w:t xml:space="preserve">енергетиката (глава 15), образованието и културата (глава 26) </w:t>
      </w:r>
      <w:r>
        <w:rPr>
          <w:rFonts w:ascii="Times New Roman" w:hAnsi="Times New Roman" w:cs="Times New Roman"/>
          <w:noProof/>
          <w:sz w:val="24"/>
          <w:szCs w:val="24"/>
        </w:rPr>
        <w:t>и</w:t>
      </w:r>
      <w:r>
        <w:rPr>
          <w:rFonts w:ascii="Times New Roman" w:hAnsi="Times New Roman" w:cs="Times New Roman"/>
          <w:i/>
          <w:noProof/>
          <w:sz w:val="24"/>
          <w:szCs w:val="24"/>
        </w:rPr>
        <w:t xml:space="preserve"> външната политика и политиката на сигурност и отбрана (глава 31)</w:t>
      </w:r>
      <w:r>
        <w:rPr>
          <w:rFonts w:ascii="Times New Roman" w:hAnsi="Times New Roman" w:cs="Times New Roman"/>
          <w:noProof/>
          <w:sz w:val="24"/>
          <w:szCs w:val="24"/>
        </w:rPr>
        <w:t xml:space="preserve">. </w:t>
      </w:r>
    </w:p>
    <w:p w:rsidR="00CD7822" w:rsidRDefault="00CD7822">
      <w:pPr>
        <w:spacing w:after="0" w:line="240" w:lineRule="auto"/>
        <w:ind w:left="720"/>
        <w:contextualSpacing/>
        <w:jc w:val="both"/>
        <w:rPr>
          <w:rFonts w:ascii="Times New Roman" w:hAnsi="Times New Roman" w:cs="Times New Roman"/>
          <w:noProof/>
          <w:sz w:val="24"/>
          <w:szCs w:val="24"/>
          <w:highlight w:val="yellow"/>
        </w:rPr>
      </w:pPr>
    </w:p>
    <w:p w:rsidR="00CD7822" w:rsidRDefault="000A61B2">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10.</w:t>
      </w:r>
      <w:r>
        <w:rPr>
          <w:rFonts w:ascii="Times New Roman" w:hAnsi="Times New Roman" w:cs="Times New Roman"/>
          <w:noProof/>
          <w:sz w:val="24"/>
          <w:szCs w:val="24"/>
        </w:rPr>
        <w:tab/>
      </w:r>
      <w:r>
        <w:rPr>
          <w:rFonts w:ascii="Times New Roman" w:hAnsi="Times New Roman" w:cs="Times New Roman"/>
          <w:b/>
          <w:noProof/>
          <w:sz w:val="24"/>
          <w:szCs w:val="24"/>
        </w:rPr>
        <w:t>Хуманитарни условия в Сирия</w:t>
      </w:r>
    </w:p>
    <w:p w:rsidR="00CD7822" w:rsidRDefault="00CD7822">
      <w:pPr>
        <w:spacing w:after="0" w:line="240" w:lineRule="auto"/>
        <w:jc w:val="both"/>
        <w:rPr>
          <w:rFonts w:ascii="Times New Roman" w:hAnsi="Times New Roman" w:cs="Times New Roman"/>
          <w:noProof/>
          <w:sz w:val="24"/>
          <w:szCs w:val="24"/>
        </w:rPr>
      </w:pP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Хуманитарното положение в Сирия продъл</w:t>
      </w:r>
      <w:r>
        <w:rPr>
          <w:rFonts w:ascii="Times New Roman" w:hAnsi="Times New Roman" w:cs="Times New Roman"/>
          <w:noProof/>
          <w:sz w:val="24"/>
          <w:szCs w:val="24"/>
        </w:rPr>
        <w:t>жава да бъде бедствено. По данни на ООН 4,8 милиона сирийски граждани са напуснали страната, а 6,1 милиона са вътрешно разселени, като приблизително 13,5 милиона души се нуждаят от помощ в Сирия днес. От този брой около 5,5 милиона души се намират в трудно</w:t>
      </w:r>
      <w:r>
        <w:rPr>
          <w:rFonts w:ascii="Times New Roman" w:hAnsi="Times New Roman" w:cs="Times New Roman"/>
          <w:noProof/>
          <w:sz w:val="24"/>
          <w:szCs w:val="24"/>
        </w:rPr>
        <w:t xml:space="preserve">достъпни области, а повече от половин милион — в области, които са в момента под обсада, включително в източната част на Алепо. Задоволяването на хуманитарните нужди на тези хора зависи в голяма степен от съвместната работа на ЕС и Турция и предоставянето </w:t>
      </w:r>
      <w:r>
        <w:rPr>
          <w:rFonts w:ascii="Times New Roman" w:hAnsi="Times New Roman" w:cs="Times New Roman"/>
          <w:noProof/>
          <w:sz w:val="24"/>
          <w:szCs w:val="24"/>
        </w:rPr>
        <w:t xml:space="preserve">на трансгранична помощ от съседни държави като Турция и Йордания. </w:t>
      </w:r>
    </w:p>
    <w:p w:rsidR="00CD7822" w:rsidRDefault="00CD7822">
      <w:pPr>
        <w:spacing w:after="0" w:line="240" w:lineRule="auto"/>
        <w:jc w:val="both"/>
        <w:rPr>
          <w:rFonts w:ascii="Times New Roman" w:hAnsi="Times New Roman" w:cs="Times New Roman"/>
          <w:noProof/>
          <w:sz w:val="24"/>
          <w:szCs w:val="24"/>
        </w:rPr>
      </w:pP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ЕС е особено активен в предоставянето на трансгранична помощ от Турция в Северна Сирия: през 2015 г. повече от 43 милиона евро са отделени за трансгранични операции от Турция към обсаденит</w:t>
      </w:r>
      <w:r>
        <w:rPr>
          <w:rFonts w:ascii="Times New Roman" w:hAnsi="Times New Roman" w:cs="Times New Roman"/>
          <w:noProof/>
          <w:sz w:val="24"/>
          <w:szCs w:val="24"/>
        </w:rPr>
        <w:t>е и труднодостъпните области. През 2016 г. бяха отделени допълнителни 140 милиона евро за животоспасяващи дейности в Сирия, осъществявани от партньорски организации в сектори като здравеопазване, защита, образование и първа помощ, с акцент върху най-уязвим</w:t>
      </w:r>
      <w:r>
        <w:rPr>
          <w:rFonts w:ascii="Times New Roman" w:hAnsi="Times New Roman" w:cs="Times New Roman"/>
          <w:noProof/>
          <w:sz w:val="24"/>
          <w:szCs w:val="24"/>
        </w:rPr>
        <w:t xml:space="preserve">ите области. Комисията финансира система за спешно реагиране в извънредни ситуации, която позволява на партньорите бързо да мобилизират предварително разположени запаси за предоставяне на помощ в области, станали отново достъпни, или в отговор на внезапно </w:t>
      </w:r>
      <w:r>
        <w:rPr>
          <w:rFonts w:ascii="Times New Roman" w:hAnsi="Times New Roman" w:cs="Times New Roman"/>
          <w:noProof/>
          <w:sz w:val="24"/>
          <w:szCs w:val="24"/>
        </w:rPr>
        <w:t>разселване на населението, включително чрез конвои за доставка на помощ.</w:t>
      </w:r>
    </w:p>
    <w:p w:rsidR="00CD7822" w:rsidRDefault="00CD7822">
      <w:pPr>
        <w:spacing w:after="0" w:line="240" w:lineRule="auto"/>
        <w:jc w:val="both"/>
        <w:rPr>
          <w:rFonts w:ascii="Times New Roman" w:hAnsi="Times New Roman" w:cs="Times New Roman"/>
          <w:noProof/>
          <w:sz w:val="24"/>
          <w:szCs w:val="24"/>
        </w:rPr>
      </w:pP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Неотдавнашните събития показаха категорично, че надеждите за трайно примирие в Сирия остават слаби и че хуманитарният достъп продължава да бъде затруднен и спорадичен въпреки факта, </w:t>
      </w:r>
      <w:r>
        <w:rPr>
          <w:rFonts w:ascii="Times New Roman" w:hAnsi="Times New Roman" w:cs="Times New Roman"/>
          <w:noProof/>
          <w:sz w:val="24"/>
          <w:szCs w:val="24"/>
        </w:rPr>
        <w:t>че безопасният достъп обикновено е гарантиран като част от септемврийския план за междуведомствените конвои, одобрен от правителството на Сирия. Което е още по-лошо, прякото нападение на хуманитарния конвой на ООН/Сирийския Червен кръст близо до Алепо на 1</w:t>
      </w:r>
      <w:r>
        <w:rPr>
          <w:rFonts w:ascii="Times New Roman" w:hAnsi="Times New Roman" w:cs="Times New Roman"/>
          <w:noProof/>
          <w:sz w:val="24"/>
          <w:szCs w:val="24"/>
        </w:rPr>
        <w:t>9 септември, в грубо нарушение на международното хуманитарно право, представлява недопустим прецедент и застрашава безопасната доставка на хуманитарна помощ на други места. ЕС и Турция ще продължат да работят заедно, за да гарантират, че се осигурява незаб</w:t>
      </w:r>
      <w:r>
        <w:rPr>
          <w:rFonts w:ascii="Times New Roman" w:hAnsi="Times New Roman" w:cs="Times New Roman"/>
          <w:noProof/>
          <w:sz w:val="24"/>
          <w:szCs w:val="24"/>
        </w:rPr>
        <w:t>авен достъп по всички възможни маршрути.</w:t>
      </w:r>
    </w:p>
    <w:p w:rsidR="00CD7822" w:rsidRDefault="00CD7822">
      <w:pPr>
        <w:spacing w:after="0" w:line="240" w:lineRule="auto"/>
        <w:jc w:val="both"/>
        <w:rPr>
          <w:rFonts w:ascii="Times New Roman" w:hAnsi="Times New Roman" w:cs="Times New Roman"/>
          <w:noProof/>
          <w:sz w:val="24"/>
          <w:szCs w:val="24"/>
        </w:rPr>
      </w:pPr>
    </w:p>
    <w:p w:rsidR="00CD7822" w:rsidRDefault="000A61B2">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11. </w:t>
      </w:r>
      <w:r>
        <w:rPr>
          <w:rFonts w:ascii="Times New Roman" w:hAnsi="Times New Roman" w:cs="Times New Roman"/>
          <w:noProof/>
          <w:sz w:val="24"/>
          <w:szCs w:val="24"/>
        </w:rPr>
        <w:tab/>
      </w:r>
      <w:r>
        <w:rPr>
          <w:rFonts w:ascii="Times New Roman" w:hAnsi="Times New Roman" w:cs="Times New Roman"/>
          <w:b/>
          <w:noProof/>
          <w:sz w:val="24"/>
          <w:szCs w:val="24"/>
        </w:rPr>
        <w:t>Заключение</w:t>
      </w:r>
    </w:p>
    <w:p w:rsidR="00CD7822" w:rsidRDefault="00CD7822">
      <w:pPr>
        <w:spacing w:after="0"/>
        <w:rPr>
          <w:rFonts w:ascii="Times New Roman" w:hAnsi="Times New Roman" w:cs="Times New Roman"/>
          <w:noProof/>
          <w:sz w:val="24"/>
          <w:szCs w:val="24"/>
        </w:rPr>
      </w:pP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Въпреки трудните обстоятелства изпълнението на Изявлението на ЕС и Турция продължава да се задълбочава и ускорява. Намаляването на опитите за преминаване на Егейско море и на смъртните случай по море след Изявлението на ЕС и Турция потвърди основната страт</w:t>
      </w:r>
      <w:r>
        <w:rPr>
          <w:rFonts w:ascii="Times New Roman" w:hAnsi="Times New Roman" w:cs="Times New Roman"/>
          <w:noProof/>
          <w:sz w:val="24"/>
          <w:szCs w:val="24"/>
        </w:rPr>
        <w:t xml:space="preserve">егия, залегнала в решението на ЕС и Турция да подпишат Изявлението. </w:t>
      </w:r>
    </w:p>
    <w:p w:rsidR="00CD7822" w:rsidRDefault="00CD7822">
      <w:pPr>
        <w:spacing w:after="0" w:line="240" w:lineRule="auto"/>
        <w:jc w:val="both"/>
        <w:rPr>
          <w:rFonts w:ascii="Times New Roman" w:hAnsi="Times New Roman" w:cs="Times New Roman"/>
          <w:noProof/>
          <w:sz w:val="24"/>
          <w:szCs w:val="24"/>
        </w:rPr>
      </w:pP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Напредък е постигнат и по други елементи. Органите в Турция и в държавите членки успешно въведоха система, която осигурява стабилен темп на презаселване от Турция на сирийски граждани. П</w:t>
      </w:r>
      <w:r>
        <w:rPr>
          <w:rFonts w:ascii="Times New Roman" w:hAnsi="Times New Roman" w:cs="Times New Roman"/>
          <w:noProof/>
          <w:sz w:val="24"/>
          <w:szCs w:val="24"/>
        </w:rPr>
        <w:t>о-голямата част от средствата по Механизма за бежанците в Турция, възлизащи на 3 милиарда евро, е отпусната, като за значителна част от тези средства вече са сключени договори и са вече изплатени. Вече е установена системата за изпълнение на правилата, уре</w:t>
      </w:r>
      <w:r>
        <w:rPr>
          <w:rFonts w:ascii="Times New Roman" w:hAnsi="Times New Roman" w:cs="Times New Roman"/>
          <w:noProof/>
          <w:sz w:val="24"/>
          <w:szCs w:val="24"/>
        </w:rPr>
        <w:t>ждащи връщането на незаконни мигранти и търсещите убежище лица от Гърция в Турция, въпреки че в началото времето, необходимо за приключване на процедурите за убежище и обжалванията, водеше до значително забавяне на връщането на онези лица, чиито молби са н</w:t>
      </w:r>
      <w:r>
        <w:rPr>
          <w:rFonts w:ascii="Times New Roman" w:hAnsi="Times New Roman" w:cs="Times New Roman"/>
          <w:noProof/>
          <w:sz w:val="24"/>
          <w:szCs w:val="24"/>
        </w:rPr>
        <w:t xml:space="preserve">едопустими или неоснователни. </w:t>
      </w:r>
    </w:p>
    <w:p w:rsidR="00CD7822" w:rsidRDefault="00CD7822">
      <w:pPr>
        <w:spacing w:after="0" w:line="240" w:lineRule="auto"/>
        <w:rPr>
          <w:rFonts w:ascii="Times New Roman" w:hAnsi="Times New Roman" w:cs="Times New Roman"/>
          <w:noProof/>
          <w:sz w:val="24"/>
          <w:szCs w:val="24"/>
        </w:rPr>
      </w:pPr>
    </w:p>
    <w:p w:rsidR="00CD7822" w:rsidRDefault="000A61B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При все това хуманитарното положение в Сирия и трудните условия, пред които са изправени мигрантите на гръцките острови са постоянно напомняне за това колко е важно Изявлението да се прилага, неговото изпълнение да бъде </w:t>
      </w:r>
      <w:r>
        <w:rPr>
          <w:rFonts w:ascii="Times New Roman" w:hAnsi="Times New Roman" w:cs="Times New Roman"/>
          <w:noProof/>
          <w:sz w:val="24"/>
          <w:szCs w:val="24"/>
        </w:rPr>
        <w:t>ускорено и да се осигури постигането на резултати. Поради това е изключително важно:</w:t>
      </w:r>
    </w:p>
    <w:p w:rsidR="00CD7822" w:rsidRDefault="00CD7822">
      <w:pPr>
        <w:spacing w:after="0" w:line="240" w:lineRule="auto"/>
        <w:jc w:val="both"/>
        <w:rPr>
          <w:rFonts w:ascii="Times New Roman" w:hAnsi="Times New Roman" w:cs="Times New Roman"/>
          <w:noProof/>
          <w:sz w:val="24"/>
          <w:szCs w:val="24"/>
        </w:rPr>
      </w:pPr>
    </w:p>
    <w:p w:rsidR="00CD7822" w:rsidRDefault="000A61B2">
      <w:pPr>
        <w:numPr>
          <w:ilvl w:val="0"/>
          <w:numId w:val="6"/>
        </w:num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да се осигурят незабавно ресурси, за да се гарантира ефективното обработване на молбите за убежище на гръцките острови, държавите членки да отговорят в пълна степен на пр</w:t>
      </w:r>
      <w:r>
        <w:rPr>
          <w:rFonts w:ascii="Times New Roman" w:hAnsi="Times New Roman" w:cs="Times New Roman"/>
          <w:noProof/>
          <w:sz w:val="24"/>
          <w:szCs w:val="24"/>
        </w:rPr>
        <w:t>изивите на Европейската служба за подкрепа в областта на убежището нейната работа да бъде подпомогната на първа инстанция, а гръцките органи да гарантират, че апелативните комитети могат да работят бързо, както и да се ускори темпа на връщане;</w:t>
      </w:r>
    </w:p>
    <w:p w:rsidR="00CD7822" w:rsidRDefault="000A61B2">
      <w:pPr>
        <w:numPr>
          <w:ilvl w:val="0"/>
          <w:numId w:val="6"/>
        </w:num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да се запази</w:t>
      </w:r>
      <w:r>
        <w:rPr>
          <w:rFonts w:ascii="Times New Roman" w:hAnsi="Times New Roman" w:cs="Times New Roman"/>
          <w:noProof/>
          <w:sz w:val="24"/>
          <w:szCs w:val="24"/>
        </w:rPr>
        <w:t xml:space="preserve"> бързият темп на сключване на договори по линия на Механизма за бежанците в Турция и изпълнението на проектите за подкрепа на бежанците на място; </w:t>
      </w:r>
    </w:p>
    <w:p w:rsidR="00CD7822" w:rsidRDefault="000A61B2">
      <w:pPr>
        <w:numPr>
          <w:ilvl w:val="0"/>
          <w:numId w:val="6"/>
        </w:num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Турция да предприеме необходимите мерки за изпълнение във възможно най-кратък срок на оставащите критерии за </w:t>
      </w:r>
      <w:r>
        <w:rPr>
          <w:rFonts w:ascii="Times New Roman" w:hAnsi="Times New Roman" w:cs="Times New Roman"/>
          <w:noProof/>
          <w:sz w:val="24"/>
          <w:szCs w:val="24"/>
        </w:rPr>
        <w:t xml:space="preserve">либерализиране на визовия режим, за да може ЕС да отмени изискванията за визи за турски граждани. </w:t>
      </w:r>
    </w:p>
    <w:p w:rsidR="00CD7822" w:rsidRDefault="00CD7822">
      <w:pPr>
        <w:spacing w:after="0" w:line="240" w:lineRule="auto"/>
        <w:ind w:left="360"/>
        <w:contextualSpacing/>
        <w:jc w:val="both"/>
        <w:rPr>
          <w:rFonts w:ascii="Times New Roman" w:hAnsi="Times New Roman" w:cs="Times New Roman"/>
          <w:noProof/>
          <w:sz w:val="24"/>
          <w:szCs w:val="24"/>
        </w:rPr>
      </w:pPr>
    </w:p>
    <w:p w:rsidR="00CD7822" w:rsidRDefault="000A61B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Комисията ще продължи да насърчава работата по тези точки и ще представи четвъртия си доклад относно постигнатия напредък през декември 2016 г.  </w:t>
      </w:r>
    </w:p>
    <w:sectPr w:rsidR="00CD7822">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822" w:rsidRDefault="000A61B2">
      <w:pPr>
        <w:spacing w:after="0" w:line="240" w:lineRule="auto"/>
      </w:pPr>
      <w:r>
        <w:separator/>
      </w:r>
    </w:p>
  </w:endnote>
  <w:endnote w:type="continuationSeparator" w:id="0">
    <w:p w:rsidR="00CD7822" w:rsidRDefault="000A6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EC Square Sans Pro">
    <w:altName w:val="Segoe UI"/>
    <w:panose1 w:val="020B0506040000020004"/>
    <w:charset w:val="00"/>
    <w:family w:val="swiss"/>
    <w:pitch w:val="variable"/>
    <w:sig w:usb0="A00002BF" w:usb1="5000E0F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822" w:rsidRDefault="00CD78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822" w:rsidRDefault="000A61B2">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822" w:rsidRDefault="00CD7822">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822" w:rsidRDefault="00CD782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618934"/>
      <w:docPartObj>
        <w:docPartGallery w:val="Page Numbers (Bottom of Page)"/>
        <w:docPartUnique/>
      </w:docPartObj>
    </w:sdtPr>
    <w:sdtEndPr>
      <w:rPr>
        <w:noProof/>
      </w:rPr>
    </w:sdtEndPr>
    <w:sdtContent>
      <w:p w:rsidR="00CD7822" w:rsidRDefault="000A61B2">
        <w:pPr>
          <w:pStyle w:val="Footer"/>
          <w:jc w:val="center"/>
        </w:pPr>
        <w:r>
          <w:fldChar w:fldCharType="begin"/>
        </w:r>
        <w:r>
          <w:instrText xml:space="preserve"> PAGE  </w:instrText>
        </w:r>
        <w:r>
          <w:instrText xml:space="preserve"> \* MERGEFORMAT </w:instrText>
        </w:r>
        <w:r>
          <w:fldChar w:fldCharType="separate"/>
        </w:r>
        <w:r>
          <w:rPr>
            <w:noProof/>
          </w:rPr>
          <w:t>2</w:t>
        </w:r>
        <w:r>
          <w:rPr>
            <w:noProof/>
          </w:rPr>
          <w:fldChar w:fldCharType="end"/>
        </w:r>
      </w:p>
    </w:sdtContent>
  </w:sdt>
  <w:p w:rsidR="00CD7822" w:rsidRDefault="00CD782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822" w:rsidRDefault="00CD78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822" w:rsidRDefault="000A61B2">
      <w:pPr>
        <w:spacing w:after="0" w:line="240" w:lineRule="auto"/>
      </w:pPr>
      <w:r>
        <w:separator/>
      </w:r>
    </w:p>
  </w:footnote>
  <w:footnote w:type="continuationSeparator" w:id="0">
    <w:p w:rsidR="00CD7822" w:rsidRDefault="000A61B2">
      <w:pPr>
        <w:spacing w:after="0" w:line="240" w:lineRule="auto"/>
      </w:pPr>
      <w:r>
        <w:continuationSeparator/>
      </w:r>
    </w:p>
  </w:footnote>
  <w:footnote w:id="1">
    <w:p w:rsidR="00CD7822" w:rsidRDefault="000A61B2">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231 final, 20 април 2016 г. („първият доклад“) и COM(2016) 349 final, 15 юни 2016 г. („вторият доклад“).</w:t>
      </w:r>
    </w:p>
  </w:footnote>
  <w:footnote w:id="2">
    <w:p w:rsidR="00CD7822" w:rsidRDefault="000A61B2">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http://www.consilium.europa.eu/en/press/press-releases/2016/03/07-eu-turkey-meeting-statement/</w:t>
      </w:r>
    </w:p>
  </w:footnote>
  <w:footnote w:id="3">
    <w:p w:rsidR="00CD7822" w:rsidRDefault="000A61B2">
      <w:pPr>
        <w:pStyle w:val="FootnoteText"/>
        <w:ind w:left="426" w:hanging="426"/>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Данни, </w:t>
      </w:r>
      <w:r>
        <w:rPr>
          <w:rFonts w:ascii="Times New Roman" w:hAnsi="Times New Roman"/>
        </w:rPr>
        <w:t>получени от Frontex, за периода от 1 юни до 22 септември.</w:t>
      </w:r>
    </w:p>
  </w:footnote>
  <w:footnote w:id="4">
    <w:p w:rsidR="00CD7822" w:rsidRDefault="000A61B2">
      <w:pPr>
        <w:pStyle w:val="FootnoteText"/>
        <w:ind w:left="426" w:hanging="426"/>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Отговорностите включват снемане на пръстови отпечатъци и регистрация, разпитване, скрийнинг, устен превод, проверка на документите на първоначален и на напреднал етап, наблюдение на границите </w:t>
      </w:r>
      <w:r>
        <w:rPr>
          <w:rFonts w:ascii="Times New Roman" w:hAnsi="Times New Roman"/>
        </w:rPr>
        <w:t>(патрулни обиколки по земя), служители по сигурността и служители на Frontex за подпомагане, които се намират в горещите точки на Лесбос, Хиос, Самос, Лерос и Кос, както и експерти по обратното приемане и служители за придружаване, които се намират на Лесб</w:t>
      </w:r>
      <w:r>
        <w:rPr>
          <w:rFonts w:ascii="Times New Roman" w:hAnsi="Times New Roman"/>
        </w:rPr>
        <w:t>ос и Хиос.</w:t>
      </w:r>
    </w:p>
  </w:footnote>
  <w:footnote w:id="5">
    <w:p w:rsidR="00CD7822" w:rsidRDefault="000A61B2">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За септември, както и за октомври 2016 г., все още са необходими общо 17 експерти по обратното приемане/полицейски служители за придружаване. За всеки от месеците ноември и декември 2016 г. все още са необходими 80 експерти по обратното прием</w:t>
      </w:r>
      <w:r>
        <w:rPr>
          <w:rFonts w:ascii="Times New Roman" w:hAnsi="Times New Roman"/>
        </w:rPr>
        <w:t xml:space="preserve">ане/полицейски служители за придружаване.  </w:t>
      </w:r>
    </w:p>
  </w:footnote>
  <w:footnote w:id="6">
    <w:p w:rsidR="00CD7822" w:rsidRDefault="000A61B2">
      <w:pPr>
        <w:spacing w:after="0" w:line="240" w:lineRule="auto"/>
        <w:ind w:left="426" w:hanging="426"/>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cs="Times New Roman"/>
          <w:noProof/>
          <w:sz w:val="20"/>
          <w:szCs w:val="20"/>
        </w:rPr>
        <w:t>Общо 1</w:t>
      </w:r>
      <w:r>
        <w:rPr>
          <w:rFonts w:ascii="Times New Roman" w:hAnsi="Times New Roman" w:cs="Times New Roman"/>
          <w:sz w:val="20"/>
          <w:szCs w:val="20"/>
        </w:rPr>
        <w:t> 600 незаконни мигранти са били върнати от Гърция в Турция през 2016 г., от които 70 лица са били върнати на 26 септември от остров Лесбос.</w:t>
      </w:r>
    </w:p>
  </w:footnote>
  <w:footnote w:id="7">
    <w:p w:rsidR="00CD7822" w:rsidRDefault="000A61B2">
      <w:pPr>
        <w:pStyle w:val="FootnoteText"/>
        <w:ind w:left="426" w:hanging="426"/>
        <w:jc w:val="both"/>
        <w:rPr>
          <w:rFonts w:ascii="Times New Roman" w:hAnsi="Times New Roman" w:cs="Times New Roman"/>
          <w:noProof/>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noProof/>
        </w:rPr>
        <w:t>Всеки нов апелативен комитет се състои от трима членове: два</w:t>
      </w:r>
      <w:r>
        <w:rPr>
          <w:rFonts w:ascii="Times New Roman" w:hAnsi="Times New Roman" w:cs="Times New Roman"/>
          <w:noProof/>
        </w:rPr>
        <w:t>ма съдии от административния съд и един гръцки гражданин с професионален опит в правни, политически, хуманитарни или социални науки и съответния стаж (предложен от ВКБООН или Националния комитет за правата на човека).</w:t>
      </w:r>
    </w:p>
  </w:footnote>
  <w:footnote w:id="8">
    <w:p w:rsidR="00CD7822" w:rsidRDefault="000A61B2">
      <w:pPr>
        <w:pStyle w:val="FootnoteText"/>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Към 18 септември.</w:t>
      </w:r>
    </w:p>
  </w:footnote>
  <w:footnote w:id="9">
    <w:p w:rsidR="00CD7822" w:rsidRDefault="000A61B2">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Поне три от те</w:t>
      </w:r>
      <w:r>
        <w:rPr>
          <w:rFonts w:ascii="Times New Roman" w:hAnsi="Times New Roman" w:cs="Times New Roman"/>
        </w:rPr>
        <w:t>зи решения са били обжалвани пред Гръцкия административен съд.</w:t>
      </w:r>
    </w:p>
  </w:footnote>
  <w:footnote w:id="10">
    <w:p w:rsidR="00CD7822" w:rsidRDefault="000A61B2">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В които се потвърждават първоинстанционните решения за недопустимост.</w:t>
      </w:r>
    </w:p>
  </w:footnote>
  <w:footnote w:id="11">
    <w:p w:rsidR="00CD7822" w:rsidRDefault="000A61B2">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В които се потвърждават отрицателните първоинстанционни решения по 31 случая и се отменя решението по един случай.</w:t>
      </w:r>
    </w:p>
  </w:footnote>
  <w:footnote w:id="12">
    <w:p w:rsidR="00CD7822" w:rsidRDefault="000A61B2">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Като се има предвид, че всички мерки за депортиране, обратно приемане или връщане на кандидати временно се преустановяват по закон между подаването на жалба срещу първоинстанционно решение и уведомлението за второинстанционно решение, жалбата пред Гръцкия</w:t>
      </w:r>
      <w:r>
        <w:rPr>
          <w:rFonts w:ascii="Times New Roman" w:hAnsi="Times New Roman" w:cs="Times New Roman"/>
        </w:rPr>
        <w:t xml:space="preserve"> административен съд няма автоматичен суспендиращ ефект.</w:t>
      </w:r>
    </w:p>
  </w:footnote>
  <w:footnote w:id="13">
    <w:p w:rsidR="00CD7822" w:rsidRDefault="000A61B2">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 xml:space="preserve">Сирийците представляваха 54 % от предварително регистрираните търсещи убежище лица, афганистанците — 27 % и иракчаните — 13 %. </w:t>
      </w:r>
    </w:p>
  </w:footnote>
  <w:footnote w:id="14">
    <w:p w:rsidR="00CD7822" w:rsidRDefault="000A61B2">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Това финансиране от ЕС подкрепя например проекти в областта на ст</w:t>
      </w:r>
      <w:r>
        <w:rPr>
          <w:rFonts w:ascii="Times New Roman" w:hAnsi="Times New Roman" w:cs="Times New Roman"/>
        </w:rPr>
        <w:t>роителството, подслона и здравните грижи с партньори, включително Министерство на вътрешните работи и административната реформа, Министерство на отбраната и Министерство на здравеопазването.</w:t>
      </w:r>
    </w:p>
  </w:footnote>
  <w:footnote w:id="15">
    <w:p w:rsidR="00CD7822" w:rsidRDefault="000A61B2">
      <w:pPr>
        <w:pStyle w:val="FootnoteText"/>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В настоящия трети доклад са обхванати лицата, презаселени межд</w:t>
      </w:r>
      <w:r>
        <w:rPr>
          <w:rFonts w:ascii="Times New Roman" w:hAnsi="Times New Roman" w:cs="Times New Roman"/>
        </w:rPr>
        <w:t>у 14 юни и 26 септември 2016 г.</w:t>
      </w:r>
    </w:p>
  </w:footnote>
  <w:footnote w:id="16">
    <w:p w:rsidR="00CD7822" w:rsidRDefault="000A61B2">
      <w:pPr>
        <w:pStyle w:val="FootnoteText"/>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Люксембург участваше в предишния период на докладване.</w:t>
      </w:r>
    </w:p>
  </w:footnote>
  <w:footnote w:id="17">
    <w:p w:rsidR="00CD7822" w:rsidRDefault="000A61B2">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СОМ(2016) 171 final </w:t>
      </w:r>
    </w:p>
  </w:footnote>
  <w:footnote w:id="18">
    <w:p w:rsidR="00CD7822" w:rsidRDefault="000A61B2">
      <w:pPr>
        <w:pStyle w:val="FootnoteText"/>
        <w:ind w:left="426" w:hanging="426"/>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Предвижда се предложението да бъде прието по време на Съвета по конкурентоспособност на 29 септември.</w:t>
      </w:r>
    </w:p>
  </w:footnote>
  <w:footnote w:id="19">
    <w:p w:rsidR="00CD7822" w:rsidRDefault="000A61B2">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noProof/>
        </w:rPr>
        <w:t xml:space="preserve">По-специално на срещите на високо </w:t>
      </w:r>
      <w:r>
        <w:rPr>
          <w:rFonts w:ascii="Times New Roman" w:hAnsi="Times New Roman" w:cs="Times New Roman"/>
          <w:noProof/>
        </w:rPr>
        <w:t>равнище, включително на 30 юни с първия заметник-председател Тимерманс, на 1 септември с комисар Аврамопулос и на 9 септември като част от Политическия диалог на високо равнище между ЕС и Турция, воден от върховния представител на Съюза по въпросите на вън</w:t>
      </w:r>
      <w:r>
        <w:rPr>
          <w:rFonts w:ascii="Times New Roman" w:hAnsi="Times New Roman" w:cs="Times New Roman"/>
          <w:noProof/>
        </w:rPr>
        <w:t>шните работи и политиката на сигурност/заместник-председател</w:t>
      </w:r>
      <w:r>
        <w:rPr>
          <w:rFonts w:ascii="Times New Roman" w:hAnsi="Times New Roman" w:cs="Times New Roman"/>
        </w:rPr>
        <w:t>я г-жа Могерини и комисар Хан.</w:t>
      </w:r>
    </w:p>
  </w:footnote>
  <w:footnote w:id="20">
    <w:p w:rsidR="00CD7822" w:rsidRDefault="000A61B2">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СОМ(2016) 279 final от 4 май 2016 г.  </w:t>
      </w:r>
    </w:p>
  </w:footnote>
  <w:footnote w:id="21">
    <w:p w:rsidR="00CD7822" w:rsidRDefault="000A61B2">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Като част от дейностите за осигуряване на видимост на Механизма е изготвена интерактивна карта, която позволява визуализ</w:t>
      </w:r>
      <w:r>
        <w:rPr>
          <w:rFonts w:ascii="Times New Roman" w:hAnsi="Times New Roman" w:cs="Times New Roman"/>
        </w:rPr>
        <w:t>ация на местоположението и очакваните резултати от различните</w:t>
      </w:r>
      <w:r>
        <w:rPr>
          <w:rFonts w:ascii="Times New Roman" w:hAnsi="Times New Roman"/>
        </w:rPr>
        <w:t xml:space="preserve"> проекти: </w:t>
      </w:r>
      <w:hyperlink r:id="rId1">
        <w:r>
          <w:rPr>
            <w:rStyle w:val="Hyperlink"/>
            <w:rFonts w:ascii="Times New Roman" w:hAnsi="Times New Roman"/>
          </w:rPr>
          <w:t>http://ec.europa.eu/enlargement/news_corner/migration/index_en.htm</w:t>
        </w:r>
      </w:hyperlink>
      <w:r>
        <w:rPr>
          <w:rStyle w:val="Hyperlink"/>
          <w:rFonts w:ascii="Times New Roman" w:hAnsi="Times New Roman"/>
        </w:rPr>
        <w:t>.</w:t>
      </w:r>
      <w:r>
        <w:t xml:space="preserve"> </w:t>
      </w:r>
      <w:r>
        <w:rPr>
          <w:rFonts w:ascii="Times New Roman" w:hAnsi="Times New Roman"/>
        </w:rPr>
        <w:t xml:space="preserve"> </w:t>
      </w:r>
    </w:p>
  </w:footnote>
  <w:footnote w:id="22">
    <w:p w:rsidR="00CD7822" w:rsidRDefault="000A61B2">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Предоставянето на хуманита</w:t>
      </w:r>
      <w:r>
        <w:rPr>
          <w:rFonts w:ascii="Times New Roman" w:hAnsi="Times New Roman"/>
        </w:rPr>
        <w:t>рна помощ по Механизма продължава да се извършва в съответствие със законодателството на ЕС в областта на хуманитарната помощ и принципите, залегнали в Европейския консенсус относно хуманитарната помощ.</w:t>
      </w:r>
    </w:p>
  </w:footnote>
  <w:footnote w:id="23">
    <w:p w:rsidR="00CD7822" w:rsidRDefault="000A61B2">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Вж. </w:t>
      </w:r>
      <w:hyperlink r:id="rId2">
        <w:r>
          <w:rPr>
            <w:rStyle w:val="Hyperlink"/>
            <w:rFonts w:ascii="Times New Roman" w:hAnsi="Times New Roman"/>
          </w:rPr>
          <w:t>http://europa.eu/rapid/press-release_IP-16-2971_en.htm</w:t>
        </w:r>
      </w:hyperlink>
      <w:r>
        <w:rPr>
          <w:rFonts w:ascii="Times New Roman" w:hAnsi="Times New Roman"/>
        </w:rPr>
        <w:t>.</w:t>
      </w:r>
    </w:p>
  </w:footnote>
  <w:footnote w:id="24">
    <w:p w:rsidR="00CD7822" w:rsidRDefault="000A61B2">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Чрез Механизма ще бъдат подкрепени оперативните разходи, като се възстановяват единствено реално извършените разходи въз основа на доказателствата, представени като част</w:t>
      </w:r>
      <w:r>
        <w:rPr>
          <w:rFonts w:ascii="Times New Roman" w:hAnsi="Times New Roman"/>
        </w:rPr>
        <w:t xml:space="preserve"> от утвърдена одитна пътека. Всички договори с турските органи са съвместими с правилата и разпоредбите на ЕС и не включват поверяване на турските органи на отговорности за изпълнението на бюджета; Комисията ще продължи да носи </w:t>
      </w:r>
      <w:r>
        <w:t>бюджетна отговорност по врем</w:t>
      </w:r>
      <w:r>
        <w:t xml:space="preserve">е на целия процес.    </w:t>
      </w:r>
    </w:p>
  </w:footnote>
  <w:footnote w:id="25">
    <w:p w:rsidR="00CD7822" w:rsidRDefault="000A61B2">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Което обхваща направените след 4 април разходи за предоставянето на храна, здравни грижи и настаняване. </w:t>
      </w:r>
    </w:p>
  </w:footnote>
  <w:footnote w:id="26">
    <w:p w:rsidR="00CD7822" w:rsidRDefault="000A61B2">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За подробен преглед на финансираните проекти:</w:t>
      </w:r>
      <w:r>
        <w:rPr>
          <w:rFonts w:ascii="Times New Roman" w:hAnsi="Times New Roman"/>
        </w:rPr>
        <w:tab/>
      </w:r>
      <w:r>
        <w:rPr>
          <w:rFonts w:ascii="Times New Roman" w:hAnsi="Times New Roman"/>
        </w:rPr>
        <w:br/>
      </w:r>
      <w:hyperlink r:id="rId3">
        <w:r>
          <w:rPr>
            <w:rStyle w:val="Hyperlink"/>
            <w:rFonts w:ascii="Times New Roman" w:hAnsi="Times New Roman"/>
          </w:rPr>
          <w:t>http://ec.europa.eu/enlargement/news_corner/migration/20160913-frit-table.pdf</w:t>
        </w:r>
      </w:hyperlink>
      <w:r>
        <w:rPr>
          <w:rFonts w:ascii="Times New Roman" w:hAnsi="Times New Roman"/>
        </w:rPr>
        <w:t xml:space="preserve"> </w:t>
      </w:r>
    </w:p>
  </w:footnote>
  <w:footnote w:id="27">
    <w:p w:rsidR="00CD7822" w:rsidRDefault="000A61B2">
      <w:pPr>
        <w:pStyle w:val="FootnoteText"/>
        <w:ind w:left="426" w:hanging="42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4">
        <w:r>
          <w:rPr>
            <w:rStyle w:val="Hyperlink"/>
            <w:rFonts w:ascii="Times New Roman" w:hAnsi="Times New Roman"/>
          </w:rPr>
          <w:t>http://trade.ec.europa.eu/consultations/index.cfm?consul_id=198</w:t>
        </w:r>
      </w:hyperlink>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822" w:rsidRDefault="00CD78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822" w:rsidRDefault="00CD7822">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822" w:rsidRDefault="00CD7822">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822" w:rsidRDefault="00CD782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822" w:rsidRDefault="00CD782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822" w:rsidRDefault="00CD78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7A6B"/>
    <w:multiLevelType w:val="hybridMultilevel"/>
    <w:tmpl w:val="44C6D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BD20DB"/>
    <w:multiLevelType w:val="hybridMultilevel"/>
    <w:tmpl w:val="20F230DE"/>
    <w:lvl w:ilvl="0" w:tplc="E6E22836">
      <w:start w:val="1"/>
      <w:numFmt w:val="bullet"/>
      <w:pStyle w:val="Briefingspdef"/>
      <w:lvlText w:val=""/>
      <w:lvlJc w:val="left"/>
      <w:pPr>
        <w:tabs>
          <w:tab w:val="num" w:pos="360"/>
        </w:tabs>
        <w:ind w:left="36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11EC2EF1"/>
    <w:multiLevelType w:val="hybridMultilevel"/>
    <w:tmpl w:val="25A21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6D411B"/>
    <w:multiLevelType w:val="hybridMultilevel"/>
    <w:tmpl w:val="DB7CC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3E783E83"/>
    <w:multiLevelType w:val="hybridMultilevel"/>
    <w:tmpl w:val="8A32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5C90566"/>
    <w:multiLevelType w:val="hybridMultilevel"/>
    <w:tmpl w:val="72129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FD0BC7"/>
    <w:multiLevelType w:val="hybridMultilevel"/>
    <w:tmpl w:val="E87EE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B606528"/>
    <w:multiLevelType w:val="hybridMultilevel"/>
    <w:tmpl w:val="01CC6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5"/>
  </w:num>
  <w:num w:numId="5">
    <w:abstractNumId w:val="4"/>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593128BECE26498A9921B2F352EA57D6"/>
    <w:docVar w:name="LW_CROSSREFERENCE" w:val="&lt;UNUSED&gt;"/>
    <w:docVar w:name="LW_DocType" w:val="NORMAL"/>
    <w:docVar w:name="LW_EMISSION" w:val="28.9.2016"/>
    <w:docVar w:name="LW_EMISSION_ISODATE" w:val="2016-09-28"/>
    <w:docVar w:name="LW_EMISSION_LOCATION" w:val="BRX"/>
    <w:docVar w:name="LW_EMISSION_PREFIX" w:val="Брюксел, "/>
    <w:docVar w:name="LW_EMISSION_SUFFIX" w:val=" \u1075?."/>
    <w:docVar w:name="LW_ID_DOCTYPE_NONLW" w:val="CP-03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634"/>
    <w:docVar w:name="LW_REF.INTERNE" w:val="&lt;UNUSED&gt;"/>
    <w:docVar w:name="LW_SOUS.TITRE.OBJ.CP" w:val="&lt;UNUSED&gt;"/>
    <w:docVar w:name="LW_SUPERTITRE" w:val="&lt;UNUSED&gt;"/>
    <w:docVar w:name="LW_TITRE.OBJ.CP" w:val="\u1058?\u1088?\u1077?\u1090?\u1080? \u1076?\u1086?\u1082?\u1083?\u1072?\u1076? \u1079?\u1072? \u1085?\u1072?\u1087?\u1088?\u1077?\u1076?\u1098?\u1082?\u1072?, \u1087?\u1086?\u1089?\u1090?\u1080?\u1075?\u1085?\u1072?\u1090? \u1074? \u1080?\u1079?\u1087?\u1098?\u1083?\u1085?\u1077?\u1085?\u1080?\u1077?\u1090?\u1086? \u1085?\u1072? \u1080?\u1079?\u1103?\u1074?\u1083?\u1077?\u1085?\u1080?\u1077?\u1090?\u1086? \u1085?\u1072? \u1045?\u1057? \u1080? \u1058?\u1091?\u1088?\u1094?\u1080?\u1103?"/>
    <w:docVar w:name="LW_TYPE.DOC.CP" w:val="\u1057?\u1066?\u1054?\u1041?\u1065?\u1045?\u1053?\u1048?\u1045? \u1053?\u1040? \u1050?\u1054?\u1052?\u1048?\u1057?\u1048?\u1071?\u1058?\u1040? \u1044?\u1054? \u1045?\u1042?\u1056?\u1054?\u1055?\u1045?\u1049?\u1057?\u1050?\u1048?\u1071? \u1055?\u1040?\u1056?\u1051?\u1040?\u1052?\u1045?\u1053?\u1058?, \u1045?\u1042?\u1056?\u1054?\u1055?\u1045?\u1049?\u1057?\u1050?\u1048?\u1071? \u1057?\u1066?\u1042?\u1045?\u1058? \u1048? \u1057?\u1066?\u1042?\u1045?\u1058?\u1040?_x000b_"/>
  </w:docVars>
  <w:rsids>
    <w:rsidRoot w:val="00CD7822"/>
    <w:rsid w:val="000A61B2"/>
    <w:rsid w:val="00CD7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customStyle="1" w:styleId="Default">
    <w:name w:val="Default"/>
    <w:pPr>
      <w:autoSpaceDE w:val="0"/>
      <w:autoSpaceDN w:val="0"/>
      <w:adjustRightInd w:val="0"/>
      <w:spacing w:after="0" w:line="240" w:lineRule="auto"/>
    </w:pPr>
    <w:rPr>
      <w:rFonts w:ascii="Segoe UI" w:hAnsi="Segoe UI" w:cs="Segoe UI"/>
      <w:color w:val="000000"/>
      <w:sz w:val="24"/>
      <w:szCs w:val="24"/>
    </w:rPr>
  </w:style>
  <w:style w:type="character" w:customStyle="1" w:styleId="BriefingspdefChar">
    <w:name w:val="Briefing sp/def Char"/>
    <w:link w:val="Briefingspdef"/>
    <w:locked/>
    <w:rPr>
      <w:rFonts w:ascii="Arial" w:hAnsi="Arial" w:cs="Arial"/>
    </w:rPr>
  </w:style>
  <w:style w:type="paragraph" w:customStyle="1" w:styleId="Briefingspdef">
    <w:name w:val="Briefing sp/def"/>
    <w:basedOn w:val="Normal"/>
    <w:link w:val="BriefingspdefChar"/>
    <w:pPr>
      <w:numPr>
        <w:numId w:val="1"/>
      </w:numPr>
      <w:spacing w:after="480" w:line="240" w:lineRule="auto"/>
      <w:jc w:val="both"/>
    </w:pPr>
    <w:rPr>
      <w:rFonts w:ascii="Arial" w:hAnsi="Arial" w:cs="Arial"/>
    </w:rPr>
  </w:style>
  <w:style w:type="character" w:customStyle="1" w:styleId="A4">
    <w:name w:val="A4"/>
    <w:uiPriority w:val="99"/>
    <w:rPr>
      <w:rFonts w:ascii="EC Square Sans Pro" w:hAnsi="EC Square Sans Pro" w:cs="EC Square Sans Pro" w:hint="default"/>
      <w:color w:val="000000"/>
      <w:sz w:val="20"/>
      <w:szCs w:val="20"/>
    </w:rPr>
  </w:style>
  <w:style w:type="paragraph" w:styleId="NormalWeb">
    <w:name w:val="Normal (Web)"/>
    <w:basedOn w:val="Normal"/>
    <w:uiPriority w:val="99"/>
    <w:unhideWhenUsed/>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customStyle="1" w:styleId="Default">
    <w:name w:val="Default"/>
    <w:pPr>
      <w:autoSpaceDE w:val="0"/>
      <w:autoSpaceDN w:val="0"/>
      <w:adjustRightInd w:val="0"/>
      <w:spacing w:after="0" w:line="240" w:lineRule="auto"/>
    </w:pPr>
    <w:rPr>
      <w:rFonts w:ascii="Segoe UI" w:hAnsi="Segoe UI" w:cs="Segoe UI"/>
      <w:color w:val="000000"/>
      <w:sz w:val="24"/>
      <w:szCs w:val="24"/>
    </w:rPr>
  </w:style>
  <w:style w:type="character" w:customStyle="1" w:styleId="BriefingspdefChar">
    <w:name w:val="Briefing sp/def Char"/>
    <w:link w:val="Briefingspdef"/>
    <w:locked/>
    <w:rPr>
      <w:rFonts w:ascii="Arial" w:hAnsi="Arial" w:cs="Arial"/>
    </w:rPr>
  </w:style>
  <w:style w:type="paragraph" w:customStyle="1" w:styleId="Briefingspdef">
    <w:name w:val="Briefing sp/def"/>
    <w:basedOn w:val="Normal"/>
    <w:link w:val="BriefingspdefChar"/>
    <w:pPr>
      <w:numPr>
        <w:numId w:val="1"/>
      </w:numPr>
      <w:spacing w:after="480" w:line="240" w:lineRule="auto"/>
      <w:jc w:val="both"/>
    </w:pPr>
    <w:rPr>
      <w:rFonts w:ascii="Arial" w:hAnsi="Arial" w:cs="Arial"/>
    </w:rPr>
  </w:style>
  <w:style w:type="character" w:customStyle="1" w:styleId="A4">
    <w:name w:val="A4"/>
    <w:uiPriority w:val="99"/>
    <w:rPr>
      <w:rFonts w:ascii="EC Square Sans Pro" w:hAnsi="EC Square Sans Pro" w:cs="EC Square Sans Pro" w:hint="default"/>
      <w:color w:val="000000"/>
      <w:sz w:val="20"/>
      <w:szCs w:val="20"/>
    </w:rPr>
  </w:style>
  <w:style w:type="paragraph" w:styleId="NormalWeb">
    <w:name w:val="Normal (Web)"/>
    <w:basedOn w:val="Normal"/>
    <w:uiPriority w:val="99"/>
    <w:unhideWhenUsed/>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74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largement/news_corner/migration/20160913-frit-table.pdf" TargetMode="External"/><Relationship Id="rId2" Type="http://schemas.openxmlformats.org/officeDocument/2006/relationships/hyperlink" Target="http://europa.eu/rapid/press-release_IP-16-2971_en.htm" TargetMode="External"/><Relationship Id="rId1" Type="http://schemas.openxmlformats.org/officeDocument/2006/relationships/hyperlink" Target="http://ec.europa.eu/enlargement/news_corner/migration/index_en.htm" TargetMode="External"/><Relationship Id="rId4" Type="http://schemas.openxmlformats.org/officeDocument/2006/relationships/hyperlink" Target="http://trade.ec.europa.eu/consultations/index.cfm?consul_id=1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BB249-5856-4272-9735-A4B72F785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16</Pages>
  <Words>5605</Words>
  <Characters>31950</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33</cp:revision>
  <cp:lastPrinted>2016-09-23T15:49:00Z</cp:lastPrinted>
  <dcterms:created xsi:type="dcterms:W3CDTF">2016-09-28T09:38:00Z</dcterms:created>
  <dcterms:modified xsi:type="dcterms:W3CDTF">2016-10-05T09:01:00Z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