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A2D" w:rsidRDefault="00041CE3">
      <w:pPr>
        <w:pStyle w:val="Pagedecouverture"/>
        <w:rPr>
          <w:noProof/>
        </w:rPr>
      </w:pPr>
      <w:bookmarkStart w:id="0" w:name="LW_BM_COVERPAGE"/>
      <w:bookmarkStart w:id="1" w:name="_GoBack"/>
      <w:bookmarkEnd w:id="1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31297F78248940408E5D2891234386D5" style="width:449.8pt;height:411.55pt">
            <v:imagedata r:id="rId8" o:title=""/>
          </v:shape>
        </w:pict>
      </w:r>
    </w:p>
    <w:bookmarkEnd w:id="0"/>
    <w:p w:rsidR="00FD1A2D" w:rsidRDefault="00FD1A2D">
      <w:pPr>
        <w:pStyle w:val="Pagedecouverture"/>
        <w:rPr>
          <w:noProof/>
        </w:rPr>
        <w:sectPr w:rsidR="00FD1A2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FD1A2D" w:rsidRDefault="00041CE3">
      <w:pPr>
        <w:spacing w:after="0"/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  <w:r>
        <w:rPr>
          <w:rFonts w:ascii="Times New Roman" w:hAnsi="Times New Roman"/>
          <w:b/>
          <w:noProof/>
          <w:sz w:val="20"/>
        </w:rPr>
        <w:lastRenderedPageBreak/>
        <w:t xml:space="preserve">Extension du financement au titre de la facilité en faveur des réfugiés en Turquie à la suite de la </w:t>
      </w:r>
      <w:r>
        <w:rPr>
          <w:rFonts w:ascii="Times New Roman" w:hAnsi="Times New Roman"/>
          <w:b/>
          <w:noProof/>
          <w:sz w:val="20"/>
        </w:rPr>
        <w:t>déclaration du 18 mars</w:t>
      </w:r>
    </w:p>
    <w:tbl>
      <w:tblPr>
        <w:tblStyle w:val="TableGrid"/>
        <w:tblW w:w="0" w:type="auto"/>
        <w:jc w:val="center"/>
        <w:tblInd w:w="-1221" w:type="dxa"/>
        <w:tblLook w:val="04A0" w:firstRow="1" w:lastRow="0" w:firstColumn="1" w:lastColumn="0" w:noHBand="0" w:noVBand="1"/>
      </w:tblPr>
      <w:tblGrid>
        <w:gridCol w:w="1920"/>
        <w:gridCol w:w="3240"/>
        <w:gridCol w:w="2856"/>
        <w:gridCol w:w="2386"/>
        <w:gridCol w:w="2368"/>
        <w:gridCol w:w="2671"/>
      </w:tblGrid>
      <w:tr w:rsidR="00FD1A2D" w:rsidTr="00041CE3">
        <w:trPr>
          <w:jc w:val="center"/>
        </w:trPr>
        <w:tc>
          <w:tcPr>
            <w:tcW w:w="1920" w:type="dxa"/>
            <w:shd w:val="clear" w:color="auto" w:fill="auto"/>
          </w:tcPr>
          <w:p w:rsidR="00FD1A2D" w:rsidRDefault="00041CE3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Volet pour le financement au titre de l'approche accélérée</w:t>
            </w:r>
          </w:p>
        </w:tc>
        <w:tc>
          <w:tcPr>
            <w:tcW w:w="3240" w:type="dxa"/>
            <w:shd w:val="clear" w:color="auto" w:fill="auto"/>
          </w:tcPr>
          <w:p w:rsidR="00FD1A2D" w:rsidRDefault="00041CE3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Aide humanitaire</w:t>
            </w:r>
          </w:p>
        </w:tc>
        <w:tc>
          <w:tcPr>
            <w:tcW w:w="2856" w:type="dxa"/>
            <w:shd w:val="clear" w:color="auto" w:fill="auto"/>
          </w:tcPr>
          <w:p w:rsidR="00FD1A2D" w:rsidRDefault="00041CE3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Mesure spéciale en faveur des migrants renvoyés</w:t>
            </w:r>
          </w:p>
        </w:tc>
        <w:tc>
          <w:tcPr>
            <w:tcW w:w="2386" w:type="dxa"/>
            <w:shd w:val="clear" w:color="auto" w:fill="auto"/>
          </w:tcPr>
          <w:p w:rsidR="00FD1A2D" w:rsidRDefault="00041CE3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Mesure spéciale de juillet 2016 en faveur de l'éducation et de la santé</w:t>
            </w:r>
          </w:p>
        </w:tc>
        <w:tc>
          <w:tcPr>
            <w:tcW w:w="2368" w:type="dxa"/>
            <w:shd w:val="clear" w:color="auto" w:fill="auto"/>
          </w:tcPr>
          <w:p w:rsidR="00FD1A2D" w:rsidRDefault="00041CE3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Mesure spéciale de juillet 2016 en fa</w:t>
            </w:r>
            <w:r>
              <w:rPr>
                <w:rFonts w:ascii="Times New Roman" w:hAnsi="Times New Roman"/>
                <w:b/>
                <w:noProof/>
                <w:sz w:val="16"/>
              </w:rPr>
              <w:t>veur des infrastructures et du soutien socioéconomique</w:t>
            </w:r>
          </w:p>
        </w:tc>
        <w:tc>
          <w:tcPr>
            <w:tcW w:w="2671" w:type="dxa"/>
            <w:shd w:val="clear" w:color="auto" w:fill="auto"/>
          </w:tcPr>
          <w:p w:rsidR="00FD1A2D" w:rsidRDefault="00041CE3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Fonds fiduciaire régional de l’Union européenne en réponse à la crise syrienne</w:t>
            </w:r>
          </w:p>
        </w:tc>
      </w:tr>
      <w:tr w:rsidR="00FD1A2D" w:rsidTr="00041CE3">
        <w:trPr>
          <w:jc w:val="center"/>
        </w:trPr>
        <w:tc>
          <w:tcPr>
            <w:tcW w:w="1920" w:type="dxa"/>
            <w:shd w:val="clear" w:color="auto" w:fill="auto"/>
          </w:tcPr>
          <w:p w:rsidR="00FD1A2D" w:rsidRDefault="00041CE3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Prochaines étapes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:rsidR="00FD1A2D" w:rsidRDefault="00041CE3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Octobre – Décembre</w:t>
            </w:r>
          </w:p>
          <w:p w:rsidR="00FD1A2D" w:rsidRDefault="00041CE3">
            <w:pPr>
              <w:jc w:val="center"/>
              <w:rPr>
                <w:rFonts w:ascii="Times New Roman" w:hAnsi="Times New Roman" w:cs="Times New Roman"/>
                <w:noProof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 xml:space="preserve">Mise en place du plan de mise en œuvre de l'action humanitaire convenu en juin, </w:t>
            </w:r>
            <w:r>
              <w:rPr>
                <w:rFonts w:ascii="Times New Roman" w:hAnsi="Times New Roman"/>
                <w:noProof/>
                <w:sz w:val="16"/>
              </w:rPr>
              <w:t>comprenant la mise en œuvre du système de transfert de liquidités – le filet de sécurité sociale d’urgence – à compter d'octobre 2016 dans le but d'aider un million de réfugiés vulnérables en 2017.</w:t>
            </w:r>
          </w:p>
        </w:tc>
        <w:tc>
          <w:tcPr>
            <w:tcW w:w="2856" w:type="dxa"/>
            <w:tcBorders>
              <w:bottom w:val="single" w:sz="4" w:space="0" w:color="auto"/>
            </w:tcBorders>
            <w:shd w:val="clear" w:color="auto" w:fill="auto"/>
          </w:tcPr>
          <w:p w:rsidR="00FD1A2D" w:rsidRDefault="00041CE3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Depuis août</w:t>
            </w:r>
          </w:p>
          <w:p w:rsidR="00FD1A2D" w:rsidRDefault="00041CE3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 xml:space="preserve">Mise en œuvre de la mesure spéciale en faveur </w:t>
            </w:r>
            <w:r>
              <w:rPr>
                <w:rFonts w:ascii="Times New Roman" w:hAnsi="Times New Roman"/>
                <w:noProof/>
                <w:sz w:val="16"/>
              </w:rPr>
              <w:t>des migrants renvoyés.</w:t>
            </w:r>
          </w:p>
        </w:tc>
        <w:tc>
          <w:tcPr>
            <w:tcW w:w="2386" w:type="dxa"/>
            <w:shd w:val="clear" w:color="auto" w:fill="auto"/>
          </w:tcPr>
          <w:p w:rsidR="00FD1A2D" w:rsidRDefault="00041CE3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À partir d'octobre</w:t>
            </w:r>
          </w:p>
          <w:p w:rsidR="00FD1A2D" w:rsidRDefault="00041CE3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Mise en œuvre des subventions directes pour l'éducation et la santé d'un montant de 300 000 000 EUR chacune.</w:t>
            </w:r>
          </w:p>
          <w:p w:rsidR="00FD1A2D" w:rsidRDefault="00FD1A2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368" w:type="dxa"/>
            <w:shd w:val="clear" w:color="auto" w:fill="auto"/>
          </w:tcPr>
          <w:p w:rsidR="00FD1A2D" w:rsidRDefault="00041CE3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Depuis août</w:t>
            </w:r>
          </w:p>
          <w:p w:rsidR="00FD1A2D" w:rsidRDefault="00041CE3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Préparation des conventions de délégation avec les institutions financières internationales.</w:t>
            </w:r>
          </w:p>
        </w:tc>
        <w:tc>
          <w:tcPr>
            <w:tcW w:w="2671" w:type="dxa"/>
            <w:shd w:val="clear" w:color="auto" w:fill="auto"/>
          </w:tcPr>
          <w:p w:rsidR="00FD1A2D" w:rsidRDefault="00041CE3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Depuis juin</w:t>
            </w:r>
          </w:p>
          <w:p w:rsidR="00FD1A2D" w:rsidRDefault="00041CE3">
            <w:pPr>
              <w:spacing w:after="60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 xml:space="preserve">Préparation de nouveaux projets au titre du fonds fiduciaire régional de l’Union européenne en réponse à la crise syrienne dans des domaines non couverts par d'autres volets: accès au marché du travail, actions communautaires, programmes de </w:t>
            </w:r>
            <w:r>
              <w:rPr>
                <w:rFonts w:ascii="Times New Roman" w:hAnsi="Times New Roman"/>
                <w:noProof/>
                <w:sz w:val="16"/>
              </w:rPr>
              <w:t>subvention de moindre envergure, autres mesures non contraignantes et d'intégration. Attente de l'approbation de la Turquie concernant un projet supplémentaire de 30 000 000 EUR.</w:t>
            </w:r>
          </w:p>
        </w:tc>
      </w:tr>
      <w:tr w:rsidR="00FD1A2D" w:rsidTr="00041CE3">
        <w:trPr>
          <w:trHeight w:val="1002"/>
          <w:jc w:val="center"/>
        </w:trPr>
        <w:tc>
          <w:tcPr>
            <w:tcW w:w="1920" w:type="dxa"/>
            <w:vMerge w:val="restart"/>
            <w:shd w:val="clear" w:color="auto" w:fill="auto"/>
          </w:tcPr>
          <w:p w:rsidR="00FD1A2D" w:rsidRDefault="00041CE3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Résultats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FD1A2D" w:rsidRDefault="00041CE3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Début septembre</w:t>
            </w:r>
          </w:p>
          <w:p w:rsidR="00FD1A2D" w:rsidRDefault="00041CE3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 xml:space="preserve">Signature du contrat relatif au </w:t>
            </w:r>
            <w:r>
              <w:rPr>
                <w:rFonts w:ascii="Times New Roman" w:hAnsi="Times New Roman"/>
                <w:b/>
                <w:noProof/>
                <w:sz w:val="16"/>
              </w:rPr>
              <w:t xml:space="preserve">filet de sécurité </w:t>
            </w:r>
            <w:r>
              <w:rPr>
                <w:rFonts w:ascii="Times New Roman" w:hAnsi="Times New Roman"/>
                <w:b/>
                <w:noProof/>
                <w:sz w:val="16"/>
              </w:rPr>
              <w:t>sociale d’urgence</w:t>
            </w:r>
            <w:r>
              <w:rPr>
                <w:rFonts w:ascii="Times New Roman" w:hAnsi="Times New Roman"/>
                <w:noProof/>
                <w:sz w:val="16"/>
              </w:rPr>
              <w:t xml:space="preserve"> d'un montant de</w:t>
            </w:r>
            <w:r>
              <w:rPr>
                <w:rFonts w:ascii="Times New Roman" w:hAnsi="Times New Roman"/>
                <w:b/>
                <w:noProof/>
                <w:sz w:val="16"/>
              </w:rPr>
              <w:t xml:space="preserve"> 348 000 000 EUR</w:t>
            </w:r>
            <w:r>
              <w:rPr>
                <w:rFonts w:ascii="Times New Roman" w:hAnsi="Times New Roman"/>
                <w:noProof/>
                <w:sz w:val="16"/>
              </w:rPr>
              <w:t>.</w:t>
            </w:r>
          </w:p>
          <w:p w:rsidR="00FD1A2D" w:rsidRDefault="00FD1A2D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  <w:p w:rsidR="00FD1A2D" w:rsidRDefault="00041CE3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31 juillet</w:t>
            </w:r>
          </w:p>
          <w:p w:rsidR="00FD1A2D" w:rsidRDefault="00041CE3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 xml:space="preserve">Signature d'un contrat de </w:t>
            </w:r>
            <w:r>
              <w:rPr>
                <w:rFonts w:ascii="Times New Roman" w:hAnsi="Times New Roman"/>
                <w:b/>
                <w:noProof/>
                <w:sz w:val="16"/>
              </w:rPr>
              <w:t>74 000 000 EUR</w:t>
            </w:r>
            <w:r>
              <w:rPr>
                <w:rFonts w:ascii="Times New Roman" w:hAnsi="Times New Roman"/>
                <w:noProof/>
                <w:sz w:val="16"/>
              </w:rPr>
              <w:t xml:space="preserve"> dans le domaine de la santé, de l'éducation, de la protection et de la préparation à l'hiver.</w:t>
            </w:r>
          </w:p>
          <w:p w:rsidR="00FD1A2D" w:rsidRDefault="00FD1A2D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  <w:p w:rsidR="00FD1A2D" w:rsidRDefault="00041CE3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3 juin</w:t>
            </w:r>
          </w:p>
          <w:p w:rsidR="00FD1A2D" w:rsidRDefault="00041CE3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 xml:space="preserve">Publication du </w:t>
            </w:r>
            <w:r>
              <w:rPr>
                <w:rFonts w:ascii="Times New Roman" w:hAnsi="Times New Roman"/>
                <w:b/>
                <w:noProof/>
                <w:sz w:val="16"/>
              </w:rPr>
              <w:t>plan de mise en œuvre de l'action h</w:t>
            </w:r>
            <w:r>
              <w:rPr>
                <w:rFonts w:ascii="Times New Roman" w:hAnsi="Times New Roman"/>
                <w:b/>
                <w:noProof/>
                <w:sz w:val="16"/>
              </w:rPr>
              <w:t>umanitaire</w:t>
            </w:r>
            <w:r>
              <w:rPr>
                <w:rFonts w:ascii="Times New Roman" w:hAnsi="Times New Roman"/>
                <w:noProof/>
                <w:sz w:val="16"/>
              </w:rPr>
              <w:t xml:space="preserve"> de la DG ECHO, notamment la première dotation (</w:t>
            </w:r>
            <w:r>
              <w:rPr>
                <w:rFonts w:ascii="Times New Roman" w:hAnsi="Times New Roman"/>
                <w:b/>
                <w:noProof/>
                <w:sz w:val="16"/>
              </w:rPr>
              <w:t>505 650 000 EUR</w:t>
            </w:r>
            <w:r>
              <w:rPr>
                <w:rFonts w:ascii="Times New Roman" w:hAnsi="Times New Roman"/>
                <w:noProof/>
                <w:sz w:val="16"/>
              </w:rPr>
              <w:t>).</w:t>
            </w:r>
          </w:p>
          <w:p w:rsidR="00FD1A2D" w:rsidRDefault="00FD1A2D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  <w:p w:rsidR="00FD1A2D" w:rsidRDefault="00041CE3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Mars-avril</w:t>
            </w:r>
          </w:p>
          <w:p w:rsidR="00FD1A2D" w:rsidRDefault="00041CE3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 xml:space="preserve">Signature de projets entre la DG ECHO et 17 partenaires humanitaires d'un montant de </w:t>
            </w:r>
            <w:r>
              <w:rPr>
                <w:rFonts w:ascii="Times New Roman" w:hAnsi="Times New Roman"/>
                <w:b/>
                <w:noProof/>
                <w:sz w:val="16"/>
              </w:rPr>
              <w:t>90 000 000 EUR</w:t>
            </w:r>
            <w:r>
              <w:rPr>
                <w:rFonts w:ascii="Times New Roman" w:hAnsi="Times New Roman"/>
                <w:noProof/>
                <w:sz w:val="16"/>
              </w:rPr>
              <w:t>.</w:t>
            </w:r>
          </w:p>
        </w:tc>
        <w:tc>
          <w:tcPr>
            <w:tcW w:w="2856" w:type="dxa"/>
            <w:vMerge w:val="restart"/>
            <w:shd w:val="clear" w:color="auto" w:fill="auto"/>
          </w:tcPr>
          <w:p w:rsidR="00FD1A2D" w:rsidRDefault="00041CE3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8 août</w:t>
            </w:r>
          </w:p>
          <w:p w:rsidR="00FD1A2D" w:rsidRDefault="00041CE3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 xml:space="preserve">Le 8 août 2016, signature par les autorités turques d'un </w:t>
            </w:r>
            <w:r>
              <w:rPr>
                <w:rFonts w:ascii="Times New Roman" w:hAnsi="Times New Roman"/>
                <w:noProof/>
                <w:sz w:val="16"/>
              </w:rPr>
              <w:t>accord direct pour mettre en œuvre la mesure spéciale en faveur des migrants renvoyés.</w:t>
            </w:r>
          </w:p>
          <w:p w:rsidR="00FD1A2D" w:rsidRDefault="00041CE3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Versement d'une avance de 12 000 000 EUR le 18 août 2016.</w:t>
            </w:r>
          </w:p>
          <w:p w:rsidR="00FD1A2D" w:rsidRDefault="00FD1A2D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FD1A2D" w:rsidRDefault="00041CE3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19 avril</w:t>
            </w:r>
          </w:p>
          <w:p w:rsidR="00FD1A2D" w:rsidRDefault="00041CE3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 xml:space="preserve">Mesure spéciale de </w:t>
            </w:r>
            <w:r>
              <w:rPr>
                <w:rFonts w:ascii="Times New Roman" w:hAnsi="Times New Roman"/>
                <w:b/>
                <w:noProof/>
                <w:sz w:val="16"/>
              </w:rPr>
              <w:t>60 000 000 EUR</w:t>
            </w:r>
            <w:r>
              <w:rPr>
                <w:rFonts w:ascii="Times New Roman" w:hAnsi="Times New Roman"/>
                <w:noProof/>
                <w:sz w:val="16"/>
              </w:rPr>
              <w:t xml:space="preserve"> affectée à la fourniture de nourriture, d'un hébergement et de soin</w:t>
            </w:r>
            <w:r>
              <w:rPr>
                <w:rFonts w:ascii="Times New Roman" w:hAnsi="Times New Roman"/>
                <w:noProof/>
                <w:sz w:val="16"/>
              </w:rPr>
              <w:t>s de santé aux migrants renvoyés de Grèce.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shd w:val="clear" w:color="auto" w:fill="auto"/>
          </w:tcPr>
          <w:p w:rsidR="00FD1A2D" w:rsidRDefault="00041CE3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Fin septembre</w:t>
            </w:r>
          </w:p>
          <w:p w:rsidR="00FD1A2D" w:rsidRDefault="00041CE3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Conclusion des négociations concernant les subventions directes pour l'éducation et la santé d'un montant de 300 000 000 EUR chacune.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br/>
            </w:r>
            <w:r>
              <w:rPr>
                <w:rFonts w:ascii="Times New Roman" w:hAnsi="Times New Roman"/>
                <w:noProof/>
                <w:sz w:val="16"/>
              </w:rPr>
              <w:t>Signatures en attente.</w:t>
            </w:r>
          </w:p>
        </w:tc>
        <w:tc>
          <w:tcPr>
            <w:tcW w:w="2368" w:type="dxa"/>
            <w:tcBorders>
              <w:bottom w:val="single" w:sz="4" w:space="0" w:color="auto"/>
            </w:tcBorders>
            <w:shd w:val="clear" w:color="auto" w:fill="auto"/>
          </w:tcPr>
          <w:p w:rsidR="00FD1A2D" w:rsidRDefault="00FD1A2D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  <w:p w:rsidR="00FD1A2D" w:rsidRDefault="00FD1A2D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  <w:p w:rsidR="00FD1A2D" w:rsidRDefault="00FD1A2D"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  <w:p w:rsidR="00FD1A2D" w:rsidRDefault="00FD1A2D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  <w:p w:rsidR="00FD1A2D" w:rsidRDefault="00FD1A2D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  <w:shd w:val="clear" w:color="auto" w:fill="auto"/>
          </w:tcPr>
          <w:p w:rsidR="00FD1A2D" w:rsidRDefault="00FD1A2D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</w:tr>
      <w:tr w:rsidR="00FD1A2D" w:rsidTr="00041CE3">
        <w:trPr>
          <w:trHeight w:val="710"/>
          <w:jc w:val="center"/>
        </w:trPr>
        <w:tc>
          <w:tcPr>
            <w:tcW w:w="1920" w:type="dxa"/>
            <w:vMerge/>
            <w:shd w:val="clear" w:color="auto" w:fill="auto"/>
          </w:tcPr>
          <w:p w:rsidR="00FD1A2D" w:rsidRDefault="00FD1A2D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FD1A2D" w:rsidRDefault="00FD1A2D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FD1A2D" w:rsidRDefault="00FD1A2D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74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D1A2D" w:rsidRDefault="00041CE3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28 juillet</w:t>
            </w:r>
          </w:p>
          <w:p w:rsidR="00FD1A2D" w:rsidRDefault="00041CE3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 xml:space="preserve">Adoption d'une </w:t>
            </w:r>
            <w:r>
              <w:rPr>
                <w:rFonts w:ascii="Times New Roman" w:hAnsi="Times New Roman"/>
                <w:b/>
                <w:noProof/>
                <w:sz w:val="16"/>
              </w:rPr>
              <w:t>mesure</w:t>
            </w:r>
            <w:r>
              <w:rPr>
                <w:rFonts w:ascii="Times New Roman" w:hAnsi="Times New Roman"/>
                <w:b/>
                <w:noProof/>
                <w:sz w:val="16"/>
              </w:rPr>
              <w:t xml:space="preserve"> spéciale d'un montant de 1 400 000 000 EUR</w:t>
            </w:r>
            <w:r>
              <w:rPr>
                <w:rFonts w:ascii="Times New Roman" w:hAnsi="Times New Roman"/>
                <w:noProof/>
                <w:sz w:val="16"/>
              </w:rPr>
              <w:t xml:space="preserve"> en faveur de l'éducation, de la santé, des infrastructures municipales et du soutien socioéconomique, comprenant </w:t>
            </w:r>
            <w:r>
              <w:rPr>
                <w:rFonts w:ascii="Times New Roman" w:hAnsi="Times New Roman"/>
                <w:b/>
                <w:noProof/>
                <w:sz w:val="16"/>
              </w:rPr>
              <w:t>une dotation supplémentaire de 250 000 000 EUR</w:t>
            </w:r>
            <w:r>
              <w:rPr>
                <w:rFonts w:ascii="Times New Roman" w:hAnsi="Times New Roman"/>
                <w:noProof/>
                <w:sz w:val="16"/>
              </w:rPr>
              <w:t xml:space="preserve"> destinée à des projets fondés sur une approche ascen</w:t>
            </w:r>
            <w:r>
              <w:rPr>
                <w:rFonts w:ascii="Times New Roman" w:hAnsi="Times New Roman"/>
                <w:noProof/>
                <w:sz w:val="16"/>
              </w:rPr>
              <w:t xml:space="preserve">dante financés par le fonds fiduciaire régional de l’Union européenne en réponse à la crise syrienne. </w:t>
            </w:r>
          </w:p>
          <w:p w:rsidR="00FD1A2D" w:rsidRDefault="00FD1A2D"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</w:tc>
      </w:tr>
      <w:tr w:rsidR="00FD1A2D" w:rsidTr="00041CE3">
        <w:trPr>
          <w:trHeight w:val="2650"/>
          <w:jc w:val="center"/>
        </w:trPr>
        <w:tc>
          <w:tcPr>
            <w:tcW w:w="1920" w:type="dxa"/>
            <w:vMerge/>
            <w:shd w:val="clear" w:color="auto" w:fill="auto"/>
          </w:tcPr>
          <w:p w:rsidR="00FD1A2D" w:rsidRDefault="00FD1A2D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FD1A2D" w:rsidRDefault="00FD1A2D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FD1A2D" w:rsidRDefault="00FD1A2D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2386" w:type="dxa"/>
            <w:shd w:val="clear" w:color="auto" w:fill="auto"/>
          </w:tcPr>
          <w:p w:rsidR="00FD1A2D" w:rsidRDefault="00FD1A2D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2368" w:type="dxa"/>
            <w:shd w:val="clear" w:color="auto" w:fill="auto"/>
          </w:tcPr>
          <w:p w:rsidR="00FD1A2D" w:rsidRDefault="00041CE3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Juin</w:t>
            </w:r>
          </w:p>
          <w:p w:rsidR="00FD1A2D" w:rsidRDefault="00041CE3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Discussion et approbation de la mesure spéciale lors des tables rondes des institutions financières internationales des 24 et 29 juin.</w:t>
            </w:r>
          </w:p>
          <w:p w:rsidR="00FD1A2D" w:rsidRDefault="00FD1A2D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2671" w:type="dxa"/>
            <w:shd w:val="clear" w:color="auto" w:fill="auto"/>
          </w:tcPr>
          <w:p w:rsidR="00FD1A2D" w:rsidRDefault="00041CE3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 xml:space="preserve"> Juin </w:t>
            </w:r>
          </w:p>
          <w:p w:rsidR="00FD1A2D" w:rsidRDefault="00041CE3">
            <w:pPr>
              <w:spacing w:after="60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 xml:space="preserve">Adoption de quatre autres projets fondés sur une approche ascendante, d'un montant total de </w:t>
            </w:r>
            <w:r>
              <w:rPr>
                <w:rFonts w:ascii="Times New Roman" w:hAnsi="Times New Roman"/>
                <w:b/>
                <w:noProof/>
                <w:sz w:val="16"/>
              </w:rPr>
              <w:t>59 000 000 EUR</w:t>
            </w:r>
            <w:r>
              <w:rPr>
                <w:rFonts w:ascii="Times New Roman" w:hAnsi="Times New Roman"/>
                <w:noProof/>
                <w:sz w:val="16"/>
              </w:rPr>
              <w:t xml:space="preserve">, par le Conseil du fonds fiduciaire de l'Union en réponse à la crise syrienne en avril et en juin, dans le but de fournir un soutien supplémentaire </w:t>
            </w:r>
            <w:r>
              <w:rPr>
                <w:rFonts w:ascii="Times New Roman" w:hAnsi="Times New Roman"/>
                <w:noProof/>
                <w:sz w:val="16"/>
              </w:rPr>
              <w:t xml:space="preserve">à l'éducation, aux infrastructures, à l'enseignement supérieur et à la formation professionnelle ainsi qu'un soutien social renforcé. </w:t>
            </w:r>
            <w:r>
              <w:rPr>
                <w:rFonts w:ascii="Times New Roman" w:hAnsi="Times New Roman"/>
                <w:b/>
                <w:noProof/>
                <w:sz w:val="16"/>
              </w:rPr>
              <w:t xml:space="preserve"> </w:t>
            </w:r>
          </w:p>
          <w:p w:rsidR="00FD1A2D" w:rsidRDefault="00FD1A2D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  <w:p w:rsidR="00FD1A2D" w:rsidRDefault="00041CE3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Mai</w:t>
            </w:r>
          </w:p>
          <w:p w:rsidR="00FD1A2D" w:rsidRDefault="00041CE3">
            <w:pPr>
              <w:spacing w:after="60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 xml:space="preserve">Signature de contrats pour quatre projets d'un montant total de </w:t>
            </w:r>
            <w:r>
              <w:rPr>
                <w:rFonts w:ascii="Times New Roman" w:hAnsi="Times New Roman"/>
                <w:b/>
                <w:noProof/>
                <w:sz w:val="16"/>
              </w:rPr>
              <w:t>60 000 000 EUR</w:t>
            </w:r>
            <w:r>
              <w:rPr>
                <w:rFonts w:ascii="Times New Roman" w:hAnsi="Times New Roman"/>
                <w:noProof/>
                <w:sz w:val="16"/>
              </w:rPr>
              <w:t>, notamment d'un</w:t>
            </w:r>
            <w:r>
              <w:rPr>
                <w:rFonts w:ascii="Times New Roman" w:hAnsi="Times New Roman"/>
                <w:b/>
                <w:noProof/>
                <w:sz w:val="16"/>
              </w:rPr>
              <w:t xml:space="preserve"> </w:t>
            </w:r>
            <w:r>
              <w:rPr>
                <w:rFonts w:ascii="Times New Roman" w:hAnsi="Times New Roman"/>
                <w:noProof/>
                <w:sz w:val="16"/>
              </w:rPr>
              <w:t>contrat régional ave</w:t>
            </w:r>
            <w:r>
              <w:rPr>
                <w:rFonts w:ascii="Times New Roman" w:hAnsi="Times New Roman"/>
                <w:noProof/>
                <w:sz w:val="16"/>
              </w:rPr>
              <w:t xml:space="preserve">c l'UNICEF comprenant un volet de </w:t>
            </w:r>
            <w:r>
              <w:rPr>
                <w:rFonts w:ascii="Times New Roman" w:hAnsi="Times New Roman"/>
                <w:b/>
                <w:noProof/>
                <w:sz w:val="16"/>
              </w:rPr>
              <w:t>37 000 000 EUR</w:t>
            </w:r>
            <w:r>
              <w:rPr>
                <w:rFonts w:ascii="Times New Roman" w:hAnsi="Times New Roman"/>
                <w:noProof/>
                <w:sz w:val="16"/>
              </w:rPr>
              <w:t xml:space="preserve"> pour la Turquie, le </w:t>
            </w:r>
            <w:r>
              <w:rPr>
                <w:rFonts w:ascii="Times New Roman" w:hAnsi="Times New Roman"/>
                <w:b/>
                <w:noProof/>
                <w:sz w:val="16"/>
              </w:rPr>
              <w:lastRenderedPageBreak/>
              <w:t>4 mars</w:t>
            </w:r>
            <w:r>
              <w:rPr>
                <w:rFonts w:ascii="Times New Roman" w:hAnsi="Times New Roman"/>
                <w:noProof/>
                <w:sz w:val="16"/>
              </w:rPr>
              <w:t>.</w:t>
            </w:r>
          </w:p>
        </w:tc>
      </w:tr>
      <w:tr w:rsidR="00FD1A2D" w:rsidTr="00041CE3">
        <w:trPr>
          <w:jc w:val="center"/>
        </w:trPr>
        <w:tc>
          <w:tcPr>
            <w:tcW w:w="15441" w:type="dxa"/>
            <w:gridSpan w:val="6"/>
            <w:shd w:val="clear" w:color="auto" w:fill="auto"/>
          </w:tcPr>
          <w:p w:rsidR="00FD1A2D" w:rsidRDefault="00041CE3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lastRenderedPageBreak/>
              <w:t>Gouvernance de la facilité</w:t>
            </w:r>
          </w:p>
        </w:tc>
      </w:tr>
      <w:tr w:rsidR="00FD1A2D" w:rsidTr="00041CE3">
        <w:trPr>
          <w:jc w:val="center"/>
        </w:trPr>
        <w:tc>
          <w:tcPr>
            <w:tcW w:w="1920" w:type="dxa"/>
            <w:shd w:val="clear" w:color="auto" w:fill="auto"/>
          </w:tcPr>
          <w:p w:rsidR="00FD1A2D" w:rsidRDefault="00041CE3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Chronologie depuis avril:</w:t>
            </w:r>
          </w:p>
        </w:tc>
        <w:tc>
          <w:tcPr>
            <w:tcW w:w="3240" w:type="dxa"/>
            <w:shd w:val="clear" w:color="auto" w:fill="auto"/>
          </w:tcPr>
          <w:p w:rsidR="00FD1A2D" w:rsidRDefault="00041CE3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Avril</w:t>
            </w:r>
          </w:p>
          <w:p w:rsidR="00FD1A2D" w:rsidRDefault="00041CE3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 xml:space="preserve">Présentation de l'approche accélérée à la Turquie, développée ensuite pour former la note conceptuelle stratégique </w:t>
            </w:r>
            <w:r>
              <w:rPr>
                <w:rFonts w:ascii="Times New Roman" w:hAnsi="Times New Roman"/>
                <w:noProof/>
                <w:sz w:val="16"/>
              </w:rPr>
              <w:t>relative à la mise en œuvre de la facilité.</w:t>
            </w:r>
          </w:p>
          <w:p w:rsidR="00FD1A2D" w:rsidRDefault="00FD1A2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FD1A2D" w:rsidRDefault="00FD1A2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FD1A2D" w:rsidRDefault="00041CE3">
            <w:pPr>
              <w:tabs>
                <w:tab w:val="left" w:pos="935"/>
              </w:tabs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noProof/>
              </w:rPr>
              <w:tab/>
            </w:r>
          </w:p>
        </w:tc>
        <w:tc>
          <w:tcPr>
            <w:tcW w:w="2856" w:type="dxa"/>
            <w:shd w:val="clear" w:color="auto" w:fill="auto"/>
          </w:tcPr>
          <w:p w:rsidR="00FD1A2D" w:rsidRDefault="00041CE3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12 mai</w:t>
            </w:r>
          </w:p>
          <w:p w:rsidR="00FD1A2D" w:rsidRDefault="00041CE3">
            <w:pPr>
              <w:tabs>
                <w:tab w:val="left" w:pos="4632"/>
              </w:tabs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Approbation de la note conceptuelle stratégique par le comité de pilotage lors de sa deuxième réunion et présentation à cette occasion de l'évaluation indépendante des besoins Six domaines prioritaires</w:t>
            </w:r>
            <w:r>
              <w:rPr>
                <w:rFonts w:ascii="Times New Roman" w:hAnsi="Times New Roman"/>
                <w:noProof/>
                <w:sz w:val="16"/>
              </w:rPr>
              <w:t xml:space="preserve"> sont convenus pour la facilité: l'aide humanitaire, la gestion des migrations, l'éducation, la santé, les infrastructures municipales et le soutien socioéconomique.</w:t>
            </w:r>
          </w:p>
        </w:tc>
        <w:tc>
          <w:tcPr>
            <w:tcW w:w="2386" w:type="dxa"/>
            <w:shd w:val="clear" w:color="auto" w:fill="auto"/>
          </w:tcPr>
          <w:p w:rsidR="00FD1A2D" w:rsidRDefault="00041CE3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13 juin</w:t>
            </w:r>
          </w:p>
          <w:p w:rsidR="00FD1A2D" w:rsidRDefault="00041CE3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Réception des certificats de contribution de l'ensemble des États membres</w:t>
            </w:r>
            <w:r>
              <w:rPr>
                <w:rFonts w:ascii="Times New Roman" w:hAnsi="Times New Roman"/>
                <w:i/>
                <w:noProof/>
                <w:sz w:val="16"/>
              </w:rPr>
              <w:t xml:space="preserve"> </w:t>
            </w:r>
            <w:r>
              <w:rPr>
                <w:rFonts w:ascii="Times New Roman" w:hAnsi="Times New Roman"/>
                <w:noProof/>
                <w:sz w:val="16"/>
              </w:rPr>
              <w:t>couvrant</w:t>
            </w:r>
            <w:r>
              <w:rPr>
                <w:rFonts w:ascii="Times New Roman" w:hAnsi="Times New Roman"/>
                <w:noProof/>
                <w:sz w:val="16"/>
              </w:rPr>
              <w:t xml:space="preserve"> la totalité des 2 000 000 000 EUR engagés pour 2016-2017.</w:t>
            </w:r>
          </w:p>
        </w:tc>
        <w:tc>
          <w:tcPr>
            <w:tcW w:w="2368" w:type="dxa"/>
            <w:shd w:val="clear" w:color="auto" w:fill="auto"/>
          </w:tcPr>
          <w:p w:rsidR="00FD1A2D" w:rsidRDefault="00041CE3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30 juin</w:t>
            </w:r>
          </w:p>
          <w:p w:rsidR="00FD1A2D" w:rsidRDefault="00041CE3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Révision de la mise en œuvre et examen des mesures spéciales en faveur de l'éducation, de la santé, des infrastructures municipales et sociales et du soutien socioéconomique par le comité d</w:t>
            </w:r>
            <w:r>
              <w:rPr>
                <w:rFonts w:ascii="Times New Roman" w:hAnsi="Times New Roman"/>
                <w:noProof/>
                <w:sz w:val="16"/>
              </w:rPr>
              <w:t>e pilotage lors de sa troisième réunion, avant l'approbation de la mesure par le comité de gestion de l'IAP en juillet.</w:t>
            </w:r>
          </w:p>
        </w:tc>
        <w:tc>
          <w:tcPr>
            <w:tcW w:w="2671" w:type="dxa"/>
            <w:shd w:val="clear" w:color="auto" w:fill="auto"/>
          </w:tcPr>
          <w:p w:rsidR="00FD1A2D" w:rsidRDefault="00041CE3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4 octobre</w:t>
            </w:r>
          </w:p>
          <w:p w:rsidR="00FD1A2D" w:rsidRDefault="00041CE3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Quatrième réunion du comité de pilotage</w:t>
            </w:r>
          </w:p>
          <w:p w:rsidR="00FD1A2D" w:rsidRDefault="00FD1A2D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  <w:p w:rsidR="00FD1A2D" w:rsidRDefault="00041CE3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En continu</w:t>
            </w:r>
          </w:p>
          <w:p w:rsidR="00FD1A2D" w:rsidRDefault="00041CE3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 xml:space="preserve">Rapport sur la mise en œuvre et communication des résultats obtenus, </w:t>
            </w:r>
            <w:r>
              <w:rPr>
                <w:rFonts w:ascii="Times New Roman" w:hAnsi="Times New Roman"/>
                <w:noProof/>
                <w:sz w:val="16"/>
              </w:rPr>
              <w:t>notamment grâce à la carte interactive</w:t>
            </w:r>
            <w:r>
              <w:rPr>
                <w:rStyle w:val="FootnoteReference"/>
                <w:rFonts w:ascii="Times New Roman" w:hAnsi="Times New Roman"/>
                <w:noProof/>
                <w:sz w:val="16"/>
              </w:rPr>
              <w:footnoteReference w:id="1"/>
            </w:r>
            <w:r>
              <w:rPr>
                <w:rFonts w:ascii="Times New Roman" w:hAnsi="Times New Roman"/>
                <w:noProof/>
                <w:sz w:val="16"/>
              </w:rPr>
              <w:t>.</w:t>
            </w:r>
          </w:p>
          <w:p w:rsidR="00FD1A2D" w:rsidRDefault="00FD1A2D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</w:tr>
    </w:tbl>
    <w:p w:rsidR="00FD1A2D" w:rsidRDefault="00FD1A2D">
      <w:pPr>
        <w:rPr>
          <w:noProof/>
        </w:rPr>
      </w:pPr>
    </w:p>
    <w:sectPr w:rsidR="00FD1A2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240" w:right="360" w:bottom="240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A2D" w:rsidRDefault="00041CE3">
      <w:pPr>
        <w:spacing w:after="0" w:line="240" w:lineRule="auto"/>
      </w:pPr>
      <w:r>
        <w:separator/>
      </w:r>
    </w:p>
  </w:endnote>
  <w:endnote w:type="continuationSeparator" w:id="0">
    <w:p w:rsidR="00FD1A2D" w:rsidRDefault="00041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A2D" w:rsidRDefault="00FD1A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A2D" w:rsidRDefault="00041CE3"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proofErr w:type="spellStart"/>
    <w:r>
      <w:rPr>
        <w:rFonts w:ascii="Arial" w:hAnsi="Arial" w:cs="Arial"/>
        <w:b/>
        <w:sz w:val="48"/>
      </w:rPr>
      <w:t>FR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A2D" w:rsidRDefault="00FD1A2D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A2D" w:rsidRDefault="00FD1A2D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A2D" w:rsidRDefault="00FD1A2D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A2D" w:rsidRDefault="00FD1A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A2D" w:rsidRDefault="00041CE3">
      <w:pPr>
        <w:spacing w:after="0" w:line="240" w:lineRule="auto"/>
      </w:pPr>
      <w:r>
        <w:separator/>
      </w:r>
    </w:p>
  </w:footnote>
  <w:footnote w:type="continuationSeparator" w:id="0">
    <w:p w:rsidR="00FD1A2D" w:rsidRDefault="00041CE3">
      <w:pPr>
        <w:spacing w:after="0" w:line="240" w:lineRule="auto"/>
      </w:pPr>
      <w:r>
        <w:continuationSeparator/>
      </w:r>
    </w:p>
  </w:footnote>
  <w:footnote w:id="1">
    <w:p w:rsidR="00FD1A2D" w:rsidRDefault="00041CE3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rPr>
          <w:rFonts w:ascii="Times New Roman" w:hAnsi="Times New Roman"/>
        </w:rPr>
        <w:t xml:space="preserve">Pour obtenir davantage d'informations sur le fonctionnement de la facilité et une présentation détaillée des projets financés, voir </w:t>
      </w:r>
      <w:hyperlink r:id="rId1">
        <w:r>
          <w:rPr>
            <w:rStyle w:val="Hyperlink"/>
            <w:rFonts w:ascii="Times New Roman" w:hAnsi="Times New Roman"/>
          </w:rPr>
          <w:t>http://ec.europa.eu/enlargement/news_corner/migration/index_en.htm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A2D" w:rsidRDefault="00FD1A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A2D" w:rsidRDefault="00FD1A2D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A2D" w:rsidRDefault="00FD1A2D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A2D" w:rsidRDefault="00FD1A2D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A2D" w:rsidRDefault="00FD1A2D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A2D" w:rsidRDefault="00FD1A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COMMUNICATION DE LA COMMISSION AU PARLEMENT EUROPÉEN, AU CONSEIL EUROPÉEN ET AU CONSEIL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31297F78248940408E5D2891234386D5"/>
    <w:docVar w:name="LW_CROSSREFERENCE" w:val="&lt;UNUSED&gt;"/>
    <w:docVar w:name="LW_DocType" w:val="NORMAL"/>
    <w:docVar w:name="LW_EMISSION" w:val="28.9.2016"/>
    <w:docVar w:name="LW_EMISSION_ISODATE" w:val="2016-09-28"/>
    <w:docVar w:name="LW_EMISSION_LOCATION" w:val="BRX"/>
    <w:docVar w:name="LW_EMISSION_PREFIX" w:val="Bruxelles, le "/>
    <w:docVar w:name="LW_EMISSION_SUFFIX" w:val=" "/>
    <w:docVar w:name="LW_ID_DOCTYPE_NONLW" w:val="CP-039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.CP" w:val="&lt;UNUSED&gt;"/>
    <w:docVar w:name="LW_PART_NBR" w:val="1"/>
    <w:docVar w:name="LW_PART_NBR_TOTAL" w:val="1"/>
    <w:docVar w:name="LW_REF.INST.NEW" w:val="COM"/>
    <w:docVar w:name="LW_REF.INST.NEW_ADOPTED" w:val="final"/>
    <w:docVar w:name="LW_REF.INST.NEW_TEXT" w:val="(2016) 634"/>
    <w:docVar w:name="LW_REF.INTERNE" w:val="&lt;UNUSED&gt;"/>
    <w:docVar w:name="LW_SUPERTITRE" w:val="&lt;UNUSED&gt;"/>
    <w:docVar w:name="LW_TITRE.OBJ.CP" w:val="à la"/>
    <w:docVar w:name="LW_TYPE.DOC.CP" w:val="ANNEXE_x000b_"/>
    <w:docVar w:name="LW_TYPEACTEPRINCIPAL.CP" w:val="Troisième rapport sur les progrès réalisés dans la mise en oeuvre de la déclaration UE-Turquie"/>
  </w:docVars>
  <w:rsids>
    <w:rsidRoot w:val="00FD1A2D"/>
    <w:rsid w:val="00041CE3"/>
    <w:rsid w:val="00FD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,BVI fnr,footnote ref,4_G"/>
    <w:basedOn w:val="DefaultParagraphFont"/>
    <w:link w:val="BVIfnrChar1CharCharChar"/>
    <w:uiPriority w:val="99"/>
    <w:unhideWhenUsed/>
    <w:qFormat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VIfnrChar1CharCharChar">
    <w:name w:val="BVI fnr Char1 Char Char Char"/>
    <w:aliases w:val="BVI fnr Car Car Char1 Char Char Char,BVI fnr Car Char1 Char Char Char,BVI fnr Car Car Car Car Char Char1 Char Char"/>
    <w:basedOn w:val="Normal"/>
    <w:link w:val="FootnoteReference"/>
    <w:uiPriority w:val="99"/>
    <w:pPr>
      <w:spacing w:after="160" w:line="240" w:lineRule="exact"/>
    </w:pPr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,BVI fnr,footnote ref,4_G"/>
    <w:basedOn w:val="DefaultParagraphFont"/>
    <w:link w:val="BVIfnrChar1CharCharChar"/>
    <w:uiPriority w:val="99"/>
    <w:unhideWhenUsed/>
    <w:qFormat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VIfnrChar1CharCharChar">
    <w:name w:val="BVI fnr Char1 Char Char Char"/>
    <w:aliases w:val="BVI fnr Car Car Char1 Char Char Char,BVI fnr Car Char1 Char Char Char,BVI fnr Car Car Car Car Char Char1 Char Char"/>
    <w:basedOn w:val="Normal"/>
    <w:link w:val="FootnoteReference"/>
    <w:uiPriority w:val="99"/>
    <w:pPr>
      <w:spacing w:after="160" w:line="240" w:lineRule="exact"/>
    </w:pPr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enlargement/news_corner/migration/index_en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0A5FF-DE74-4D7B-8926-8D2D362F1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DE LANDA Rosa Maria (SG)</dc:creator>
  <cp:lastModifiedBy>Stefanie Heilemann</cp:lastModifiedBy>
  <cp:revision>10</cp:revision>
  <dcterms:created xsi:type="dcterms:W3CDTF">2016-09-27T07:45:00Z</dcterms:created>
  <dcterms:modified xsi:type="dcterms:W3CDTF">2016-10-05T08:56:00Z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Classification">
    <vt:lpwstr> </vt:lpwstr>
  </property>
  <property fmtid="{D5CDD505-2E9C-101B-9397-08002B2CF9AE}" pid="7" name="DocStatus">
    <vt:lpwstr>Green</vt:lpwstr>
  </property>
</Properties>
</file>