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3244B52D70F45C78E91EF5DFE34E927" style="width:450.8pt;height:307.4pt">
            <v:imagedata r:id="rId10" o:title=""/>
          </v:shape>
        </w:pict>
      </w:r>
    </w:p>
    <w:bookmarkEnd w:id="0"/>
    <w:p>
      <w:pPr>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1"/>
          <w:cols w:space="720"/>
          <w:docGrid w:linePitch="360"/>
        </w:sectPr>
      </w:pPr>
    </w:p>
    <w:p>
      <w:pPr>
        <w:jc w:val="both"/>
        <w:rPr>
          <w:rFonts w:ascii="Verdana" w:hAnsi="Verdana"/>
          <w:b/>
          <w:noProof/>
          <w:sz w:val="20"/>
          <w:szCs w:val="20"/>
        </w:rPr>
      </w:pPr>
      <w:bookmarkStart w:id="1" w:name="_GoBack"/>
      <w:bookmarkEnd w:id="1"/>
      <w:r>
        <w:rPr>
          <w:rFonts w:ascii="Verdana" w:hAnsi="Verdana"/>
          <w:b/>
          <w:noProof/>
          <w:sz w:val="20"/>
        </w:rPr>
        <w:lastRenderedPageBreak/>
        <w:t>Table des matières</w:t>
      </w:r>
    </w:p>
    <w:p>
      <w:pPr>
        <w:pStyle w:val="TOC1"/>
        <w:rPr>
          <w:rFonts w:ascii="Verdana" w:eastAsiaTheme="minorEastAsia" w:hAnsi="Verdana" w:cstheme="minorBidi"/>
          <w:noProof/>
          <w:sz w:val="22"/>
          <w:szCs w:val="22"/>
          <w:lang w:bidi="ar-SA"/>
        </w:rPr>
      </w:pPr>
      <w:r>
        <w:rPr>
          <w:rFonts w:ascii="Verdana" w:hAnsi="Verdana"/>
          <w:noProof/>
          <w:sz w:val="20"/>
        </w:rPr>
        <w:fldChar w:fldCharType="begin"/>
      </w:r>
      <w:r>
        <w:rPr>
          <w:rFonts w:ascii="Verdana" w:hAnsi="Verdana"/>
          <w:noProof/>
          <w:sz w:val="20"/>
        </w:rPr>
        <w:instrText xml:space="preserve"> TOC \o "1-3" \h \z \u </w:instrText>
      </w:r>
      <w:r>
        <w:rPr>
          <w:rFonts w:ascii="Verdana" w:hAnsi="Verdana"/>
          <w:noProof/>
          <w:sz w:val="20"/>
        </w:rPr>
        <w:fldChar w:fldCharType="separate"/>
      </w:r>
      <w:hyperlink w:anchor="_Toc461437479" w:history="1">
        <w:r>
          <w:rPr>
            <w:rStyle w:val="Hyperlink"/>
            <w:rFonts w:ascii="Verdana" w:hAnsi="Verdana"/>
            <w:noProof/>
          </w:rPr>
          <w:t>1.</w:t>
        </w:r>
        <w:r>
          <w:rPr>
            <w:rFonts w:ascii="Verdana" w:eastAsiaTheme="minorEastAsia" w:hAnsi="Verdana" w:cstheme="minorBidi"/>
            <w:noProof/>
            <w:sz w:val="22"/>
            <w:szCs w:val="22"/>
            <w:lang w:bidi="ar-SA"/>
          </w:rPr>
          <w:tab/>
        </w:r>
        <w:r>
          <w:rPr>
            <w:rStyle w:val="Hyperlink"/>
            <w:rFonts w:ascii="Verdana" w:hAnsi="Verdana"/>
            <w:noProof/>
          </w:rPr>
          <w:t>RÉSUMÉ ET CONCLUSIONS</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_Toc461437479 \h </w:instrText>
        </w:r>
        <w:r>
          <w:rPr>
            <w:rFonts w:ascii="Verdana" w:hAnsi="Verdana"/>
            <w:noProof/>
            <w:webHidden/>
          </w:rPr>
        </w:r>
        <w:r>
          <w:rPr>
            <w:rFonts w:ascii="Verdana" w:hAnsi="Verdana"/>
            <w:noProof/>
            <w:webHidden/>
          </w:rPr>
          <w:fldChar w:fldCharType="separate"/>
        </w:r>
        <w:r>
          <w:rPr>
            <w:rFonts w:ascii="Verdana" w:hAnsi="Verdana"/>
            <w:noProof/>
            <w:webHidden/>
          </w:rPr>
          <w:t>3</w:t>
        </w:r>
        <w:r>
          <w:rPr>
            <w:rFonts w:ascii="Verdana" w:hAnsi="Verdana"/>
            <w:noProof/>
            <w:webHidden/>
          </w:rPr>
          <w:fldChar w:fldCharType="end"/>
        </w:r>
      </w:hyperlink>
    </w:p>
    <w:p>
      <w:pPr>
        <w:pStyle w:val="TOC1"/>
        <w:rPr>
          <w:rFonts w:ascii="Verdana" w:eastAsiaTheme="minorEastAsia" w:hAnsi="Verdana" w:cstheme="minorBidi"/>
          <w:noProof/>
          <w:sz w:val="22"/>
          <w:szCs w:val="22"/>
          <w:lang w:bidi="ar-SA"/>
        </w:rPr>
      </w:pPr>
      <w:hyperlink w:anchor="_Toc461437480" w:history="1">
        <w:r>
          <w:rPr>
            <w:rStyle w:val="Hyperlink"/>
            <w:rFonts w:ascii="Verdana" w:hAnsi="Verdana"/>
            <w:noProof/>
          </w:rPr>
          <w:t>2.</w:t>
        </w:r>
        <w:r>
          <w:rPr>
            <w:rFonts w:ascii="Verdana" w:eastAsiaTheme="minorEastAsia" w:hAnsi="Verdana" w:cstheme="minorBidi"/>
            <w:noProof/>
            <w:sz w:val="22"/>
            <w:szCs w:val="22"/>
            <w:lang w:bidi="ar-SA"/>
          </w:rPr>
          <w:tab/>
        </w:r>
        <w:r>
          <w:rPr>
            <w:rStyle w:val="Hyperlink"/>
            <w:rFonts w:ascii="Verdana" w:hAnsi="Verdana"/>
            <w:noProof/>
          </w:rPr>
          <w:t>PROCESSUS</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_Toc461437480 \h </w:instrText>
        </w:r>
        <w:r>
          <w:rPr>
            <w:rFonts w:ascii="Verdana" w:hAnsi="Verdana"/>
            <w:noProof/>
            <w:webHidden/>
          </w:rPr>
        </w:r>
        <w:r>
          <w:rPr>
            <w:rFonts w:ascii="Verdana" w:hAnsi="Verdana"/>
            <w:noProof/>
            <w:webHidden/>
          </w:rPr>
          <w:fldChar w:fldCharType="separate"/>
        </w:r>
        <w:r>
          <w:rPr>
            <w:rFonts w:ascii="Verdana" w:hAnsi="Verdana"/>
            <w:noProof/>
            <w:webHidden/>
          </w:rPr>
          <w:t>8</w:t>
        </w:r>
        <w:r>
          <w:rPr>
            <w:rFonts w:ascii="Verdana" w:hAnsi="Verdana"/>
            <w:noProof/>
            <w:webHidden/>
          </w:rPr>
          <w:fldChar w:fldCharType="end"/>
        </w:r>
      </w:hyperlink>
    </w:p>
    <w:p>
      <w:pPr>
        <w:pStyle w:val="TOC2"/>
        <w:rPr>
          <w:rFonts w:ascii="Verdana" w:eastAsiaTheme="minorEastAsia" w:hAnsi="Verdana" w:cstheme="minorBidi"/>
          <w:noProof/>
          <w:sz w:val="22"/>
          <w:szCs w:val="22"/>
          <w:lang w:bidi="ar-SA"/>
        </w:rPr>
      </w:pPr>
      <w:hyperlink w:anchor="_Toc461437481" w:history="1">
        <w:r>
          <w:rPr>
            <w:rStyle w:val="Hyperlink"/>
            <w:rFonts w:ascii="Verdana" w:hAnsi="Verdana"/>
            <w:noProof/>
          </w:rPr>
          <w:t>2.1.</w:t>
        </w:r>
        <w:r>
          <w:rPr>
            <w:rFonts w:ascii="Verdana" w:eastAsiaTheme="minorEastAsia" w:hAnsi="Verdana" w:cstheme="minorBidi"/>
            <w:noProof/>
            <w:sz w:val="22"/>
            <w:szCs w:val="22"/>
            <w:lang w:bidi="ar-SA"/>
          </w:rPr>
          <w:tab/>
        </w:r>
        <w:r>
          <w:rPr>
            <w:rStyle w:val="Hyperlink"/>
            <w:rFonts w:ascii="Verdana" w:hAnsi="Verdana"/>
            <w:noProof/>
          </w:rPr>
          <w:t>Mécanismes préventifs</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_Toc461437481 \h </w:instrText>
        </w:r>
        <w:r>
          <w:rPr>
            <w:rFonts w:ascii="Verdana" w:hAnsi="Verdana"/>
            <w:noProof/>
            <w:webHidden/>
          </w:rPr>
        </w:r>
        <w:r>
          <w:rPr>
            <w:rFonts w:ascii="Verdana" w:hAnsi="Verdana"/>
            <w:noProof/>
            <w:webHidden/>
          </w:rPr>
          <w:fldChar w:fldCharType="separate"/>
        </w:r>
        <w:r>
          <w:rPr>
            <w:rFonts w:ascii="Verdana" w:hAnsi="Verdana"/>
            <w:noProof/>
            <w:webHidden/>
          </w:rPr>
          <w:t>8</w:t>
        </w:r>
        <w:r>
          <w:rPr>
            <w:rFonts w:ascii="Verdana" w:hAnsi="Verdana"/>
            <w:noProof/>
            <w:webHidden/>
          </w:rPr>
          <w:fldChar w:fldCharType="end"/>
        </w:r>
      </w:hyperlink>
    </w:p>
    <w:p>
      <w:pPr>
        <w:pStyle w:val="TOC2"/>
        <w:rPr>
          <w:rFonts w:ascii="Verdana" w:eastAsiaTheme="minorEastAsia" w:hAnsi="Verdana" w:cstheme="minorBidi"/>
          <w:noProof/>
          <w:sz w:val="22"/>
          <w:szCs w:val="22"/>
          <w:lang w:bidi="ar-SA"/>
        </w:rPr>
      </w:pPr>
      <w:hyperlink w:anchor="_Toc461437482" w:history="1">
        <w:r>
          <w:rPr>
            <w:rStyle w:val="Hyperlink"/>
            <w:rFonts w:ascii="Verdana" w:hAnsi="Verdana"/>
            <w:noProof/>
          </w:rPr>
          <w:t>2.2.</w:t>
        </w:r>
        <w:r>
          <w:rPr>
            <w:rFonts w:ascii="Verdana" w:eastAsiaTheme="minorEastAsia" w:hAnsi="Verdana" w:cstheme="minorBidi"/>
            <w:noProof/>
            <w:sz w:val="22"/>
            <w:szCs w:val="22"/>
            <w:lang w:bidi="ar-SA"/>
          </w:rPr>
          <w:tab/>
        </w:r>
        <w:r>
          <w:rPr>
            <w:rStyle w:val="Hyperlink"/>
            <w:rFonts w:ascii="Verdana" w:hAnsi="Verdana"/>
            <w:noProof/>
          </w:rPr>
          <w:t>Mécanismes de correction</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_Toc461437482 \h </w:instrText>
        </w:r>
        <w:r>
          <w:rPr>
            <w:rFonts w:ascii="Verdana" w:hAnsi="Verdana"/>
            <w:noProof/>
            <w:webHidden/>
          </w:rPr>
        </w:r>
        <w:r>
          <w:rPr>
            <w:rFonts w:ascii="Verdana" w:hAnsi="Verdana"/>
            <w:noProof/>
            <w:webHidden/>
          </w:rPr>
          <w:fldChar w:fldCharType="separate"/>
        </w:r>
        <w:r>
          <w:rPr>
            <w:rFonts w:ascii="Verdana" w:hAnsi="Verdana"/>
            <w:noProof/>
            <w:webHidden/>
          </w:rPr>
          <w:t>8</w:t>
        </w:r>
        <w:r>
          <w:rPr>
            <w:rFonts w:ascii="Verdana" w:hAnsi="Verdana"/>
            <w:noProof/>
            <w:webHidden/>
          </w:rPr>
          <w:fldChar w:fldCharType="end"/>
        </w:r>
      </w:hyperlink>
    </w:p>
    <w:p>
      <w:pPr>
        <w:pStyle w:val="TOC2"/>
        <w:rPr>
          <w:rFonts w:ascii="Verdana" w:eastAsiaTheme="minorEastAsia" w:hAnsi="Verdana" w:cstheme="minorBidi"/>
          <w:noProof/>
          <w:sz w:val="22"/>
          <w:szCs w:val="22"/>
          <w:lang w:bidi="ar-SA"/>
        </w:rPr>
      </w:pPr>
      <w:hyperlink w:anchor="_Toc461437483" w:history="1">
        <w:r>
          <w:rPr>
            <w:rStyle w:val="Hyperlink"/>
            <w:rFonts w:ascii="Verdana" w:hAnsi="Verdana"/>
            <w:noProof/>
          </w:rPr>
          <w:t>2.3.</w:t>
        </w:r>
        <w:r>
          <w:rPr>
            <w:rFonts w:ascii="Verdana" w:eastAsiaTheme="minorEastAsia" w:hAnsi="Verdana" w:cstheme="minorBidi"/>
            <w:noProof/>
            <w:sz w:val="22"/>
            <w:szCs w:val="22"/>
            <w:lang w:bidi="ar-SA"/>
          </w:rPr>
          <w:tab/>
        </w:r>
        <w:r>
          <w:rPr>
            <w:rStyle w:val="Hyperlink"/>
            <w:rFonts w:ascii="Verdana" w:hAnsi="Verdana"/>
            <w:noProof/>
          </w:rPr>
          <w:t>Rapport coût/efficacité des systèmes de gestion et de contrôle</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_Toc461437483 \h </w:instrText>
        </w:r>
        <w:r>
          <w:rPr>
            <w:rFonts w:ascii="Verdana" w:hAnsi="Verdana"/>
            <w:noProof/>
            <w:webHidden/>
          </w:rPr>
        </w:r>
        <w:r>
          <w:rPr>
            <w:rFonts w:ascii="Verdana" w:hAnsi="Verdana"/>
            <w:noProof/>
            <w:webHidden/>
          </w:rPr>
          <w:fldChar w:fldCharType="separate"/>
        </w:r>
        <w:r>
          <w:rPr>
            <w:rFonts w:ascii="Verdana" w:hAnsi="Verdana"/>
            <w:noProof/>
            <w:webHidden/>
          </w:rPr>
          <w:t>11</w:t>
        </w:r>
        <w:r>
          <w:rPr>
            <w:rFonts w:ascii="Verdana" w:hAnsi="Verdana"/>
            <w:noProof/>
            <w:webHidden/>
          </w:rPr>
          <w:fldChar w:fldCharType="end"/>
        </w:r>
      </w:hyperlink>
    </w:p>
    <w:p>
      <w:pPr>
        <w:pStyle w:val="TOC2"/>
        <w:rPr>
          <w:rFonts w:ascii="Verdana" w:eastAsiaTheme="minorEastAsia" w:hAnsi="Verdana" w:cstheme="minorBidi"/>
          <w:noProof/>
          <w:sz w:val="22"/>
          <w:szCs w:val="22"/>
          <w:lang w:bidi="ar-SA"/>
        </w:rPr>
      </w:pPr>
      <w:hyperlink w:anchor="_Toc461437484" w:history="1">
        <w:r>
          <w:rPr>
            <w:rStyle w:val="Hyperlink"/>
            <w:rFonts w:ascii="Verdana" w:hAnsi="Verdana"/>
            <w:noProof/>
          </w:rPr>
          <w:t>2.4.</w:t>
        </w:r>
        <w:r>
          <w:rPr>
            <w:rFonts w:ascii="Verdana" w:eastAsiaTheme="minorEastAsia" w:hAnsi="Verdana" w:cstheme="minorBidi"/>
            <w:noProof/>
            <w:sz w:val="22"/>
            <w:szCs w:val="22"/>
            <w:lang w:bidi="ar-SA"/>
          </w:rPr>
          <w:tab/>
        </w:r>
        <w:r>
          <w:rPr>
            <w:rStyle w:val="Hyperlink"/>
            <w:rFonts w:ascii="Verdana" w:hAnsi="Verdana"/>
            <w:noProof/>
          </w:rPr>
          <w:t>Contrôle interne public et gestion des fonds de l’UE</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_Toc461437484 \h </w:instrText>
        </w:r>
        <w:r>
          <w:rPr>
            <w:rFonts w:ascii="Verdana" w:hAnsi="Verdana"/>
            <w:noProof/>
            <w:webHidden/>
          </w:rPr>
        </w:r>
        <w:r>
          <w:rPr>
            <w:rFonts w:ascii="Verdana" w:hAnsi="Verdana"/>
            <w:noProof/>
            <w:webHidden/>
          </w:rPr>
          <w:fldChar w:fldCharType="separate"/>
        </w:r>
        <w:r>
          <w:rPr>
            <w:rFonts w:ascii="Verdana" w:hAnsi="Verdana"/>
            <w:noProof/>
            <w:webHidden/>
          </w:rPr>
          <w:t>11</w:t>
        </w:r>
        <w:r>
          <w:rPr>
            <w:rFonts w:ascii="Verdana" w:hAnsi="Verdana"/>
            <w:noProof/>
            <w:webHidden/>
          </w:rPr>
          <w:fldChar w:fldCharType="end"/>
        </w:r>
      </w:hyperlink>
    </w:p>
    <w:p>
      <w:pPr>
        <w:pStyle w:val="TOC1"/>
        <w:rPr>
          <w:rFonts w:ascii="Verdana" w:eastAsiaTheme="minorEastAsia" w:hAnsi="Verdana" w:cstheme="minorBidi"/>
          <w:noProof/>
          <w:sz w:val="22"/>
          <w:szCs w:val="22"/>
          <w:lang w:bidi="ar-SA"/>
        </w:rPr>
      </w:pPr>
      <w:hyperlink w:anchor="_Toc461437485" w:history="1">
        <w:r>
          <w:rPr>
            <w:rStyle w:val="Hyperlink"/>
            <w:rFonts w:ascii="Verdana" w:hAnsi="Verdana"/>
            <w:noProof/>
          </w:rPr>
          <w:t>3.</w:t>
        </w:r>
        <w:r>
          <w:rPr>
            <w:rFonts w:ascii="Verdana" w:eastAsiaTheme="minorEastAsia" w:hAnsi="Verdana" w:cstheme="minorBidi"/>
            <w:noProof/>
            <w:sz w:val="22"/>
            <w:szCs w:val="22"/>
            <w:lang w:bidi="ar-SA"/>
          </w:rPr>
          <w:tab/>
        </w:r>
        <w:r>
          <w:rPr>
            <w:rStyle w:val="Hyperlink"/>
            <w:rFonts w:ascii="Verdana" w:hAnsi="Verdana"/>
            <w:noProof/>
          </w:rPr>
          <w:t>CORRECTIONS FINANCIÈRES ET RECOUVREMENTS, SITUATION FIN 2015</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_Toc461437485 \h </w:instrText>
        </w:r>
        <w:r>
          <w:rPr>
            <w:rFonts w:ascii="Verdana" w:hAnsi="Verdana"/>
            <w:noProof/>
            <w:webHidden/>
          </w:rPr>
        </w:r>
        <w:r>
          <w:rPr>
            <w:rFonts w:ascii="Verdana" w:hAnsi="Verdana"/>
            <w:noProof/>
            <w:webHidden/>
          </w:rPr>
          <w:fldChar w:fldCharType="separate"/>
        </w:r>
        <w:r>
          <w:rPr>
            <w:rFonts w:ascii="Verdana" w:hAnsi="Verdana"/>
            <w:noProof/>
            <w:webHidden/>
          </w:rPr>
          <w:t>12</w:t>
        </w:r>
        <w:r>
          <w:rPr>
            <w:rFonts w:ascii="Verdana" w:hAnsi="Verdana"/>
            <w:noProof/>
            <w:webHidden/>
          </w:rPr>
          <w:fldChar w:fldCharType="end"/>
        </w:r>
      </w:hyperlink>
    </w:p>
    <w:p>
      <w:pPr>
        <w:pStyle w:val="TOC2"/>
        <w:rPr>
          <w:rFonts w:ascii="Verdana" w:eastAsiaTheme="minorEastAsia" w:hAnsi="Verdana" w:cstheme="minorBidi"/>
          <w:noProof/>
          <w:sz w:val="22"/>
          <w:szCs w:val="22"/>
          <w:lang w:bidi="ar-SA"/>
        </w:rPr>
      </w:pPr>
      <w:hyperlink w:anchor="_Toc461437486" w:history="1">
        <w:r>
          <w:rPr>
            <w:rStyle w:val="Hyperlink"/>
            <w:rFonts w:ascii="Verdana" w:hAnsi="Verdana"/>
            <w:noProof/>
          </w:rPr>
          <w:t>3.1.</w:t>
        </w:r>
        <w:r>
          <w:rPr>
            <w:rFonts w:ascii="Verdana" w:eastAsiaTheme="minorEastAsia" w:hAnsi="Verdana" w:cstheme="minorBidi"/>
            <w:noProof/>
            <w:sz w:val="22"/>
            <w:szCs w:val="22"/>
            <w:lang w:bidi="ar-SA"/>
          </w:rPr>
          <w:tab/>
        </w:r>
        <w:r>
          <w:rPr>
            <w:rStyle w:val="Hyperlink"/>
            <w:rFonts w:ascii="Verdana" w:hAnsi="Verdana"/>
            <w:noProof/>
          </w:rPr>
          <w:t>Corrections financières et recouvrements en 2015</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_Toc461437486 \h </w:instrText>
        </w:r>
        <w:r>
          <w:rPr>
            <w:rFonts w:ascii="Verdana" w:hAnsi="Verdana"/>
            <w:noProof/>
            <w:webHidden/>
          </w:rPr>
        </w:r>
        <w:r>
          <w:rPr>
            <w:rFonts w:ascii="Verdana" w:hAnsi="Verdana"/>
            <w:noProof/>
            <w:webHidden/>
          </w:rPr>
          <w:fldChar w:fldCharType="separate"/>
        </w:r>
        <w:r>
          <w:rPr>
            <w:rFonts w:ascii="Verdana" w:hAnsi="Verdana"/>
            <w:noProof/>
            <w:webHidden/>
          </w:rPr>
          <w:t>12</w:t>
        </w:r>
        <w:r>
          <w:rPr>
            <w:rFonts w:ascii="Verdana" w:hAnsi="Verdana"/>
            <w:noProof/>
            <w:webHidden/>
          </w:rPr>
          <w:fldChar w:fldCharType="end"/>
        </w:r>
      </w:hyperlink>
    </w:p>
    <w:p>
      <w:pPr>
        <w:pStyle w:val="TOC2"/>
        <w:rPr>
          <w:rFonts w:ascii="Verdana" w:eastAsiaTheme="minorEastAsia" w:hAnsi="Verdana" w:cstheme="minorBidi"/>
          <w:noProof/>
          <w:sz w:val="22"/>
          <w:szCs w:val="22"/>
          <w:lang w:bidi="ar-SA"/>
        </w:rPr>
      </w:pPr>
      <w:hyperlink w:anchor="_Toc461437487" w:history="1">
        <w:r>
          <w:rPr>
            <w:rStyle w:val="Hyperlink"/>
            <w:rFonts w:ascii="Verdana" w:hAnsi="Verdana"/>
            <w:noProof/>
          </w:rPr>
          <w:t>3.2.</w:t>
        </w:r>
        <w:r>
          <w:rPr>
            <w:rFonts w:ascii="Verdana" w:eastAsiaTheme="minorEastAsia" w:hAnsi="Verdana" w:cstheme="minorBidi"/>
            <w:noProof/>
            <w:sz w:val="22"/>
            <w:szCs w:val="22"/>
            <w:lang w:bidi="ar-SA"/>
          </w:rPr>
          <w:tab/>
        </w:r>
        <w:r>
          <w:rPr>
            <w:rStyle w:val="Hyperlink"/>
            <w:rFonts w:ascii="Verdana" w:hAnsi="Verdana"/>
            <w:noProof/>
          </w:rPr>
          <w:t>Corrections financières et recouvrements cumulés jusqu'à la fin de 2015</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_Toc461437487 \h </w:instrText>
        </w:r>
        <w:r>
          <w:rPr>
            <w:rFonts w:ascii="Verdana" w:hAnsi="Verdana"/>
            <w:noProof/>
            <w:webHidden/>
          </w:rPr>
        </w:r>
        <w:r>
          <w:rPr>
            <w:rFonts w:ascii="Verdana" w:hAnsi="Verdana"/>
            <w:noProof/>
            <w:webHidden/>
          </w:rPr>
          <w:fldChar w:fldCharType="separate"/>
        </w:r>
        <w:r>
          <w:rPr>
            <w:rFonts w:ascii="Verdana" w:hAnsi="Verdana"/>
            <w:noProof/>
            <w:webHidden/>
          </w:rPr>
          <w:t>16</w:t>
        </w:r>
        <w:r>
          <w:rPr>
            <w:rFonts w:ascii="Verdana" w:hAnsi="Verdana"/>
            <w:noProof/>
            <w:webHidden/>
          </w:rPr>
          <w:fldChar w:fldCharType="end"/>
        </w:r>
      </w:hyperlink>
    </w:p>
    <w:p>
      <w:pPr>
        <w:pStyle w:val="TOC2"/>
        <w:rPr>
          <w:rFonts w:ascii="Verdana" w:eastAsiaTheme="minorEastAsia" w:hAnsi="Verdana" w:cstheme="minorBidi"/>
          <w:noProof/>
          <w:sz w:val="22"/>
          <w:szCs w:val="22"/>
          <w:lang w:bidi="ar-SA"/>
        </w:rPr>
      </w:pPr>
      <w:hyperlink w:anchor="_Toc461437488" w:history="1">
        <w:r>
          <w:rPr>
            <w:rStyle w:val="Hyperlink"/>
            <w:rFonts w:ascii="Verdana" w:hAnsi="Verdana"/>
            <w:noProof/>
          </w:rPr>
          <w:t>3.3.</w:t>
        </w:r>
        <w:r>
          <w:rPr>
            <w:rFonts w:ascii="Verdana" w:eastAsiaTheme="minorEastAsia" w:hAnsi="Verdana" w:cstheme="minorBidi"/>
            <w:noProof/>
            <w:sz w:val="22"/>
            <w:szCs w:val="22"/>
            <w:lang w:bidi="ar-SA"/>
          </w:rPr>
          <w:tab/>
        </w:r>
        <w:r>
          <w:rPr>
            <w:rStyle w:val="Hyperlink"/>
            <w:rFonts w:ascii="Verdana" w:hAnsi="Verdana"/>
            <w:noProof/>
          </w:rPr>
          <w:t>Incidence des corrections financières</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_Toc461437488 \h </w:instrText>
        </w:r>
        <w:r>
          <w:rPr>
            <w:rFonts w:ascii="Verdana" w:hAnsi="Verdana"/>
            <w:noProof/>
            <w:webHidden/>
          </w:rPr>
        </w:r>
        <w:r>
          <w:rPr>
            <w:rFonts w:ascii="Verdana" w:hAnsi="Verdana"/>
            <w:noProof/>
            <w:webHidden/>
          </w:rPr>
          <w:fldChar w:fldCharType="separate"/>
        </w:r>
        <w:r>
          <w:rPr>
            <w:rFonts w:ascii="Verdana" w:hAnsi="Verdana"/>
            <w:noProof/>
            <w:webHidden/>
          </w:rPr>
          <w:t>19</w:t>
        </w:r>
        <w:r>
          <w:rPr>
            <w:rFonts w:ascii="Verdana" w:hAnsi="Verdana"/>
            <w:noProof/>
            <w:webHidden/>
          </w:rPr>
          <w:fldChar w:fldCharType="end"/>
        </w:r>
      </w:hyperlink>
    </w:p>
    <w:p>
      <w:pPr>
        <w:pStyle w:val="TOC1"/>
        <w:rPr>
          <w:rFonts w:ascii="Verdana" w:eastAsiaTheme="minorEastAsia" w:hAnsi="Verdana" w:cstheme="minorBidi"/>
          <w:noProof/>
          <w:sz w:val="22"/>
          <w:szCs w:val="22"/>
          <w:lang w:bidi="ar-SA"/>
        </w:rPr>
      </w:pPr>
      <w:hyperlink w:anchor="_Toc461437489" w:history="1">
        <w:r>
          <w:rPr>
            <w:rStyle w:val="Hyperlink"/>
            <w:rFonts w:ascii="Verdana" w:hAnsi="Verdana"/>
            <w:noProof/>
          </w:rPr>
          <w:t>4.</w:t>
        </w:r>
        <w:r>
          <w:rPr>
            <w:rFonts w:ascii="Verdana" w:eastAsiaTheme="minorEastAsia" w:hAnsi="Verdana" w:cstheme="minorBidi"/>
            <w:noProof/>
            <w:sz w:val="22"/>
            <w:szCs w:val="22"/>
            <w:lang w:bidi="ar-SA"/>
          </w:rPr>
          <w:tab/>
        </w:r>
        <w:r>
          <w:rPr>
            <w:rStyle w:val="Hyperlink"/>
            <w:rFonts w:ascii="Verdana" w:hAnsi="Verdana"/>
            <w:noProof/>
          </w:rPr>
          <w:t>AGRICULTURE ET DÉVELOPPEMENT RURAL</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_Toc461437489 \h </w:instrText>
        </w:r>
        <w:r>
          <w:rPr>
            <w:rFonts w:ascii="Verdana" w:hAnsi="Verdana"/>
            <w:noProof/>
            <w:webHidden/>
          </w:rPr>
        </w:r>
        <w:r>
          <w:rPr>
            <w:rFonts w:ascii="Verdana" w:hAnsi="Verdana"/>
            <w:noProof/>
            <w:webHidden/>
          </w:rPr>
          <w:fldChar w:fldCharType="separate"/>
        </w:r>
        <w:r>
          <w:rPr>
            <w:rFonts w:ascii="Verdana" w:hAnsi="Verdana"/>
            <w:noProof/>
            <w:webHidden/>
          </w:rPr>
          <w:t>20</w:t>
        </w:r>
        <w:r>
          <w:rPr>
            <w:rFonts w:ascii="Verdana" w:hAnsi="Verdana"/>
            <w:noProof/>
            <w:webHidden/>
          </w:rPr>
          <w:fldChar w:fldCharType="end"/>
        </w:r>
      </w:hyperlink>
    </w:p>
    <w:p>
      <w:pPr>
        <w:pStyle w:val="TOC2"/>
        <w:rPr>
          <w:rFonts w:ascii="Verdana" w:eastAsiaTheme="minorEastAsia" w:hAnsi="Verdana" w:cstheme="minorBidi"/>
          <w:noProof/>
          <w:sz w:val="22"/>
          <w:szCs w:val="22"/>
          <w:lang w:bidi="ar-SA"/>
        </w:rPr>
      </w:pPr>
      <w:hyperlink w:anchor="_Toc461437490" w:history="1">
        <w:r>
          <w:rPr>
            <w:rStyle w:val="Hyperlink"/>
            <w:rFonts w:ascii="Verdana" w:hAnsi="Verdana"/>
            <w:noProof/>
          </w:rPr>
          <w:t>4.1.</w:t>
        </w:r>
        <w:r>
          <w:rPr>
            <w:rFonts w:ascii="Verdana" w:eastAsiaTheme="minorEastAsia" w:hAnsi="Verdana" w:cstheme="minorBidi"/>
            <w:noProof/>
            <w:sz w:val="22"/>
            <w:szCs w:val="22"/>
            <w:lang w:bidi="ar-SA"/>
          </w:rPr>
          <w:tab/>
        </w:r>
        <w:r>
          <w:rPr>
            <w:rStyle w:val="Hyperlink"/>
            <w:rFonts w:ascii="Verdana" w:hAnsi="Verdana"/>
            <w:noProof/>
          </w:rPr>
          <w:t>Mesures préventives</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_Toc461437490 \h </w:instrText>
        </w:r>
        <w:r>
          <w:rPr>
            <w:rFonts w:ascii="Verdana" w:hAnsi="Verdana"/>
            <w:noProof/>
            <w:webHidden/>
          </w:rPr>
        </w:r>
        <w:r>
          <w:rPr>
            <w:rFonts w:ascii="Verdana" w:hAnsi="Verdana"/>
            <w:noProof/>
            <w:webHidden/>
          </w:rPr>
          <w:fldChar w:fldCharType="separate"/>
        </w:r>
        <w:r>
          <w:rPr>
            <w:rFonts w:ascii="Verdana" w:hAnsi="Verdana"/>
            <w:noProof/>
            <w:webHidden/>
          </w:rPr>
          <w:t>20</w:t>
        </w:r>
        <w:r>
          <w:rPr>
            <w:rFonts w:ascii="Verdana" w:hAnsi="Verdana"/>
            <w:noProof/>
            <w:webHidden/>
          </w:rPr>
          <w:fldChar w:fldCharType="end"/>
        </w:r>
      </w:hyperlink>
    </w:p>
    <w:p>
      <w:pPr>
        <w:pStyle w:val="TOC2"/>
        <w:rPr>
          <w:rFonts w:ascii="Verdana" w:eastAsiaTheme="minorEastAsia" w:hAnsi="Verdana" w:cstheme="minorBidi"/>
          <w:noProof/>
          <w:sz w:val="22"/>
          <w:szCs w:val="22"/>
          <w:lang w:bidi="ar-SA"/>
        </w:rPr>
      </w:pPr>
      <w:hyperlink w:anchor="_Toc461437491" w:history="1">
        <w:r>
          <w:rPr>
            <w:rStyle w:val="Hyperlink"/>
            <w:rFonts w:ascii="Verdana" w:hAnsi="Verdana"/>
            <w:noProof/>
          </w:rPr>
          <w:t>4.2.</w:t>
        </w:r>
        <w:r>
          <w:rPr>
            <w:rFonts w:ascii="Verdana" w:eastAsiaTheme="minorEastAsia" w:hAnsi="Verdana" w:cstheme="minorBidi"/>
            <w:noProof/>
            <w:sz w:val="22"/>
            <w:szCs w:val="22"/>
            <w:lang w:bidi="ar-SA"/>
          </w:rPr>
          <w:tab/>
        </w:r>
        <w:r>
          <w:rPr>
            <w:rStyle w:val="Hyperlink"/>
            <w:rFonts w:ascii="Verdana" w:hAnsi="Verdana"/>
            <w:noProof/>
          </w:rPr>
          <w:t>Mesures correctrices</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_Toc461437491 \h </w:instrText>
        </w:r>
        <w:r>
          <w:rPr>
            <w:rFonts w:ascii="Verdana" w:hAnsi="Verdana"/>
            <w:noProof/>
            <w:webHidden/>
          </w:rPr>
        </w:r>
        <w:r>
          <w:rPr>
            <w:rFonts w:ascii="Verdana" w:hAnsi="Verdana"/>
            <w:noProof/>
            <w:webHidden/>
          </w:rPr>
          <w:fldChar w:fldCharType="separate"/>
        </w:r>
        <w:r>
          <w:rPr>
            <w:rFonts w:ascii="Verdana" w:hAnsi="Verdana"/>
            <w:noProof/>
            <w:webHidden/>
          </w:rPr>
          <w:t>21</w:t>
        </w:r>
        <w:r>
          <w:rPr>
            <w:rFonts w:ascii="Verdana" w:hAnsi="Verdana"/>
            <w:noProof/>
            <w:webHidden/>
          </w:rPr>
          <w:fldChar w:fldCharType="end"/>
        </w:r>
      </w:hyperlink>
    </w:p>
    <w:p>
      <w:pPr>
        <w:pStyle w:val="TOC2"/>
        <w:rPr>
          <w:rFonts w:ascii="Verdana" w:eastAsiaTheme="minorEastAsia" w:hAnsi="Verdana" w:cstheme="minorBidi"/>
          <w:noProof/>
          <w:sz w:val="22"/>
          <w:szCs w:val="22"/>
          <w:lang w:bidi="ar-SA"/>
        </w:rPr>
      </w:pPr>
      <w:hyperlink w:anchor="_Toc461437492" w:history="1">
        <w:r>
          <w:rPr>
            <w:rStyle w:val="Hyperlink"/>
            <w:rFonts w:ascii="Verdana" w:hAnsi="Verdana"/>
            <w:noProof/>
          </w:rPr>
          <w:t>4.3.</w:t>
        </w:r>
        <w:r>
          <w:rPr>
            <w:rFonts w:ascii="Verdana" w:eastAsiaTheme="minorEastAsia" w:hAnsi="Verdana" w:cstheme="minorBidi"/>
            <w:noProof/>
            <w:sz w:val="22"/>
            <w:szCs w:val="22"/>
            <w:lang w:bidi="ar-SA"/>
          </w:rPr>
          <w:tab/>
        </w:r>
        <w:r>
          <w:rPr>
            <w:rStyle w:val="Hyperlink"/>
            <w:rFonts w:ascii="Verdana" w:hAnsi="Verdana"/>
            <w:noProof/>
          </w:rPr>
          <w:t>Déficiences relevées dans la gestion et le contrôle des États membres et mesures adoptées</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_Toc461437492 \h </w:instrText>
        </w:r>
        <w:r>
          <w:rPr>
            <w:rFonts w:ascii="Verdana" w:hAnsi="Verdana"/>
            <w:noProof/>
            <w:webHidden/>
          </w:rPr>
        </w:r>
        <w:r>
          <w:rPr>
            <w:rFonts w:ascii="Verdana" w:hAnsi="Verdana"/>
            <w:noProof/>
            <w:webHidden/>
          </w:rPr>
          <w:fldChar w:fldCharType="separate"/>
        </w:r>
        <w:r>
          <w:rPr>
            <w:rFonts w:ascii="Verdana" w:hAnsi="Verdana"/>
            <w:noProof/>
            <w:webHidden/>
          </w:rPr>
          <w:t>22</w:t>
        </w:r>
        <w:r>
          <w:rPr>
            <w:rFonts w:ascii="Verdana" w:hAnsi="Verdana"/>
            <w:noProof/>
            <w:webHidden/>
          </w:rPr>
          <w:fldChar w:fldCharType="end"/>
        </w:r>
      </w:hyperlink>
    </w:p>
    <w:p>
      <w:pPr>
        <w:pStyle w:val="TOC2"/>
        <w:rPr>
          <w:rFonts w:ascii="Verdana" w:eastAsiaTheme="minorEastAsia" w:hAnsi="Verdana" w:cstheme="minorBidi"/>
          <w:noProof/>
          <w:sz w:val="22"/>
          <w:szCs w:val="22"/>
          <w:lang w:bidi="ar-SA"/>
        </w:rPr>
      </w:pPr>
      <w:hyperlink w:anchor="_Toc461437493" w:history="1">
        <w:r>
          <w:rPr>
            <w:rStyle w:val="Hyperlink"/>
            <w:rFonts w:ascii="Verdana" w:hAnsi="Verdana"/>
            <w:noProof/>
          </w:rPr>
          <w:t>4.4.</w:t>
        </w:r>
        <w:r>
          <w:rPr>
            <w:rFonts w:ascii="Verdana" w:eastAsiaTheme="minorEastAsia" w:hAnsi="Verdana" w:cstheme="minorBidi"/>
            <w:noProof/>
            <w:sz w:val="22"/>
            <w:szCs w:val="22"/>
            <w:lang w:bidi="ar-SA"/>
          </w:rPr>
          <w:tab/>
        </w:r>
        <w:r>
          <w:rPr>
            <w:rStyle w:val="Hyperlink"/>
            <w:rFonts w:ascii="Verdana" w:hAnsi="Verdana"/>
            <w:noProof/>
          </w:rPr>
          <w:t>Chiffres cumulés</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_Toc461437493 \h </w:instrText>
        </w:r>
        <w:r>
          <w:rPr>
            <w:rFonts w:ascii="Verdana" w:hAnsi="Verdana"/>
            <w:noProof/>
            <w:webHidden/>
          </w:rPr>
        </w:r>
        <w:r>
          <w:rPr>
            <w:rFonts w:ascii="Verdana" w:hAnsi="Verdana"/>
            <w:noProof/>
            <w:webHidden/>
          </w:rPr>
          <w:fldChar w:fldCharType="separate"/>
        </w:r>
        <w:r>
          <w:rPr>
            <w:rFonts w:ascii="Verdana" w:hAnsi="Verdana"/>
            <w:noProof/>
            <w:webHidden/>
          </w:rPr>
          <w:t>23</w:t>
        </w:r>
        <w:r>
          <w:rPr>
            <w:rFonts w:ascii="Verdana" w:hAnsi="Verdana"/>
            <w:noProof/>
            <w:webHidden/>
          </w:rPr>
          <w:fldChar w:fldCharType="end"/>
        </w:r>
      </w:hyperlink>
    </w:p>
    <w:p>
      <w:pPr>
        <w:pStyle w:val="TOC2"/>
        <w:rPr>
          <w:rFonts w:ascii="Verdana" w:eastAsiaTheme="minorEastAsia" w:hAnsi="Verdana" w:cstheme="minorBidi"/>
          <w:noProof/>
          <w:sz w:val="22"/>
          <w:szCs w:val="22"/>
          <w:lang w:bidi="ar-SA"/>
        </w:rPr>
      </w:pPr>
      <w:hyperlink w:anchor="_Toc461437494" w:history="1">
        <w:r>
          <w:rPr>
            <w:rStyle w:val="Hyperlink"/>
            <w:rFonts w:ascii="Verdana" w:hAnsi="Verdana"/>
            <w:noProof/>
          </w:rPr>
          <w:t>4.5.</w:t>
        </w:r>
        <w:r>
          <w:rPr>
            <w:rFonts w:ascii="Verdana" w:eastAsiaTheme="minorEastAsia" w:hAnsi="Verdana" w:cstheme="minorBidi"/>
            <w:noProof/>
            <w:sz w:val="22"/>
            <w:szCs w:val="22"/>
            <w:lang w:bidi="ar-SA"/>
          </w:rPr>
          <w:tab/>
        </w:r>
        <w:r>
          <w:rPr>
            <w:rStyle w:val="Hyperlink"/>
            <w:rFonts w:ascii="Verdana" w:hAnsi="Verdana"/>
            <w:noProof/>
          </w:rPr>
          <w:t>Corrections des États membres</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_Toc461437494 \h </w:instrText>
        </w:r>
        <w:r>
          <w:rPr>
            <w:rFonts w:ascii="Verdana" w:hAnsi="Verdana"/>
            <w:noProof/>
            <w:webHidden/>
          </w:rPr>
        </w:r>
        <w:r>
          <w:rPr>
            <w:rFonts w:ascii="Verdana" w:hAnsi="Verdana"/>
            <w:noProof/>
            <w:webHidden/>
          </w:rPr>
          <w:fldChar w:fldCharType="separate"/>
        </w:r>
        <w:r>
          <w:rPr>
            <w:rFonts w:ascii="Verdana" w:hAnsi="Verdana"/>
            <w:noProof/>
            <w:webHidden/>
          </w:rPr>
          <w:t>25</w:t>
        </w:r>
        <w:r>
          <w:rPr>
            <w:rFonts w:ascii="Verdana" w:hAnsi="Verdana"/>
            <w:noProof/>
            <w:webHidden/>
          </w:rPr>
          <w:fldChar w:fldCharType="end"/>
        </w:r>
      </w:hyperlink>
    </w:p>
    <w:p>
      <w:pPr>
        <w:pStyle w:val="TOC1"/>
        <w:rPr>
          <w:rFonts w:ascii="Verdana" w:eastAsiaTheme="minorEastAsia" w:hAnsi="Verdana" w:cstheme="minorBidi"/>
          <w:noProof/>
          <w:sz w:val="22"/>
          <w:szCs w:val="22"/>
          <w:lang w:bidi="ar-SA"/>
        </w:rPr>
      </w:pPr>
      <w:hyperlink w:anchor="_Toc461437495" w:history="1">
        <w:r>
          <w:rPr>
            <w:rStyle w:val="Hyperlink"/>
            <w:rFonts w:ascii="Verdana" w:hAnsi="Verdana"/>
            <w:noProof/>
          </w:rPr>
          <w:t>5.</w:t>
        </w:r>
        <w:r>
          <w:rPr>
            <w:rFonts w:ascii="Verdana" w:eastAsiaTheme="minorEastAsia" w:hAnsi="Verdana" w:cstheme="minorBidi"/>
            <w:noProof/>
            <w:sz w:val="22"/>
            <w:szCs w:val="22"/>
            <w:lang w:bidi="ar-SA"/>
          </w:rPr>
          <w:tab/>
        </w:r>
        <w:r>
          <w:rPr>
            <w:rStyle w:val="Hyperlink"/>
            <w:rFonts w:ascii="Verdana" w:hAnsi="Verdana"/>
            <w:noProof/>
          </w:rPr>
          <w:t>POLITIQUE DE COHÉSION</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_Toc461437495 \h </w:instrText>
        </w:r>
        <w:r>
          <w:rPr>
            <w:rFonts w:ascii="Verdana" w:hAnsi="Verdana"/>
            <w:noProof/>
            <w:webHidden/>
          </w:rPr>
        </w:r>
        <w:r>
          <w:rPr>
            <w:rFonts w:ascii="Verdana" w:hAnsi="Verdana"/>
            <w:noProof/>
            <w:webHidden/>
          </w:rPr>
          <w:fldChar w:fldCharType="separate"/>
        </w:r>
        <w:r>
          <w:rPr>
            <w:rFonts w:ascii="Verdana" w:hAnsi="Verdana"/>
            <w:noProof/>
            <w:webHidden/>
          </w:rPr>
          <w:t>26</w:t>
        </w:r>
        <w:r>
          <w:rPr>
            <w:rFonts w:ascii="Verdana" w:hAnsi="Verdana"/>
            <w:noProof/>
            <w:webHidden/>
          </w:rPr>
          <w:fldChar w:fldCharType="end"/>
        </w:r>
      </w:hyperlink>
    </w:p>
    <w:p>
      <w:pPr>
        <w:pStyle w:val="TOC2"/>
        <w:rPr>
          <w:rFonts w:ascii="Verdana" w:eastAsiaTheme="minorEastAsia" w:hAnsi="Verdana" w:cstheme="minorBidi"/>
          <w:noProof/>
          <w:sz w:val="22"/>
          <w:szCs w:val="22"/>
          <w:lang w:bidi="ar-SA"/>
        </w:rPr>
      </w:pPr>
      <w:hyperlink w:anchor="_Toc461437496" w:history="1">
        <w:r>
          <w:rPr>
            <w:rStyle w:val="Hyperlink"/>
            <w:rFonts w:ascii="Verdana" w:hAnsi="Verdana"/>
            <w:noProof/>
          </w:rPr>
          <w:t>5.1.</w:t>
        </w:r>
        <w:r>
          <w:rPr>
            <w:rFonts w:ascii="Verdana" w:eastAsiaTheme="minorEastAsia" w:hAnsi="Verdana" w:cstheme="minorBidi"/>
            <w:noProof/>
            <w:sz w:val="22"/>
            <w:szCs w:val="22"/>
            <w:lang w:bidi="ar-SA"/>
          </w:rPr>
          <w:tab/>
        </w:r>
        <w:r>
          <w:rPr>
            <w:rStyle w:val="Hyperlink"/>
            <w:rFonts w:ascii="Verdana" w:hAnsi="Verdana"/>
            <w:noProof/>
          </w:rPr>
          <w:t>Mesures préventives</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_Toc461437496 \h </w:instrText>
        </w:r>
        <w:r>
          <w:rPr>
            <w:rFonts w:ascii="Verdana" w:hAnsi="Verdana"/>
            <w:noProof/>
            <w:webHidden/>
          </w:rPr>
        </w:r>
        <w:r>
          <w:rPr>
            <w:rFonts w:ascii="Verdana" w:hAnsi="Verdana"/>
            <w:noProof/>
            <w:webHidden/>
          </w:rPr>
          <w:fldChar w:fldCharType="separate"/>
        </w:r>
        <w:r>
          <w:rPr>
            <w:rFonts w:ascii="Verdana" w:hAnsi="Verdana"/>
            <w:noProof/>
            <w:webHidden/>
          </w:rPr>
          <w:t>26</w:t>
        </w:r>
        <w:r>
          <w:rPr>
            <w:rFonts w:ascii="Verdana" w:hAnsi="Verdana"/>
            <w:noProof/>
            <w:webHidden/>
          </w:rPr>
          <w:fldChar w:fldCharType="end"/>
        </w:r>
      </w:hyperlink>
    </w:p>
    <w:p>
      <w:pPr>
        <w:pStyle w:val="TOC2"/>
        <w:rPr>
          <w:rFonts w:ascii="Verdana" w:eastAsiaTheme="minorEastAsia" w:hAnsi="Verdana" w:cstheme="minorBidi"/>
          <w:noProof/>
          <w:sz w:val="22"/>
          <w:szCs w:val="22"/>
          <w:lang w:bidi="ar-SA"/>
        </w:rPr>
      </w:pPr>
      <w:hyperlink w:anchor="_Toc461437497" w:history="1">
        <w:r>
          <w:rPr>
            <w:rStyle w:val="Hyperlink"/>
            <w:rFonts w:ascii="Verdana" w:hAnsi="Verdana"/>
            <w:noProof/>
          </w:rPr>
          <w:t>5.2.</w:t>
        </w:r>
        <w:r>
          <w:rPr>
            <w:rFonts w:ascii="Verdana" w:eastAsiaTheme="minorEastAsia" w:hAnsi="Verdana" w:cstheme="minorBidi"/>
            <w:noProof/>
            <w:sz w:val="22"/>
            <w:szCs w:val="22"/>
            <w:lang w:bidi="ar-SA"/>
          </w:rPr>
          <w:tab/>
        </w:r>
        <w:r>
          <w:rPr>
            <w:rStyle w:val="Hyperlink"/>
            <w:rFonts w:ascii="Verdana" w:hAnsi="Verdana"/>
            <w:noProof/>
          </w:rPr>
          <w:t>Mesures correctrices</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_Toc461437497 \h </w:instrText>
        </w:r>
        <w:r>
          <w:rPr>
            <w:rFonts w:ascii="Verdana" w:hAnsi="Verdana"/>
            <w:noProof/>
            <w:webHidden/>
          </w:rPr>
        </w:r>
        <w:r>
          <w:rPr>
            <w:rFonts w:ascii="Verdana" w:hAnsi="Verdana"/>
            <w:noProof/>
            <w:webHidden/>
          </w:rPr>
          <w:fldChar w:fldCharType="separate"/>
        </w:r>
        <w:r>
          <w:rPr>
            <w:rFonts w:ascii="Verdana" w:hAnsi="Verdana"/>
            <w:noProof/>
            <w:webHidden/>
          </w:rPr>
          <w:t>30</w:t>
        </w:r>
        <w:r>
          <w:rPr>
            <w:rFonts w:ascii="Verdana" w:hAnsi="Verdana"/>
            <w:noProof/>
            <w:webHidden/>
          </w:rPr>
          <w:fldChar w:fldCharType="end"/>
        </w:r>
      </w:hyperlink>
    </w:p>
    <w:p>
      <w:pPr>
        <w:pStyle w:val="TOC2"/>
        <w:rPr>
          <w:rFonts w:ascii="Verdana" w:eastAsiaTheme="minorEastAsia" w:hAnsi="Verdana" w:cstheme="minorBidi"/>
          <w:noProof/>
          <w:sz w:val="22"/>
          <w:szCs w:val="22"/>
          <w:lang w:bidi="ar-SA"/>
        </w:rPr>
      </w:pPr>
      <w:hyperlink w:anchor="_Toc461437498" w:history="1">
        <w:r>
          <w:rPr>
            <w:rStyle w:val="Hyperlink"/>
            <w:rFonts w:ascii="Verdana" w:hAnsi="Verdana"/>
            <w:noProof/>
          </w:rPr>
          <w:t>5.3.</w:t>
        </w:r>
        <w:r>
          <w:rPr>
            <w:rFonts w:ascii="Verdana" w:eastAsiaTheme="minorEastAsia" w:hAnsi="Verdana" w:cstheme="minorBidi"/>
            <w:noProof/>
            <w:sz w:val="22"/>
            <w:szCs w:val="22"/>
            <w:lang w:bidi="ar-SA"/>
          </w:rPr>
          <w:tab/>
        </w:r>
        <w:r>
          <w:rPr>
            <w:rStyle w:val="Hyperlink"/>
            <w:rFonts w:ascii="Verdana" w:hAnsi="Verdana"/>
            <w:noProof/>
          </w:rPr>
          <w:t>Déficiences constatées dans la gestion et le contrôle des États membres et mesures adoptées</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_Toc461437498 \h </w:instrText>
        </w:r>
        <w:r>
          <w:rPr>
            <w:rFonts w:ascii="Verdana" w:hAnsi="Verdana"/>
            <w:noProof/>
            <w:webHidden/>
          </w:rPr>
        </w:r>
        <w:r>
          <w:rPr>
            <w:rFonts w:ascii="Verdana" w:hAnsi="Verdana"/>
            <w:noProof/>
            <w:webHidden/>
          </w:rPr>
          <w:fldChar w:fldCharType="separate"/>
        </w:r>
        <w:r>
          <w:rPr>
            <w:rFonts w:ascii="Verdana" w:hAnsi="Verdana"/>
            <w:noProof/>
            <w:webHidden/>
          </w:rPr>
          <w:t>31</w:t>
        </w:r>
        <w:r>
          <w:rPr>
            <w:rFonts w:ascii="Verdana" w:hAnsi="Verdana"/>
            <w:noProof/>
            <w:webHidden/>
          </w:rPr>
          <w:fldChar w:fldCharType="end"/>
        </w:r>
      </w:hyperlink>
    </w:p>
    <w:p>
      <w:pPr>
        <w:pStyle w:val="TOC2"/>
        <w:rPr>
          <w:rFonts w:ascii="Verdana" w:eastAsiaTheme="minorEastAsia" w:hAnsi="Verdana" w:cstheme="minorBidi"/>
          <w:noProof/>
          <w:sz w:val="22"/>
          <w:szCs w:val="22"/>
          <w:lang w:bidi="ar-SA"/>
        </w:rPr>
      </w:pPr>
      <w:hyperlink w:anchor="_Toc461437499" w:history="1">
        <w:r>
          <w:rPr>
            <w:rStyle w:val="Hyperlink"/>
            <w:rFonts w:ascii="Verdana" w:hAnsi="Verdana"/>
            <w:noProof/>
          </w:rPr>
          <w:t>5.4.</w:t>
        </w:r>
        <w:r>
          <w:rPr>
            <w:rFonts w:ascii="Verdana" w:eastAsiaTheme="minorEastAsia" w:hAnsi="Verdana" w:cstheme="minorBidi"/>
            <w:noProof/>
            <w:sz w:val="22"/>
            <w:szCs w:val="22"/>
            <w:lang w:bidi="ar-SA"/>
          </w:rPr>
          <w:tab/>
        </w:r>
        <w:r>
          <w:rPr>
            <w:rStyle w:val="Hyperlink"/>
            <w:rFonts w:ascii="Verdana" w:hAnsi="Verdana"/>
            <w:noProof/>
          </w:rPr>
          <w:t>Chiffres cumulés</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_Toc461437499 \h </w:instrText>
        </w:r>
        <w:r>
          <w:rPr>
            <w:rFonts w:ascii="Verdana" w:hAnsi="Verdana"/>
            <w:noProof/>
            <w:webHidden/>
          </w:rPr>
        </w:r>
        <w:r>
          <w:rPr>
            <w:rFonts w:ascii="Verdana" w:hAnsi="Verdana"/>
            <w:noProof/>
            <w:webHidden/>
          </w:rPr>
          <w:fldChar w:fldCharType="separate"/>
        </w:r>
        <w:r>
          <w:rPr>
            <w:rFonts w:ascii="Verdana" w:hAnsi="Verdana"/>
            <w:noProof/>
            <w:webHidden/>
          </w:rPr>
          <w:t>32</w:t>
        </w:r>
        <w:r>
          <w:rPr>
            <w:rFonts w:ascii="Verdana" w:hAnsi="Verdana"/>
            <w:noProof/>
            <w:webHidden/>
          </w:rPr>
          <w:fldChar w:fldCharType="end"/>
        </w:r>
      </w:hyperlink>
    </w:p>
    <w:p>
      <w:pPr>
        <w:pStyle w:val="TOC2"/>
        <w:rPr>
          <w:rFonts w:ascii="Verdana" w:eastAsiaTheme="minorEastAsia" w:hAnsi="Verdana" w:cstheme="minorBidi"/>
          <w:noProof/>
          <w:sz w:val="22"/>
          <w:szCs w:val="22"/>
          <w:lang w:bidi="ar-SA"/>
        </w:rPr>
      </w:pPr>
      <w:hyperlink w:anchor="_Toc461437500" w:history="1">
        <w:r>
          <w:rPr>
            <w:rStyle w:val="Hyperlink"/>
            <w:rFonts w:ascii="Verdana" w:hAnsi="Verdana"/>
            <w:noProof/>
          </w:rPr>
          <w:t>5.5.</w:t>
        </w:r>
        <w:r>
          <w:rPr>
            <w:rFonts w:ascii="Verdana" w:eastAsiaTheme="minorEastAsia" w:hAnsi="Verdana" w:cstheme="minorBidi"/>
            <w:noProof/>
            <w:sz w:val="22"/>
            <w:szCs w:val="22"/>
            <w:lang w:bidi="ar-SA"/>
          </w:rPr>
          <w:tab/>
        </w:r>
        <w:r>
          <w:rPr>
            <w:rStyle w:val="Hyperlink"/>
            <w:rFonts w:ascii="Verdana" w:hAnsi="Verdana"/>
            <w:noProof/>
          </w:rPr>
          <w:t>Corrections des États membres</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_Toc461437500 \h </w:instrText>
        </w:r>
        <w:r>
          <w:rPr>
            <w:rFonts w:ascii="Verdana" w:hAnsi="Verdana"/>
            <w:noProof/>
            <w:webHidden/>
          </w:rPr>
        </w:r>
        <w:r>
          <w:rPr>
            <w:rFonts w:ascii="Verdana" w:hAnsi="Verdana"/>
            <w:noProof/>
            <w:webHidden/>
          </w:rPr>
          <w:fldChar w:fldCharType="separate"/>
        </w:r>
        <w:r>
          <w:rPr>
            <w:rFonts w:ascii="Verdana" w:hAnsi="Verdana"/>
            <w:noProof/>
            <w:webHidden/>
          </w:rPr>
          <w:t>37</w:t>
        </w:r>
        <w:r>
          <w:rPr>
            <w:rFonts w:ascii="Verdana" w:hAnsi="Verdana"/>
            <w:noProof/>
            <w:webHidden/>
          </w:rPr>
          <w:fldChar w:fldCharType="end"/>
        </w:r>
      </w:hyperlink>
    </w:p>
    <w:p>
      <w:pPr>
        <w:pStyle w:val="TOC1"/>
        <w:rPr>
          <w:rFonts w:ascii="Verdana" w:eastAsiaTheme="minorEastAsia" w:hAnsi="Verdana" w:cstheme="minorBidi"/>
          <w:noProof/>
          <w:sz w:val="22"/>
          <w:szCs w:val="22"/>
          <w:lang w:bidi="ar-SA"/>
        </w:rPr>
      </w:pPr>
      <w:hyperlink w:anchor="_Toc461437501" w:history="1">
        <w:r>
          <w:rPr>
            <w:rStyle w:val="Hyperlink"/>
            <w:rFonts w:ascii="Verdana" w:hAnsi="Verdana"/>
            <w:noProof/>
          </w:rPr>
          <w:t>6.</w:t>
        </w:r>
        <w:r>
          <w:rPr>
            <w:rFonts w:ascii="Verdana" w:eastAsiaTheme="minorEastAsia" w:hAnsi="Verdana" w:cstheme="minorBidi"/>
            <w:noProof/>
            <w:sz w:val="22"/>
            <w:szCs w:val="22"/>
            <w:lang w:bidi="ar-SA"/>
          </w:rPr>
          <w:tab/>
        </w:r>
        <w:r>
          <w:rPr>
            <w:rStyle w:val="Hyperlink"/>
            <w:rFonts w:ascii="Verdana" w:hAnsi="Verdana"/>
            <w:noProof/>
          </w:rPr>
          <w:t>GESTION DIRECTE ET INDIRECTE</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_Toc461437501 \h </w:instrText>
        </w:r>
        <w:r>
          <w:rPr>
            <w:rFonts w:ascii="Verdana" w:hAnsi="Verdana"/>
            <w:noProof/>
            <w:webHidden/>
          </w:rPr>
        </w:r>
        <w:r>
          <w:rPr>
            <w:rFonts w:ascii="Verdana" w:hAnsi="Verdana"/>
            <w:noProof/>
            <w:webHidden/>
          </w:rPr>
          <w:fldChar w:fldCharType="separate"/>
        </w:r>
        <w:r>
          <w:rPr>
            <w:rFonts w:ascii="Verdana" w:hAnsi="Verdana"/>
            <w:noProof/>
            <w:webHidden/>
          </w:rPr>
          <w:t>38</w:t>
        </w:r>
        <w:r>
          <w:rPr>
            <w:rFonts w:ascii="Verdana" w:hAnsi="Verdana"/>
            <w:noProof/>
            <w:webHidden/>
          </w:rPr>
          <w:fldChar w:fldCharType="end"/>
        </w:r>
      </w:hyperlink>
    </w:p>
    <w:p>
      <w:pPr>
        <w:pStyle w:val="TOC1"/>
        <w:rPr>
          <w:rFonts w:ascii="Verdana" w:eastAsiaTheme="minorEastAsia" w:hAnsi="Verdana" w:cstheme="minorBidi"/>
          <w:noProof/>
          <w:sz w:val="22"/>
          <w:szCs w:val="22"/>
          <w:lang w:bidi="ar-SA"/>
        </w:rPr>
      </w:pPr>
      <w:hyperlink w:anchor="_Toc461437502" w:history="1">
        <w:r>
          <w:rPr>
            <w:rStyle w:val="Hyperlink"/>
            <w:rFonts w:ascii="Verdana" w:hAnsi="Verdana"/>
            <w:noProof/>
          </w:rPr>
          <w:t>ANNEXES: DÉTAIL DES CHIFFRES</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_Toc461437502 \h </w:instrText>
        </w:r>
        <w:r>
          <w:rPr>
            <w:rFonts w:ascii="Verdana" w:hAnsi="Verdana"/>
            <w:noProof/>
            <w:webHidden/>
          </w:rPr>
        </w:r>
        <w:r>
          <w:rPr>
            <w:rFonts w:ascii="Verdana" w:hAnsi="Verdana"/>
            <w:noProof/>
            <w:webHidden/>
          </w:rPr>
          <w:fldChar w:fldCharType="separate"/>
        </w:r>
        <w:r>
          <w:rPr>
            <w:rFonts w:ascii="Verdana" w:hAnsi="Verdana"/>
            <w:noProof/>
            <w:webHidden/>
          </w:rPr>
          <w:t>39</w:t>
        </w:r>
        <w:r>
          <w:rPr>
            <w:rFonts w:ascii="Verdana" w:hAnsi="Verdana"/>
            <w:noProof/>
            <w:webHidden/>
          </w:rPr>
          <w:fldChar w:fldCharType="end"/>
        </w:r>
      </w:hyperlink>
    </w:p>
    <w:p>
      <w:pPr>
        <w:pStyle w:val="TOC2"/>
        <w:rPr>
          <w:rFonts w:ascii="Verdana" w:eastAsiaTheme="minorEastAsia" w:hAnsi="Verdana" w:cstheme="minorBidi"/>
          <w:noProof/>
          <w:sz w:val="22"/>
          <w:szCs w:val="22"/>
          <w:lang w:bidi="ar-SA"/>
        </w:rPr>
      </w:pPr>
      <w:hyperlink w:anchor="_Toc461437503" w:history="1">
        <w:r>
          <w:rPr>
            <w:rStyle w:val="Hyperlink"/>
            <w:rFonts w:ascii="Verdana" w:hAnsi="Verdana"/>
            <w:noProof/>
          </w:rPr>
          <w:t>1.</w:t>
        </w:r>
        <w:r>
          <w:rPr>
            <w:rFonts w:ascii="Verdana" w:eastAsiaTheme="minorEastAsia" w:hAnsi="Verdana" w:cstheme="minorBidi"/>
            <w:noProof/>
            <w:sz w:val="22"/>
            <w:szCs w:val="22"/>
            <w:lang w:bidi="ar-SA"/>
          </w:rPr>
          <w:tab/>
        </w:r>
        <w:r>
          <w:rPr>
            <w:rStyle w:val="Hyperlink"/>
            <w:rFonts w:ascii="Verdana" w:hAnsi="Verdana"/>
            <w:noProof/>
          </w:rPr>
          <w:t>Corrections financières en 2015 par rapport aux paiements de l’UE reçus; ventilation par État membre</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_Toc461437503 \h </w:instrText>
        </w:r>
        <w:r>
          <w:rPr>
            <w:rFonts w:ascii="Verdana" w:hAnsi="Verdana"/>
            <w:noProof/>
            <w:webHidden/>
          </w:rPr>
        </w:r>
        <w:r>
          <w:rPr>
            <w:rFonts w:ascii="Verdana" w:hAnsi="Verdana"/>
            <w:noProof/>
            <w:webHidden/>
          </w:rPr>
          <w:fldChar w:fldCharType="separate"/>
        </w:r>
        <w:r>
          <w:rPr>
            <w:rFonts w:ascii="Verdana" w:hAnsi="Verdana"/>
            <w:noProof/>
            <w:webHidden/>
          </w:rPr>
          <w:t>39</w:t>
        </w:r>
        <w:r>
          <w:rPr>
            <w:rFonts w:ascii="Verdana" w:hAnsi="Verdana"/>
            <w:noProof/>
            <w:webHidden/>
          </w:rPr>
          <w:fldChar w:fldCharType="end"/>
        </w:r>
      </w:hyperlink>
    </w:p>
    <w:p>
      <w:pPr>
        <w:pStyle w:val="TOC2"/>
        <w:rPr>
          <w:rFonts w:ascii="Verdana" w:eastAsiaTheme="minorEastAsia" w:hAnsi="Verdana" w:cstheme="minorBidi"/>
          <w:noProof/>
          <w:sz w:val="22"/>
          <w:szCs w:val="22"/>
          <w:lang w:bidi="ar-SA"/>
        </w:rPr>
      </w:pPr>
      <w:hyperlink w:anchor="_Toc461437504" w:history="1">
        <w:r>
          <w:rPr>
            <w:rStyle w:val="Hyperlink"/>
            <w:rFonts w:ascii="Verdana" w:hAnsi="Verdana"/>
            <w:noProof/>
          </w:rPr>
          <w:t>2.</w:t>
        </w:r>
        <w:r>
          <w:rPr>
            <w:rFonts w:ascii="Verdana" w:eastAsiaTheme="minorEastAsia" w:hAnsi="Verdana" w:cstheme="minorBidi"/>
            <w:noProof/>
            <w:sz w:val="22"/>
            <w:szCs w:val="22"/>
            <w:lang w:bidi="ar-SA"/>
          </w:rPr>
          <w:tab/>
        </w:r>
        <w:r>
          <w:rPr>
            <w:rStyle w:val="Hyperlink"/>
            <w:rFonts w:ascii="Verdana" w:hAnsi="Verdana"/>
            <w:noProof/>
          </w:rPr>
          <w:t>Ventilation des corrections forfaitaires en 2015:</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_Toc461437504 \h </w:instrText>
        </w:r>
        <w:r>
          <w:rPr>
            <w:rFonts w:ascii="Verdana" w:hAnsi="Verdana"/>
            <w:noProof/>
            <w:webHidden/>
          </w:rPr>
        </w:r>
        <w:r>
          <w:rPr>
            <w:rFonts w:ascii="Verdana" w:hAnsi="Verdana"/>
            <w:noProof/>
            <w:webHidden/>
          </w:rPr>
          <w:fldChar w:fldCharType="separate"/>
        </w:r>
        <w:r>
          <w:rPr>
            <w:rFonts w:ascii="Verdana" w:hAnsi="Verdana"/>
            <w:noProof/>
            <w:webHidden/>
          </w:rPr>
          <w:t>40</w:t>
        </w:r>
        <w:r>
          <w:rPr>
            <w:rFonts w:ascii="Verdana" w:hAnsi="Verdana"/>
            <w:noProof/>
            <w:webHidden/>
          </w:rPr>
          <w:fldChar w:fldCharType="end"/>
        </w:r>
      </w:hyperlink>
    </w:p>
    <w:p>
      <w:pPr>
        <w:pStyle w:val="TOC2"/>
        <w:rPr>
          <w:rFonts w:ascii="Verdana" w:eastAsiaTheme="minorEastAsia" w:hAnsi="Verdana" w:cstheme="minorBidi"/>
          <w:noProof/>
          <w:sz w:val="22"/>
          <w:szCs w:val="22"/>
          <w:lang w:bidi="ar-SA"/>
        </w:rPr>
      </w:pPr>
      <w:hyperlink w:anchor="_Toc461437505" w:history="1">
        <w:r>
          <w:rPr>
            <w:rStyle w:val="Hyperlink"/>
            <w:rFonts w:ascii="Verdana" w:hAnsi="Verdana"/>
            <w:noProof/>
          </w:rPr>
          <w:t>3.</w:t>
        </w:r>
        <w:r>
          <w:rPr>
            <w:rFonts w:ascii="Verdana" w:eastAsiaTheme="minorEastAsia" w:hAnsi="Verdana" w:cstheme="minorBidi"/>
            <w:noProof/>
            <w:sz w:val="22"/>
            <w:szCs w:val="22"/>
            <w:lang w:bidi="ar-SA"/>
          </w:rPr>
          <w:tab/>
        </w:r>
        <w:r>
          <w:rPr>
            <w:rStyle w:val="Hyperlink"/>
            <w:rFonts w:ascii="Verdana" w:hAnsi="Verdana"/>
            <w:noProof/>
          </w:rPr>
          <w:t>Ventilation des corrections financières à la source en 2015</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_Toc461437505 \h </w:instrText>
        </w:r>
        <w:r>
          <w:rPr>
            <w:rFonts w:ascii="Verdana" w:hAnsi="Verdana"/>
            <w:noProof/>
            <w:webHidden/>
          </w:rPr>
        </w:r>
        <w:r>
          <w:rPr>
            <w:rFonts w:ascii="Verdana" w:hAnsi="Verdana"/>
            <w:noProof/>
            <w:webHidden/>
          </w:rPr>
          <w:fldChar w:fldCharType="separate"/>
        </w:r>
        <w:r>
          <w:rPr>
            <w:rFonts w:ascii="Verdana" w:hAnsi="Verdana"/>
            <w:noProof/>
            <w:webHidden/>
          </w:rPr>
          <w:t>40</w:t>
        </w:r>
        <w:r>
          <w:rPr>
            <w:rFonts w:ascii="Verdana" w:hAnsi="Verdana"/>
            <w:noProof/>
            <w:webHidden/>
          </w:rPr>
          <w:fldChar w:fldCharType="end"/>
        </w:r>
      </w:hyperlink>
    </w:p>
    <w:p>
      <w:pPr>
        <w:pStyle w:val="TOC2"/>
        <w:rPr>
          <w:rFonts w:ascii="Verdana" w:eastAsiaTheme="minorEastAsia" w:hAnsi="Verdana" w:cstheme="minorBidi"/>
          <w:noProof/>
          <w:sz w:val="22"/>
          <w:szCs w:val="22"/>
          <w:lang w:bidi="ar-SA"/>
        </w:rPr>
      </w:pPr>
      <w:hyperlink w:anchor="_Toc461437506" w:history="1">
        <w:r>
          <w:rPr>
            <w:rStyle w:val="Hyperlink"/>
            <w:rFonts w:ascii="Verdana" w:hAnsi="Verdana"/>
            <w:noProof/>
          </w:rPr>
          <w:t>4.</w:t>
        </w:r>
        <w:r>
          <w:rPr>
            <w:rFonts w:ascii="Verdana" w:eastAsiaTheme="minorEastAsia" w:hAnsi="Verdana" w:cstheme="minorBidi"/>
            <w:noProof/>
            <w:sz w:val="22"/>
            <w:szCs w:val="22"/>
            <w:lang w:bidi="ar-SA"/>
          </w:rPr>
          <w:tab/>
        </w:r>
        <w:r>
          <w:rPr>
            <w:rStyle w:val="Hyperlink"/>
            <w:rFonts w:ascii="Verdana" w:hAnsi="Verdana"/>
            <w:noProof/>
          </w:rPr>
          <w:t>Ventilation des corrections financières nettes en 2015</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_Toc461437506 \h </w:instrText>
        </w:r>
        <w:r>
          <w:rPr>
            <w:rFonts w:ascii="Verdana" w:hAnsi="Verdana"/>
            <w:noProof/>
            <w:webHidden/>
          </w:rPr>
        </w:r>
        <w:r>
          <w:rPr>
            <w:rFonts w:ascii="Verdana" w:hAnsi="Verdana"/>
            <w:noProof/>
            <w:webHidden/>
          </w:rPr>
          <w:fldChar w:fldCharType="separate"/>
        </w:r>
        <w:r>
          <w:rPr>
            <w:rFonts w:ascii="Verdana" w:hAnsi="Verdana"/>
            <w:noProof/>
            <w:webHidden/>
          </w:rPr>
          <w:t>41</w:t>
        </w:r>
        <w:r>
          <w:rPr>
            <w:rFonts w:ascii="Verdana" w:hAnsi="Verdana"/>
            <w:noProof/>
            <w:webHidden/>
          </w:rPr>
          <w:fldChar w:fldCharType="end"/>
        </w:r>
      </w:hyperlink>
    </w:p>
    <w:p>
      <w:pPr>
        <w:pStyle w:val="TOC2"/>
        <w:rPr>
          <w:rFonts w:ascii="Verdana" w:eastAsiaTheme="minorEastAsia" w:hAnsi="Verdana" w:cstheme="minorBidi"/>
          <w:noProof/>
          <w:sz w:val="22"/>
          <w:szCs w:val="22"/>
          <w:lang w:bidi="ar-SA"/>
        </w:rPr>
      </w:pPr>
      <w:hyperlink w:anchor="_Toc461437507" w:history="1">
        <w:r>
          <w:rPr>
            <w:rStyle w:val="Hyperlink"/>
            <w:rFonts w:ascii="Verdana" w:hAnsi="Verdana"/>
            <w:noProof/>
          </w:rPr>
          <w:t>5.</w:t>
        </w:r>
        <w:r>
          <w:rPr>
            <w:rFonts w:ascii="Verdana" w:eastAsiaTheme="minorEastAsia" w:hAnsi="Verdana" w:cstheme="minorBidi"/>
            <w:noProof/>
            <w:sz w:val="22"/>
            <w:szCs w:val="22"/>
            <w:lang w:bidi="ar-SA"/>
          </w:rPr>
          <w:tab/>
        </w:r>
        <w:r>
          <w:rPr>
            <w:rStyle w:val="Hyperlink"/>
            <w:rFonts w:ascii="Verdana" w:hAnsi="Verdana"/>
            <w:noProof/>
          </w:rPr>
          <w:t>Montants agricoles recouvrés auprès des bénéficiaires finals par les États membres en 2015</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_Toc461437507 \h </w:instrText>
        </w:r>
        <w:r>
          <w:rPr>
            <w:rFonts w:ascii="Verdana" w:hAnsi="Verdana"/>
            <w:noProof/>
            <w:webHidden/>
          </w:rPr>
        </w:r>
        <w:r>
          <w:rPr>
            <w:rFonts w:ascii="Verdana" w:hAnsi="Verdana"/>
            <w:noProof/>
            <w:webHidden/>
          </w:rPr>
          <w:fldChar w:fldCharType="separate"/>
        </w:r>
        <w:r>
          <w:rPr>
            <w:rFonts w:ascii="Verdana" w:hAnsi="Verdana"/>
            <w:noProof/>
            <w:webHidden/>
          </w:rPr>
          <w:t>42</w:t>
        </w:r>
        <w:r>
          <w:rPr>
            <w:rFonts w:ascii="Verdana" w:hAnsi="Verdana"/>
            <w:noProof/>
            <w:webHidden/>
          </w:rPr>
          <w:fldChar w:fldCharType="end"/>
        </w:r>
      </w:hyperlink>
    </w:p>
    <w:p>
      <w:pPr>
        <w:pStyle w:val="TOC2"/>
        <w:rPr>
          <w:rFonts w:ascii="Verdana" w:eastAsiaTheme="minorEastAsia" w:hAnsi="Verdana" w:cstheme="minorBidi"/>
          <w:noProof/>
          <w:sz w:val="22"/>
          <w:szCs w:val="22"/>
          <w:lang w:bidi="ar-SA"/>
        </w:rPr>
      </w:pPr>
      <w:hyperlink w:anchor="_Toc461437508" w:history="1">
        <w:r>
          <w:rPr>
            <w:rStyle w:val="Hyperlink"/>
            <w:rFonts w:ascii="Verdana" w:hAnsi="Verdana"/>
            <w:noProof/>
          </w:rPr>
          <w:t>6.</w:t>
        </w:r>
        <w:r>
          <w:rPr>
            <w:rFonts w:ascii="Verdana" w:eastAsiaTheme="minorEastAsia" w:hAnsi="Verdana" w:cstheme="minorBidi"/>
            <w:noProof/>
            <w:sz w:val="22"/>
            <w:szCs w:val="22"/>
            <w:lang w:bidi="ar-SA"/>
          </w:rPr>
          <w:tab/>
        </w:r>
        <w:r>
          <w:rPr>
            <w:rStyle w:val="Hyperlink"/>
            <w:rFonts w:ascii="Verdana" w:hAnsi="Verdana"/>
            <w:noProof/>
          </w:rPr>
          <w:t>Corrections appliquées par les États membres eux-mêmes en 2015 avant l’exécution des paiements en faveur des bénéficiaires (en plus des rapports établis par la Commission)</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_Toc461437508 \h </w:instrText>
        </w:r>
        <w:r>
          <w:rPr>
            <w:rFonts w:ascii="Verdana" w:hAnsi="Verdana"/>
            <w:noProof/>
            <w:webHidden/>
          </w:rPr>
        </w:r>
        <w:r>
          <w:rPr>
            <w:rFonts w:ascii="Verdana" w:hAnsi="Verdana"/>
            <w:noProof/>
            <w:webHidden/>
          </w:rPr>
          <w:fldChar w:fldCharType="separate"/>
        </w:r>
        <w:r>
          <w:rPr>
            <w:rFonts w:ascii="Verdana" w:hAnsi="Verdana"/>
            <w:noProof/>
            <w:webHidden/>
          </w:rPr>
          <w:t>43</w:t>
        </w:r>
        <w:r>
          <w:rPr>
            <w:rFonts w:ascii="Verdana" w:hAnsi="Verdana"/>
            <w:noProof/>
            <w:webHidden/>
          </w:rPr>
          <w:fldChar w:fldCharType="end"/>
        </w:r>
      </w:hyperlink>
    </w:p>
    <w:p>
      <w:pPr>
        <w:pStyle w:val="TOC2"/>
        <w:rPr>
          <w:rFonts w:asciiTheme="minorHAnsi" w:eastAsiaTheme="minorEastAsia" w:hAnsiTheme="minorHAnsi" w:cstheme="minorBidi"/>
          <w:noProof/>
          <w:sz w:val="22"/>
          <w:szCs w:val="22"/>
          <w:lang w:bidi="ar-SA"/>
        </w:rPr>
      </w:pPr>
      <w:hyperlink w:anchor="_Toc461437509" w:history="1">
        <w:r>
          <w:rPr>
            <w:rStyle w:val="Hyperlink"/>
            <w:rFonts w:ascii="Verdana" w:hAnsi="Verdana"/>
            <w:noProof/>
          </w:rPr>
          <w:t>7.</w:t>
        </w:r>
        <w:r>
          <w:rPr>
            <w:rFonts w:ascii="Verdana" w:eastAsiaTheme="minorEastAsia" w:hAnsi="Verdana" w:cstheme="minorBidi"/>
            <w:noProof/>
            <w:sz w:val="22"/>
            <w:szCs w:val="22"/>
            <w:lang w:bidi="ar-SA"/>
          </w:rPr>
          <w:tab/>
        </w:r>
        <w:r>
          <w:rPr>
            <w:rStyle w:val="Hyperlink"/>
            <w:rFonts w:ascii="Verdana" w:hAnsi="Verdana"/>
            <w:noProof/>
          </w:rPr>
          <w:t>Corrections cumulées à la fin de 2015, telles que communiquées par les États membres, pour la politique de cohésion durant la période 2007-2013</w:t>
        </w:r>
        <w:r>
          <w:rPr>
            <w:rFonts w:ascii="Verdana" w:hAnsi="Verdana"/>
            <w:noProof/>
            <w:webHidden/>
          </w:rPr>
          <w:tab/>
        </w:r>
        <w:r>
          <w:rPr>
            <w:rFonts w:ascii="Verdana" w:hAnsi="Verdana"/>
            <w:noProof/>
            <w:webHidden/>
          </w:rPr>
          <w:fldChar w:fldCharType="begin"/>
        </w:r>
        <w:r>
          <w:rPr>
            <w:rFonts w:ascii="Verdana" w:hAnsi="Verdana"/>
            <w:noProof/>
            <w:webHidden/>
          </w:rPr>
          <w:instrText xml:space="preserve"> PAGEREF _Toc461437509 \h </w:instrText>
        </w:r>
        <w:r>
          <w:rPr>
            <w:rFonts w:ascii="Verdana" w:hAnsi="Verdana"/>
            <w:noProof/>
            <w:webHidden/>
          </w:rPr>
        </w:r>
        <w:r>
          <w:rPr>
            <w:rFonts w:ascii="Verdana" w:hAnsi="Verdana"/>
            <w:noProof/>
            <w:webHidden/>
          </w:rPr>
          <w:fldChar w:fldCharType="separate"/>
        </w:r>
        <w:r>
          <w:rPr>
            <w:rFonts w:ascii="Verdana" w:hAnsi="Verdana"/>
            <w:noProof/>
            <w:webHidden/>
          </w:rPr>
          <w:t>44</w:t>
        </w:r>
        <w:r>
          <w:rPr>
            <w:rFonts w:ascii="Verdana" w:hAnsi="Verdana"/>
            <w:noProof/>
            <w:webHidden/>
          </w:rPr>
          <w:fldChar w:fldCharType="end"/>
        </w:r>
      </w:hyperlink>
    </w:p>
    <w:p>
      <w:pPr>
        <w:pStyle w:val="TOC1"/>
        <w:rPr>
          <w:rFonts w:ascii="Verdana" w:eastAsiaTheme="minorEastAsia" w:hAnsi="Verdana" w:cstheme="minorBidi"/>
          <w:noProof/>
          <w:sz w:val="20"/>
        </w:rPr>
      </w:pPr>
      <w:r>
        <w:rPr>
          <w:rFonts w:ascii="Verdana" w:eastAsia="Times New Roman" w:hAnsi="Verdana"/>
          <w:bCs/>
          <w:caps/>
          <w:smallCaps/>
          <w:noProof/>
          <w:kern w:val="32"/>
          <w:sz w:val="20"/>
        </w:rPr>
        <w:fldChar w:fldCharType="end"/>
      </w:r>
      <w:bookmarkStart w:id="2" w:name="_Toc397954288"/>
      <w:bookmarkStart w:id="3" w:name="_Toc397954289"/>
      <w:bookmarkEnd w:id="2"/>
      <w:bookmarkEnd w:id="3"/>
      <w:r>
        <w:rPr>
          <w:noProof/>
        </w:rPr>
        <w:br w:type="page"/>
      </w:r>
    </w:p>
    <w:p>
      <w:pPr>
        <w:pStyle w:val="ManualHeading1"/>
        <w:rPr>
          <w:noProof/>
          <w:szCs w:val="22"/>
        </w:rPr>
      </w:pPr>
      <w:bookmarkStart w:id="4" w:name="_Toc456258154"/>
      <w:bookmarkStart w:id="5" w:name="_Toc461437479"/>
      <w:r>
        <w:t>1.</w:t>
      </w:r>
      <w:r>
        <w:tab/>
      </w:r>
      <w:r>
        <w:rPr>
          <w:noProof/>
        </w:rPr>
        <w:t>RÉSUMÉ ET CONCLUSIONS</w:t>
      </w:r>
      <w:bookmarkEnd w:id="4"/>
      <w:bookmarkEnd w:id="5"/>
    </w:p>
    <w:p>
      <w:pPr>
        <w:spacing w:after="120" w:line="240" w:lineRule="auto"/>
        <w:jc w:val="both"/>
        <w:rPr>
          <w:rFonts w:ascii="Verdana" w:hAnsi="Verdana"/>
          <w:noProof/>
          <w:sz w:val="18"/>
        </w:rPr>
      </w:pPr>
      <w:r>
        <w:rPr>
          <w:rFonts w:ascii="Verdana" w:hAnsi="Verdana"/>
          <w:noProof/>
          <w:sz w:val="18"/>
        </w:rPr>
        <w:t>La présente communication décrit le fonctionnement des mécanismes de prévention et de correction prévus dans la législation de l'Union européenne (UE) ainsi que les mesures prises par les services de la Commission en vue de protéger le budget de l’UE contre les dépenses illégales ou irrégulières. Elle fournit également l’estimation la plus plausible des résultats chiffrés obtenus grâce à la mise en œuvre de ces systèmes, en indiquant dans quelle mesure les États membres sont concernés et touchés. Elle complète les informations figurant dans l'examen et l'analyse des états financiers (EAEF) pour 2015, dans le rapport annuel 2015 sur la gestion et la performance du budget de l'UE ainsi que les parties correspondantes des rapports annuels d’activités des directions générales concernées.</w:t>
      </w:r>
    </w:p>
    <w:p>
      <w:pPr>
        <w:spacing w:after="120" w:line="240" w:lineRule="auto"/>
        <w:jc w:val="both"/>
        <w:rPr>
          <w:rFonts w:ascii="Verdana" w:hAnsi="Verdana"/>
          <w:noProof/>
          <w:sz w:val="18"/>
        </w:rPr>
      </w:pPr>
      <w:r>
        <w:rPr>
          <w:rFonts w:ascii="Verdana" w:hAnsi="Verdana"/>
          <w:noProof/>
          <w:sz w:val="18"/>
        </w:rPr>
        <w:t>Le budget de l’UE est exécuté à environ 80 % par les États membres, qui doivent respecter les règles convenues en commun concernant l’exécution du budget. Les États membres travaillent de concert avec la Commission pour garantir le respect de la législation européenne et la protection du budget de l’UE.</w:t>
      </w:r>
    </w:p>
    <w:p>
      <w:pPr>
        <w:spacing w:after="120" w:line="240" w:lineRule="auto"/>
        <w:jc w:val="both"/>
        <w:rPr>
          <w:rFonts w:ascii="Verdana" w:hAnsi="Verdana"/>
          <w:noProof/>
          <w:sz w:val="18"/>
        </w:rPr>
      </w:pPr>
      <w:r>
        <w:rPr>
          <w:rFonts w:ascii="Verdana" w:hAnsi="Verdana"/>
          <w:noProof/>
          <w:sz w:val="18"/>
        </w:rPr>
        <w:t>La Commission recourt principalement à deux mécanismes pour protéger le budget de l’UE (c’est-à-dire les dépenses de l’Union) des dépenses indues ou irrégulières:</w:t>
      </w:r>
    </w:p>
    <w:p>
      <w:pPr>
        <w:pStyle w:val="Text2"/>
        <w:numPr>
          <w:ilvl w:val="0"/>
          <w:numId w:val="34"/>
        </w:numPr>
        <w:tabs>
          <w:tab w:val="clear" w:pos="2160"/>
          <w:tab w:val="left" w:pos="851"/>
        </w:tabs>
        <w:spacing w:after="0"/>
        <w:ind w:left="851" w:hanging="494"/>
        <w:rPr>
          <w:rFonts w:ascii="Verdana" w:hAnsi="Verdana"/>
          <w:noProof/>
          <w:sz w:val="18"/>
        </w:rPr>
      </w:pPr>
      <w:r>
        <w:rPr>
          <w:rFonts w:ascii="Verdana" w:hAnsi="Verdana"/>
          <w:noProof/>
          <w:sz w:val="18"/>
        </w:rPr>
        <w:t>des mécanismes de prévention (contrôles ex ante, interruptions et suspensions de paiements, notamment), et</w:t>
      </w:r>
    </w:p>
    <w:p>
      <w:pPr>
        <w:pStyle w:val="Text2"/>
        <w:numPr>
          <w:ilvl w:val="0"/>
          <w:numId w:val="34"/>
        </w:numPr>
        <w:tabs>
          <w:tab w:val="clear" w:pos="2160"/>
          <w:tab w:val="left" w:pos="851"/>
        </w:tabs>
        <w:spacing w:after="120"/>
        <w:ind w:left="851" w:hanging="491"/>
        <w:rPr>
          <w:rFonts w:ascii="Verdana" w:hAnsi="Verdana"/>
          <w:noProof/>
          <w:sz w:val="18"/>
        </w:rPr>
      </w:pPr>
      <w:r>
        <w:rPr>
          <w:rFonts w:ascii="Verdana" w:hAnsi="Verdana"/>
          <w:noProof/>
          <w:sz w:val="18"/>
        </w:rPr>
        <w:t>des mécanismes de correction (soit, pour l’essentiel, des corrections financières imposées aux États membres, mais aussi des recouvrements effectués auprès de bénéficiaires des paiements de l’UE): lorsqu'il apparaît que les mécanismes de prévention n’ont pas été efficaces, la Commission a l'obligation, dans l'exercice de sa fonction de surveillance, d’appliquer en dernier ressort des mécanismes de correction.</w:t>
      </w:r>
    </w:p>
    <w:p>
      <w:pPr>
        <w:pStyle w:val="Text2"/>
        <w:spacing w:after="120"/>
        <w:ind w:left="0"/>
        <w:rPr>
          <w:rFonts w:ascii="Verdana" w:hAnsi="Verdana"/>
          <w:noProof/>
          <w:sz w:val="18"/>
        </w:rPr>
      </w:pPr>
      <w:r>
        <w:rPr>
          <w:rFonts w:ascii="Verdana" w:hAnsi="Verdana"/>
          <w:noProof/>
          <w:sz w:val="18"/>
        </w:rPr>
        <w:t>L’objectif primordial des corrections financières et des recouvrements est de garantir que seules des dépenses conformes au cadre juridique sont financées par le budget de l’UE. En gestion partagée, c'est avant tout aux États membres qu'incombe la responsabilité de détecter les montants indûment versés et de les recouvrer auprès des bénéficiaires. En vue de garantir un bon rapport coût/efficacité des systèmes de contrôle, l’un des principaux chantiers sur lequel continueront de se pencher les services de la Commission durant le présent mandat du collège consistera à rationaliser et simplifier les contrôles et à affecter les ressources aux contrôles considérés comme les plus appropriés pour la gestion des risques en matière de légalité et de régularité à l’intérieur du cadre réglementaire. Pour la gestion partagée, l’objectif principal est d'améliorer l’efficacité des systèmes de contrôle des États membres.</w:t>
      </w:r>
    </w:p>
    <w:p>
      <w:pPr>
        <w:pStyle w:val="Text2"/>
        <w:spacing w:after="120"/>
        <w:ind w:left="0"/>
        <w:rPr>
          <w:rFonts w:ascii="Verdana" w:hAnsi="Verdana"/>
          <w:noProof/>
          <w:sz w:val="18"/>
        </w:rPr>
      </w:pPr>
      <w:r>
        <w:rPr>
          <w:rFonts w:ascii="Verdana" w:hAnsi="Verdana"/>
          <w:noProof/>
          <w:sz w:val="18"/>
        </w:rPr>
        <w:t>Les corrections financières dans le domaine de l’agriculture et du développement rural ont toujours une incidence nette sur le budget de l’UE, étant donné que le recouvrement des montants indûment dépensés aboutit à un remboursement en faveur du budget de l’UE. Dans le cadre de la politique de cohésion, les États membres ont la possibilité de remplacer les dépenses inéligibles par de nouvelles dépenses éligibles, de façon à ne pas perdre le bénéfice du financement de l’UE. Dans d'autres modes de gestion, les corrections financières sont utilisées pour réaliser des corrections avant tout remboursement par l’UE.</w:t>
      </w:r>
    </w:p>
    <w:p>
      <w:pPr>
        <w:pStyle w:val="Text2"/>
        <w:spacing w:after="480"/>
        <w:ind w:left="0"/>
        <w:rPr>
          <w:rFonts w:ascii="Verdana" w:hAnsi="Verdana"/>
          <w:noProof/>
          <w:sz w:val="18"/>
        </w:rPr>
      </w:pPr>
      <w:r>
        <w:rPr>
          <w:rFonts w:ascii="Verdana" w:hAnsi="Verdana"/>
          <w:noProof/>
          <w:sz w:val="18"/>
        </w:rPr>
        <w:t>La présente communication porte principalement sur les résultats de la fonction de surveillance de la Commission, tout en fournissant des informations relatives aux résultats des contrôles menés par les États membres.</w:t>
      </w:r>
    </w:p>
    <w:p>
      <w:pPr>
        <w:spacing w:after="120" w:line="240" w:lineRule="auto"/>
        <w:jc w:val="both"/>
        <w:rPr>
          <w:rFonts w:ascii="Verdana" w:hAnsi="Verdana"/>
          <w:b/>
          <w:noProof/>
          <w:sz w:val="18"/>
        </w:rPr>
      </w:pPr>
      <w:r>
        <w:rPr>
          <w:rFonts w:ascii="Verdana" w:hAnsi="Verdana"/>
          <w:b/>
          <w:noProof/>
          <w:sz w:val="18"/>
        </w:rPr>
        <w:t>Corrections financières et recouvrements: résultats pour 2015</w:t>
      </w:r>
    </w:p>
    <w:p>
      <w:pPr>
        <w:spacing w:after="120" w:line="240" w:lineRule="auto"/>
        <w:jc w:val="both"/>
        <w:rPr>
          <w:rFonts w:ascii="Verdana" w:hAnsi="Verdana"/>
          <w:noProof/>
          <w:sz w:val="18"/>
        </w:rPr>
      </w:pPr>
      <w:r>
        <w:rPr>
          <w:rFonts w:ascii="Verdana" w:hAnsi="Verdana"/>
          <w:noProof/>
          <w:sz w:val="18"/>
        </w:rPr>
        <w:t>En ce qui concerne l’incidence des mesures correctrices prises par la Commission, les données chiffrées suivantes sont à retenir pour l’exercice 2015:</w:t>
      </w:r>
    </w:p>
    <w:tbl>
      <w:tblPr>
        <w:tblpPr w:leftFromText="180" w:rightFromText="180" w:vertAnchor="text" w:tblpX="1951" w:tblpY="1"/>
        <w:tblOverlap w:val="never"/>
        <w:tblW w:w="5102" w:type="dxa"/>
        <w:tblLayout w:type="fixed"/>
        <w:tblLook w:val="04A0" w:firstRow="1" w:lastRow="0" w:firstColumn="1" w:lastColumn="0" w:noHBand="0" w:noVBand="1"/>
      </w:tblPr>
      <w:tblGrid>
        <w:gridCol w:w="1360"/>
        <w:gridCol w:w="935"/>
        <w:gridCol w:w="257"/>
        <w:gridCol w:w="283"/>
        <w:gridCol w:w="992"/>
        <w:gridCol w:w="283"/>
        <w:gridCol w:w="992"/>
      </w:tblGrid>
      <w:tr>
        <w:trPr>
          <w:trHeight w:val="207"/>
        </w:trPr>
        <w:tc>
          <w:tcPr>
            <w:tcW w:w="1360" w:type="dxa"/>
            <w:tcBorders>
              <w:top w:val="nil"/>
              <w:left w:val="nil"/>
              <w:bottom w:val="nil"/>
              <w:right w:val="nil"/>
            </w:tcBorders>
            <w:shd w:val="clear" w:color="auto" w:fill="auto"/>
            <w:vAlign w:val="center"/>
            <w:hideMark/>
          </w:tcPr>
          <w:p>
            <w:pPr>
              <w:spacing w:after="0" w:line="240" w:lineRule="auto"/>
              <w:jc w:val="right"/>
              <w:rPr>
                <w:rFonts w:ascii="Verdana" w:eastAsia="Times New Roman" w:hAnsi="Verdana"/>
                <w:i/>
                <w:iCs/>
                <w:noProof/>
                <w:color w:val="000000"/>
                <w:sz w:val="12"/>
                <w:szCs w:val="12"/>
              </w:rPr>
            </w:pPr>
          </w:p>
        </w:tc>
        <w:tc>
          <w:tcPr>
            <w:tcW w:w="935" w:type="dxa"/>
            <w:tcBorders>
              <w:top w:val="nil"/>
              <w:left w:val="nil"/>
              <w:bottom w:val="nil"/>
              <w:right w:val="nil"/>
            </w:tcBorders>
            <w:shd w:val="clear" w:color="auto" w:fill="auto"/>
            <w:vAlign w:val="center"/>
            <w:hideMark/>
          </w:tcPr>
          <w:p>
            <w:pPr>
              <w:spacing w:after="0" w:line="240" w:lineRule="auto"/>
              <w:jc w:val="right"/>
              <w:rPr>
                <w:rFonts w:ascii="Verdana" w:eastAsia="Times New Roman" w:hAnsi="Verdana"/>
                <w:i/>
                <w:iCs/>
                <w:noProof/>
                <w:color w:val="000000"/>
                <w:sz w:val="12"/>
                <w:szCs w:val="12"/>
              </w:rPr>
            </w:pPr>
          </w:p>
        </w:tc>
        <w:tc>
          <w:tcPr>
            <w:tcW w:w="257" w:type="dxa"/>
            <w:tcBorders>
              <w:top w:val="nil"/>
              <w:left w:val="nil"/>
              <w:bottom w:val="nil"/>
              <w:right w:val="nil"/>
            </w:tcBorders>
            <w:shd w:val="clear" w:color="auto" w:fill="auto"/>
            <w:noWrap/>
            <w:vAlign w:val="bottom"/>
            <w:hideMark/>
          </w:tcPr>
          <w:p>
            <w:pPr>
              <w:spacing w:after="0" w:line="240" w:lineRule="auto"/>
              <w:rPr>
                <w:rFonts w:ascii="Verdana" w:eastAsia="Times New Roman" w:hAnsi="Verdana"/>
                <w:noProof/>
                <w:color w:val="000000"/>
                <w:sz w:val="12"/>
                <w:szCs w:val="12"/>
              </w:rPr>
            </w:pPr>
          </w:p>
        </w:tc>
        <w:tc>
          <w:tcPr>
            <w:tcW w:w="283" w:type="dxa"/>
            <w:tcBorders>
              <w:top w:val="nil"/>
              <w:left w:val="nil"/>
              <w:bottom w:val="nil"/>
              <w:right w:val="nil"/>
            </w:tcBorders>
            <w:shd w:val="clear" w:color="auto" w:fill="auto"/>
            <w:noWrap/>
            <w:vAlign w:val="center"/>
            <w:hideMark/>
          </w:tcPr>
          <w:p>
            <w:pPr>
              <w:spacing w:after="0" w:line="240" w:lineRule="auto"/>
              <w:rPr>
                <w:rFonts w:ascii="Verdana" w:eastAsia="Times New Roman" w:hAnsi="Verdana"/>
                <w:i/>
                <w:iCs/>
                <w:noProof/>
                <w:color w:val="000000"/>
                <w:sz w:val="12"/>
                <w:szCs w:val="12"/>
              </w:rPr>
            </w:pPr>
          </w:p>
        </w:tc>
        <w:tc>
          <w:tcPr>
            <w:tcW w:w="2267" w:type="dxa"/>
            <w:gridSpan w:val="3"/>
            <w:tcBorders>
              <w:top w:val="nil"/>
              <w:left w:val="nil"/>
              <w:bottom w:val="nil"/>
              <w:right w:val="nil"/>
            </w:tcBorders>
            <w:shd w:val="clear" w:color="auto" w:fill="auto"/>
            <w:noWrap/>
            <w:vAlign w:val="center"/>
            <w:hideMark/>
          </w:tcPr>
          <w:p>
            <w:pPr>
              <w:spacing w:after="0" w:line="240" w:lineRule="auto"/>
              <w:ind w:left="-108" w:hanging="142"/>
              <w:jc w:val="right"/>
              <w:rPr>
                <w:rFonts w:ascii="Verdana" w:eastAsia="Times New Roman" w:hAnsi="Verdana"/>
                <w:i/>
                <w:iCs/>
                <w:noProof/>
                <w:color w:val="000000"/>
                <w:sz w:val="12"/>
                <w:szCs w:val="12"/>
              </w:rPr>
            </w:pPr>
            <w:r>
              <w:rPr>
                <w:rFonts w:ascii="Verdana" w:hAnsi="Verdana"/>
                <w:i/>
                <w:noProof/>
                <w:color w:val="000000"/>
                <w:sz w:val="12"/>
              </w:rPr>
              <w:t>En Mio EUR</w:t>
            </w:r>
          </w:p>
        </w:tc>
      </w:tr>
      <w:tr>
        <w:trPr>
          <w:trHeight w:val="1027"/>
        </w:trPr>
        <w:tc>
          <w:tcPr>
            <w:tcW w:w="2552" w:type="dxa"/>
            <w:gridSpan w:val="3"/>
            <w:tcBorders>
              <w:top w:val="nil"/>
              <w:left w:val="nil"/>
              <w:bottom w:val="nil"/>
              <w:right w:val="nil"/>
            </w:tcBorders>
            <w:shd w:val="clear" w:color="000000" w:fill="C6D9F1"/>
            <w:noWrap/>
            <w:vAlign w:val="center"/>
            <w:hideMark/>
          </w:tcPr>
          <w:p>
            <w:pPr>
              <w:spacing w:after="0" w:line="240" w:lineRule="auto"/>
              <w:rPr>
                <w:rFonts w:ascii="Verdana" w:eastAsia="Times New Roman" w:hAnsi="Verdana"/>
                <w:b/>
                <w:bCs/>
                <w:noProof/>
                <w:color w:val="000000"/>
                <w:sz w:val="12"/>
                <w:szCs w:val="12"/>
              </w:rPr>
            </w:pPr>
            <w:r>
              <w:rPr>
                <w:rFonts w:ascii="Verdana" w:hAnsi="Verdana"/>
                <w:b/>
                <w:noProof/>
                <w:color w:val="000000"/>
                <w:sz w:val="12"/>
              </w:rPr>
              <w:t>Domaines politiques</w:t>
            </w:r>
          </w:p>
        </w:tc>
        <w:tc>
          <w:tcPr>
            <w:tcW w:w="283" w:type="dxa"/>
            <w:tcBorders>
              <w:top w:val="nil"/>
              <w:left w:val="nil"/>
              <w:bottom w:val="nil"/>
              <w:right w:val="nil"/>
            </w:tcBorders>
            <w:shd w:val="clear" w:color="auto" w:fill="auto"/>
            <w:vAlign w:val="center"/>
            <w:hideMark/>
          </w:tcPr>
          <w:p>
            <w:pPr>
              <w:spacing w:after="0" w:line="240" w:lineRule="auto"/>
              <w:jc w:val="center"/>
              <w:rPr>
                <w:rFonts w:ascii="Verdana" w:eastAsia="Times New Roman" w:hAnsi="Verdana"/>
                <w:b/>
                <w:bCs/>
                <w:noProof/>
                <w:color w:val="000000"/>
                <w:sz w:val="12"/>
                <w:szCs w:val="12"/>
              </w:rPr>
            </w:pPr>
          </w:p>
        </w:tc>
        <w:tc>
          <w:tcPr>
            <w:tcW w:w="992" w:type="dxa"/>
            <w:tcBorders>
              <w:top w:val="nil"/>
              <w:left w:val="nil"/>
              <w:bottom w:val="nil"/>
              <w:right w:val="nil"/>
            </w:tcBorders>
            <w:shd w:val="clear" w:color="000000" w:fill="99CCFF"/>
            <w:vAlign w:val="center"/>
            <w:hideMark/>
          </w:tcPr>
          <w:p>
            <w:pPr>
              <w:spacing w:after="0" w:line="240" w:lineRule="auto"/>
              <w:jc w:val="center"/>
              <w:rPr>
                <w:rFonts w:ascii="Verdana" w:eastAsia="Times New Roman" w:hAnsi="Verdana"/>
                <w:b/>
                <w:bCs/>
                <w:noProof/>
                <w:color w:val="000000"/>
                <w:sz w:val="10"/>
                <w:szCs w:val="10"/>
              </w:rPr>
            </w:pPr>
            <w:r>
              <w:rPr>
                <w:rFonts w:ascii="Verdana" w:hAnsi="Verdana"/>
                <w:b/>
                <w:noProof/>
                <w:color w:val="000000"/>
                <w:sz w:val="10"/>
              </w:rPr>
              <w:t xml:space="preserve">Total des corrections financières et recouvrements </w:t>
            </w:r>
            <w:r>
              <w:rPr>
                <w:rFonts w:ascii="Verdana" w:hAnsi="Verdana"/>
                <w:b/>
                <w:noProof/>
                <w:color w:val="000000"/>
                <w:sz w:val="10"/>
                <w:u w:val="single"/>
              </w:rPr>
              <w:t>confirmés</w:t>
            </w:r>
            <w:r>
              <w:rPr>
                <w:rFonts w:ascii="Verdana" w:hAnsi="Verdana"/>
                <w:b/>
                <w:noProof/>
                <w:color w:val="000000"/>
                <w:sz w:val="10"/>
              </w:rPr>
              <w:t xml:space="preserve"> en 2015</w:t>
            </w:r>
          </w:p>
        </w:tc>
        <w:tc>
          <w:tcPr>
            <w:tcW w:w="283" w:type="dxa"/>
            <w:tcBorders>
              <w:top w:val="nil"/>
              <w:left w:val="nil"/>
              <w:bottom w:val="nil"/>
              <w:right w:val="nil"/>
            </w:tcBorders>
            <w:shd w:val="clear" w:color="auto" w:fill="auto"/>
            <w:vAlign w:val="center"/>
            <w:hideMark/>
          </w:tcPr>
          <w:p>
            <w:pPr>
              <w:spacing w:after="0" w:line="240" w:lineRule="auto"/>
              <w:jc w:val="center"/>
              <w:rPr>
                <w:rFonts w:ascii="Verdana" w:eastAsia="Times New Roman" w:hAnsi="Verdana"/>
                <w:b/>
                <w:bCs/>
                <w:noProof/>
                <w:color w:val="000000"/>
                <w:sz w:val="10"/>
                <w:szCs w:val="10"/>
              </w:rPr>
            </w:pPr>
          </w:p>
        </w:tc>
        <w:tc>
          <w:tcPr>
            <w:tcW w:w="992" w:type="dxa"/>
            <w:tcBorders>
              <w:top w:val="nil"/>
              <w:left w:val="nil"/>
              <w:bottom w:val="nil"/>
              <w:right w:val="nil"/>
            </w:tcBorders>
            <w:shd w:val="clear" w:color="000000" w:fill="99CCFF"/>
            <w:vAlign w:val="center"/>
            <w:hideMark/>
          </w:tcPr>
          <w:p>
            <w:pPr>
              <w:spacing w:after="0" w:line="240" w:lineRule="auto"/>
              <w:jc w:val="center"/>
              <w:rPr>
                <w:rFonts w:ascii="Verdana" w:eastAsia="Times New Roman" w:hAnsi="Verdana"/>
                <w:b/>
                <w:bCs/>
                <w:noProof/>
                <w:color w:val="000000"/>
                <w:sz w:val="10"/>
                <w:szCs w:val="10"/>
              </w:rPr>
            </w:pPr>
            <w:r>
              <w:rPr>
                <w:rFonts w:ascii="Verdana" w:hAnsi="Verdana"/>
                <w:b/>
                <w:noProof/>
                <w:color w:val="000000"/>
                <w:sz w:val="10"/>
              </w:rPr>
              <w:t xml:space="preserve">Total des corrections financières et recouvrements </w:t>
            </w:r>
            <w:r>
              <w:rPr>
                <w:rFonts w:ascii="Verdana" w:hAnsi="Verdana"/>
                <w:b/>
                <w:noProof/>
                <w:color w:val="000000"/>
                <w:sz w:val="10"/>
                <w:u w:val="single"/>
              </w:rPr>
              <w:t>exécutés</w:t>
            </w:r>
            <w:r>
              <w:rPr>
                <w:rFonts w:ascii="Verdana" w:hAnsi="Verdana"/>
                <w:b/>
                <w:noProof/>
                <w:color w:val="000000"/>
                <w:sz w:val="10"/>
              </w:rPr>
              <w:t xml:space="preserve"> en 2015</w:t>
            </w:r>
          </w:p>
        </w:tc>
      </w:tr>
      <w:tr>
        <w:trPr>
          <w:trHeight w:hRule="exact" w:val="207"/>
        </w:trPr>
        <w:tc>
          <w:tcPr>
            <w:tcW w:w="2552" w:type="dxa"/>
            <w:gridSpan w:val="3"/>
            <w:tcBorders>
              <w:top w:val="nil"/>
              <w:left w:val="nil"/>
              <w:bottom w:val="nil"/>
              <w:right w:val="nil"/>
            </w:tcBorders>
            <w:shd w:val="clear" w:color="000000" w:fill="DBE5F1"/>
            <w:noWrap/>
            <w:vAlign w:val="center"/>
            <w:hideMark/>
          </w:tcPr>
          <w:p>
            <w:pPr>
              <w:spacing w:after="0" w:line="240" w:lineRule="auto"/>
              <w:jc w:val="both"/>
              <w:rPr>
                <w:rFonts w:ascii="Verdana" w:eastAsia="Times New Roman" w:hAnsi="Verdana"/>
                <w:b/>
                <w:bCs/>
                <w:iCs/>
                <w:noProof/>
                <w:color w:val="000000"/>
                <w:sz w:val="12"/>
                <w:szCs w:val="12"/>
              </w:rPr>
            </w:pPr>
            <w:r>
              <w:rPr>
                <w:rFonts w:ascii="Verdana" w:hAnsi="Verdana"/>
                <w:b/>
                <w:noProof/>
                <w:color w:val="000000"/>
                <w:sz w:val="12"/>
              </w:rPr>
              <w:t>Agriculture et développement rural</w:t>
            </w:r>
          </w:p>
        </w:tc>
        <w:tc>
          <w:tcPr>
            <w:tcW w:w="283" w:type="dxa"/>
            <w:tcBorders>
              <w:top w:val="nil"/>
              <w:left w:val="nil"/>
              <w:bottom w:val="nil"/>
              <w:right w:val="nil"/>
            </w:tcBorders>
            <w:shd w:val="clear" w:color="auto" w:fill="auto"/>
            <w:vAlign w:val="center"/>
            <w:hideMark/>
          </w:tcPr>
          <w:p>
            <w:pPr>
              <w:spacing w:after="0" w:line="240" w:lineRule="auto"/>
              <w:jc w:val="right"/>
              <w:rPr>
                <w:rFonts w:ascii="Verdana" w:eastAsia="Times New Roman" w:hAnsi="Verdana"/>
                <w:b/>
                <w:bCs/>
                <w:iCs/>
                <w:noProof/>
                <w:color w:val="000000"/>
                <w:sz w:val="12"/>
                <w:szCs w:val="12"/>
              </w:rPr>
            </w:pPr>
          </w:p>
        </w:tc>
        <w:tc>
          <w:tcPr>
            <w:tcW w:w="992" w:type="dxa"/>
            <w:tcBorders>
              <w:top w:val="nil"/>
              <w:left w:val="nil"/>
              <w:bottom w:val="nil"/>
              <w:right w:val="nil"/>
            </w:tcBorders>
            <w:shd w:val="clear" w:color="000000" w:fill="DBE5F1"/>
            <w:vAlign w:val="center"/>
            <w:hideMark/>
          </w:tcPr>
          <w:p>
            <w:pPr>
              <w:spacing w:after="0" w:line="240" w:lineRule="auto"/>
              <w:jc w:val="right"/>
              <w:rPr>
                <w:rFonts w:ascii="Verdana" w:eastAsia="Times New Roman" w:hAnsi="Verdana"/>
                <w:b/>
                <w:bCs/>
                <w:iCs/>
                <w:noProof/>
                <w:color w:val="000000"/>
                <w:sz w:val="12"/>
                <w:szCs w:val="12"/>
              </w:rPr>
            </w:pPr>
            <w:r>
              <w:rPr>
                <w:rFonts w:ascii="Verdana" w:hAnsi="Verdana"/>
                <w:b/>
                <w:noProof/>
                <w:color w:val="000000"/>
                <w:sz w:val="12"/>
              </w:rPr>
              <w:t>1 292</w:t>
            </w:r>
          </w:p>
        </w:tc>
        <w:tc>
          <w:tcPr>
            <w:tcW w:w="283" w:type="dxa"/>
            <w:tcBorders>
              <w:top w:val="nil"/>
              <w:left w:val="nil"/>
              <w:bottom w:val="nil"/>
              <w:right w:val="nil"/>
            </w:tcBorders>
            <w:shd w:val="clear" w:color="auto" w:fill="auto"/>
            <w:vAlign w:val="center"/>
            <w:hideMark/>
          </w:tcPr>
          <w:p>
            <w:pPr>
              <w:spacing w:after="0" w:line="240" w:lineRule="auto"/>
              <w:jc w:val="right"/>
              <w:rPr>
                <w:rFonts w:ascii="Verdana" w:eastAsia="Times New Roman" w:hAnsi="Verdana"/>
                <w:b/>
                <w:bCs/>
                <w:iCs/>
                <w:noProof/>
                <w:color w:val="000000"/>
                <w:sz w:val="12"/>
                <w:szCs w:val="12"/>
              </w:rPr>
            </w:pPr>
          </w:p>
        </w:tc>
        <w:tc>
          <w:tcPr>
            <w:tcW w:w="992" w:type="dxa"/>
            <w:tcBorders>
              <w:top w:val="nil"/>
              <w:left w:val="nil"/>
              <w:bottom w:val="nil"/>
              <w:right w:val="nil"/>
            </w:tcBorders>
            <w:shd w:val="clear" w:color="000000" w:fill="DBE5F1"/>
            <w:vAlign w:val="center"/>
            <w:hideMark/>
          </w:tcPr>
          <w:p>
            <w:pPr>
              <w:spacing w:after="0" w:line="240" w:lineRule="auto"/>
              <w:jc w:val="right"/>
              <w:rPr>
                <w:rFonts w:ascii="Verdana" w:eastAsia="Times New Roman" w:hAnsi="Verdana"/>
                <w:b/>
                <w:bCs/>
                <w:iCs/>
                <w:noProof/>
                <w:color w:val="000000"/>
                <w:sz w:val="12"/>
                <w:szCs w:val="12"/>
              </w:rPr>
            </w:pPr>
            <w:r>
              <w:rPr>
                <w:rFonts w:ascii="Verdana" w:hAnsi="Verdana"/>
                <w:b/>
                <w:noProof/>
                <w:color w:val="000000"/>
                <w:sz w:val="12"/>
              </w:rPr>
              <w:t>1 587</w:t>
            </w:r>
          </w:p>
        </w:tc>
      </w:tr>
      <w:tr>
        <w:trPr>
          <w:trHeight w:hRule="exact" w:val="207"/>
        </w:trPr>
        <w:tc>
          <w:tcPr>
            <w:tcW w:w="2552" w:type="dxa"/>
            <w:gridSpan w:val="3"/>
            <w:tcBorders>
              <w:top w:val="nil"/>
              <w:left w:val="nil"/>
              <w:bottom w:val="nil"/>
              <w:right w:val="nil"/>
            </w:tcBorders>
            <w:shd w:val="clear" w:color="000000" w:fill="B8CCE4"/>
            <w:noWrap/>
            <w:vAlign w:val="center"/>
            <w:hideMark/>
          </w:tcPr>
          <w:p>
            <w:pPr>
              <w:spacing w:after="0" w:line="240" w:lineRule="auto"/>
              <w:jc w:val="both"/>
              <w:rPr>
                <w:rFonts w:ascii="Verdana" w:eastAsia="Times New Roman" w:hAnsi="Verdana"/>
                <w:b/>
                <w:bCs/>
                <w:iCs/>
                <w:noProof/>
                <w:color w:val="000000"/>
                <w:sz w:val="12"/>
                <w:szCs w:val="12"/>
              </w:rPr>
            </w:pPr>
            <w:r>
              <w:rPr>
                <w:rFonts w:ascii="Verdana" w:hAnsi="Verdana"/>
                <w:b/>
                <w:noProof/>
                <w:color w:val="000000"/>
                <w:sz w:val="12"/>
              </w:rPr>
              <w:t>Politique de cohésion</w:t>
            </w:r>
          </w:p>
        </w:tc>
        <w:tc>
          <w:tcPr>
            <w:tcW w:w="283" w:type="dxa"/>
            <w:tcBorders>
              <w:top w:val="nil"/>
              <w:left w:val="nil"/>
              <w:bottom w:val="nil"/>
              <w:right w:val="nil"/>
            </w:tcBorders>
            <w:shd w:val="clear" w:color="auto" w:fill="auto"/>
            <w:vAlign w:val="center"/>
            <w:hideMark/>
          </w:tcPr>
          <w:p>
            <w:pPr>
              <w:spacing w:after="0" w:line="240" w:lineRule="auto"/>
              <w:jc w:val="right"/>
              <w:rPr>
                <w:rFonts w:ascii="Verdana" w:eastAsia="Times New Roman" w:hAnsi="Verdana"/>
                <w:b/>
                <w:bCs/>
                <w:iCs/>
                <w:noProof/>
                <w:color w:val="000000"/>
                <w:sz w:val="12"/>
                <w:szCs w:val="12"/>
              </w:rPr>
            </w:pPr>
          </w:p>
        </w:tc>
        <w:tc>
          <w:tcPr>
            <w:tcW w:w="992" w:type="dxa"/>
            <w:tcBorders>
              <w:top w:val="nil"/>
              <w:left w:val="nil"/>
              <w:bottom w:val="nil"/>
              <w:right w:val="nil"/>
            </w:tcBorders>
            <w:shd w:val="clear" w:color="000000" w:fill="B8CCE4"/>
            <w:vAlign w:val="center"/>
            <w:hideMark/>
          </w:tcPr>
          <w:p>
            <w:pPr>
              <w:spacing w:after="0" w:line="240" w:lineRule="auto"/>
              <w:jc w:val="right"/>
              <w:rPr>
                <w:rFonts w:ascii="Verdana" w:eastAsia="Times New Roman" w:hAnsi="Verdana"/>
                <w:b/>
                <w:bCs/>
                <w:iCs/>
                <w:noProof/>
                <w:color w:val="000000"/>
                <w:sz w:val="12"/>
                <w:szCs w:val="12"/>
              </w:rPr>
            </w:pPr>
            <w:r>
              <w:rPr>
                <w:rFonts w:ascii="Verdana" w:hAnsi="Verdana"/>
                <w:b/>
                <w:noProof/>
                <w:color w:val="000000"/>
                <w:sz w:val="12"/>
              </w:rPr>
              <w:t>1 744</w:t>
            </w:r>
          </w:p>
        </w:tc>
        <w:tc>
          <w:tcPr>
            <w:tcW w:w="283" w:type="dxa"/>
            <w:tcBorders>
              <w:top w:val="nil"/>
              <w:left w:val="nil"/>
              <w:bottom w:val="nil"/>
              <w:right w:val="nil"/>
            </w:tcBorders>
            <w:shd w:val="clear" w:color="auto" w:fill="auto"/>
            <w:vAlign w:val="center"/>
            <w:hideMark/>
          </w:tcPr>
          <w:p>
            <w:pPr>
              <w:spacing w:after="0" w:line="240" w:lineRule="auto"/>
              <w:jc w:val="right"/>
              <w:rPr>
                <w:rFonts w:ascii="Verdana" w:eastAsia="Times New Roman" w:hAnsi="Verdana"/>
                <w:b/>
                <w:bCs/>
                <w:iCs/>
                <w:noProof/>
                <w:color w:val="000000"/>
                <w:sz w:val="12"/>
                <w:szCs w:val="12"/>
              </w:rPr>
            </w:pPr>
          </w:p>
        </w:tc>
        <w:tc>
          <w:tcPr>
            <w:tcW w:w="992" w:type="dxa"/>
            <w:tcBorders>
              <w:top w:val="nil"/>
              <w:left w:val="nil"/>
              <w:bottom w:val="nil"/>
              <w:right w:val="nil"/>
            </w:tcBorders>
            <w:shd w:val="clear" w:color="000000" w:fill="B8CCE4"/>
            <w:vAlign w:val="center"/>
            <w:hideMark/>
          </w:tcPr>
          <w:p>
            <w:pPr>
              <w:spacing w:after="0" w:line="240" w:lineRule="auto"/>
              <w:jc w:val="right"/>
              <w:rPr>
                <w:rFonts w:ascii="Verdana" w:eastAsia="Times New Roman" w:hAnsi="Verdana"/>
                <w:b/>
                <w:bCs/>
                <w:iCs/>
                <w:noProof/>
                <w:color w:val="000000"/>
                <w:sz w:val="12"/>
                <w:szCs w:val="12"/>
              </w:rPr>
            </w:pPr>
            <w:r>
              <w:rPr>
                <w:rFonts w:ascii="Verdana" w:hAnsi="Verdana"/>
                <w:b/>
                <w:noProof/>
                <w:color w:val="000000"/>
                <w:sz w:val="12"/>
              </w:rPr>
              <w:t>1 808</w:t>
            </w:r>
          </w:p>
        </w:tc>
      </w:tr>
      <w:tr>
        <w:trPr>
          <w:trHeight w:hRule="exact" w:val="207"/>
        </w:trPr>
        <w:tc>
          <w:tcPr>
            <w:tcW w:w="2552" w:type="dxa"/>
            <w:gridSpan w:val="3"/>
            <w:tcBorders>
              <w:top w:val="nil"/>
              <w:left w:val="nil"/>
              <w:bottom w:val="nil"/>
              <w:right w:val="nil"/>
            </w:tcBorders>
            <w:shd w:val="clear" w:color="000000" w:fill="95B3D7"/>
            <w:noWrap/>
            <w:vAlign w:val="center"/>
            <w:hideMark/>
          </w:tcPr>
          <w:p>
            <w:pPr>
              <w:spacing w:after="0" w:line="240" w:lineRule="auto"/>
              <w:rPr>
                <w:rFonts w:ascii="Verdana" w:eastAsia="Times New Roman" w:hAnsi="Verdana"/>
                <w:b/>
                <w:noProof/>
                <w:color w:val="000000"/>
                <w:sz w:val="12"/>
                <w:szCs w:val="12"/>
              </w:rPr>
            </w:pPr>
            <w:r>
              <w:rPr>
                <w:rFonts w:ascii="Verdana" w:hAnsi="Verdana"/>
                <w:b/>
                <w:noProof/>
                <w:color w:val="000000"/>
                <w:sz w:val="12"/>
              </w:rPr>
              <w:t>Politiques internes</w:t>
            </w:r>
          </w:p>
        </w:tc>
        <w:tc>
          <w:tcPr>
            <w:tcW w:w="283" w:type="dxa"/>
            <w:tcBorders>
              <w:top w:val="nil"/>
              <w:left w:val="nil"/>
              <w:bottom w:val="nil"/>
              <w:right w:val="nil"/>
            </w:tcBorders>
            <w:shd w:val="clear" w:color="auto" w:fill="auto"/>
            <w:vAlign w:val="center"/>
            <w:hideMark/>
          </w:tcPr>
          <w:p>
            <w:pPr>
              <w:spacing w:after="0" w:line="240" w:lineRule="auto"/>
              <w:jc w:val="right"/>
              <w:rPr>
                <w:rFonts w:ascii="Verdana" w:eastAsia="Times New Roman" w:hAnsi="Verdana"/>
                <w:b/>
                <w:noProof/>
                <w:color w:val="000000"/>
                <w:sz w:val="12"/>
                <w:szCs w:val="12"/>
              </w:rPr>
            </w:pPr>
          </w:p>
        </w:tc>
        <w:tc>
          <w:tcPr>
            <w:tcW w:w="992" w:type="dxa"/>
            <w:tcBorders>
              <w:top w:val="nil"/>
              <w:left w:val="nil"/>
              <w:bottom w:val="nil"/>
              <w:right w:val="nil"/>
            </w:tcBorders>
            <w:shd w:val="clear" w:color="000000" w:fill="95B3D7"/>
            <w:vAlign w:val="center"/>
            <w:hideMark/>
          </w:tcPr>
          <w:p>
            <w:pPr>
              <w:spacing w:after="0" w:line="240" w:lineRule="auto"/>
              <w:jc w:val="right"/>
              <w:rPr>
                <w:rFonts w:ascii="Verdana" w:eastAsia="Times New Roman" w:hAnsi="Verdana"/>
                <w:b/>
                <w:bCs/>
                <w:iCs/>
                <w:noProof/>
                <w:color w:val="000000"/>
                <w:sz w:val="12"/>
                <w:szCs w:val="12"/>
              </w:rPr>
            </w:pPr>
            <w:r>
              <w:rPr>
                <w:rFonts w:ascii="Verdana" w:hAnsi="Verdana"/>
                <w:b/>
                <w:noProof/>
                <w:color w:val="000000"/>
                <w:sz w:val="12"/>
              </w:rPr>
              <w:t>326</w:t>
            </w:r>
          </w:p>
        </w:tc>
        <w:tc>
          <w:tcPr>
            <w:tcW w:w="283" w:type="dxa"/>
            <w:tcBorders>
              <w:top w:val="nil"/>
              <w:left w:val="nil"/>
              <w:bottom w:val="nil"/>
              <w:right w:val="nil"/>
            </w:tcBorders>
            <w:shd w:val="clear" w:color="auto" w:fill="auto"/>
            <w:vAlign w:val="center"/>
            <w:hideMark/>
          </w:tcPr>
          <w:p>
            <w:pPr>
              <w:spacing w:after="0" w:line="240" w:lineRule="auto"/>
              <w:jc w:val="right"/>
              <w:rPr>
                <w:rFonts w:ascii="Verdana" w:eastAsia="Times New Roman" w:hAnsi="Verdana"/>
                <w:b/>
                <w:noProof/>
                <w:color w:val="000000"/>
                <w:sz w:val="12"/>
                <w:szCs w:val="12"/>
              </w:rPr>
            </w:pPr>
          </w:p>
        </w:tc>
        <w:tc>
          <w:tcPr>
            <w:tcW w:w="992" w:type="dxa"/>
            <w:tcBorders>
              <w:top w:val="nil"/>
              <w:left w:val="nil"/>
              <w:bottom w:val="nil"/>
              <w:right w:val="nil"/>
            </w:tcBorders>
            <w:shd w:val="clear" w:color="000000" w:fill="95B3D7"/>
            <w:vAlign w:val="center"/>
            <w:hideMark/>
          </w:tcPr>
          <w:p>
            <w:pPr>
              <w:spacing w:after="0" w:line="240" w:lineRule="auto"/>
              <w:jc w:val="right"/>
              <w:rPr>
                <w:rFonts w:ascii="Verdana" w:eastAsia="Times New Roman" w:hAnsi="Verdana"/>
                <w:b/>
                <w:bCs/>
                <w:iCs/>
                <w:noProof/>
                <w:color w:val="000000"/>
                <w:sz w:val="12"/>
                <w:szCs w:val="12"/>
              </w:rPr>
            </w:pPr>
            <w:r>
              <w:rPr>
                <w:rFonts w:ascii="Verdana" w:hAnsi="Verdana"/>
                <w:b/>
                <w:noProof/>
                <w:color w:val="000000"/>
                <w:sz w:val="12"/>
              </w:rPr>
              <w:t>317</w:t>
            </w:r>
          </w:p>
        </w:tc>
      </w:tr>
      <w:tr>
        <w:trPr>
          <w:trHeight w:hRule="exact" w:val="207"/>
        </w:trPr>
        <w:tc>
          <w:tcPr>
            <w:tcW w:w="2552" w:type="dxa"/>
            <w:gridSpan w:val="3"/>
            <w:tcBorders>
              <w:top w:val="nil"/>
              <w:left w:val="nil"/>
              <w:bottom w:val="nil"/>
              <w:right w:val="nil"/>
            </w:tcBorders>
            <w:shd w:val="clear" w:color="000000" w:fill="95B3D7"/>
            <w:noWrap/>
            <w:vAlign w:val="center"/>
            <w:hideMark/>
          </w:tcPr>
          <w:p>
            <w:pPr>
              <w:spacing w:after="0" w:line="240" w:lineRule="auto"/>
              <w:rPr>
                <w:rFonts w:ascii="Verdana" w:eastAsia="Times New Roman" w:hAnsi="Verdana"/>
                <w:b/>
                <w:noProof/>
                <w:color w:val="000000"/>
                <w:sz w:val="12"/>
                <w:szCs w:val="12"/>
              </w:rPr>
            </w:pPr>
            <w:r>
              <w:rPr>
                <w:rFonts w:ascii="Verdana" w:hAnsi="Verdana"/>
                <w:b/>
                <w:noProof/>
                <w:color w:val="000000"/>
                <w:sz w:val="12"/>
              </w:rPr>
              <w:t>Politiques extérieures</w:t>
            </w:r>
          </w:p>
        </w:tc>
        <w:tc>
          <w:tcPr>
            <w:tcW w:w="283" w:type="dxa"/>
            <w:tcBorders>
              <w:top w:val="nil"/>
              <w:left w:val="nil"/>
              <w:bottom w:val="nil"/>
              <w:right w:val="nil"/>
            </w:tcBorders>
            <w:shd w:val="clear" w:color="auto" w:fill="auto"/>
            <w:vAlign w:val="center"/>
            <w:hideMark/>
          </w:tcPr>
          <w:p>
            <w:pPr>
              <w:spacing w:after="0" w:line="240" w:lineRule="auto"/>
              <w:jc w:val="right"/>
              <w:rPr>
                <w:rFonts w:ascii="Verdana" w:eastAsia="Times New Roman" w:hAnsi="Verdana"/>
                <w:b/>
                <w:noProof/>
                <w:color w:val="000000"/>
                <w:sz w:val="12"/>
                <w:szCs w:val="12"/>
              </w:rPr>
            </w:pPr>
          </w:p>
        </w:tc>
        <w:tc>
          <w:tcPr>
            <w:tcW w:w="992" w:type="dxa"/>
            <w:tcBorders>
              <w:top w:val="nil"/>
              <w:left w:val="nil"/>
              <w:bottom w:val="nil"/>
              <w:right w:val="nil"/>
            </w:tcBorders>
            <w:shd w:val="clear" w:color="000000" w:fill="95B3D7"/>
            <w:vAlign w:val="center"/>
            <w:hideMark/>
          </w:tcPr>
          <w:p>
            <w:pPr>
              <w:spacing w:after="0" w:line="240" w:lineRule="auto"/>
              <w:jc w:val="right"/>
              <w:rPr>
                <w:rFonts w:ascii="Verdana" w:eastAsia="Times New Roman" w:hAnsi="Verdana"/>
                <w:b/>
                <w:bCs/>
                <w:iCs/>
                <w:noProof/>
                <w:color w:val="000000"/>
                <w:sz w:val="12"/>
                <w:szCs w:val="12"/>
              </w:rPr>
            </w:pPr>
            <w:r>
              <w:rPr>
                <w:rFonts w:ascii="Verdana" w:hAnsi="Verdana"/>
                <w:b/>
                <w:noProof/>
                <w:color w:val="000000"/>
                <w:sz w:val="12"/>
              </w:rPr>
              <w:t>132</w:t>
            </w:r>
          </w:p>
        </w:tc>
        <w:tc>
          <w:tcPr>
            <w:tcW w:w="283" w:type="dxa"/>
            <w:tcBorders>
              <w:top w:val="nil"/>
              <w:left w:val="nil"/>
              <w:bottom w:val="nil"/>
              <w:right w:val="nil"/>
            </w:tcBorders>
            <w:shd w:val="clear" w:color="auto" w:fill="auto"/>
            <w:vAlign w:val="center"/>
            <w:hideMark/>
          </w:tcPr>
          <w:p>
            <w:pPr>
              <w:spacing w:after="0" w:line="240" w:lineRule="auto"/>
              <w:jc w:val="right"/>
              <w:rPr>
                <w:rFonts w:ascii="Verdana" w:eastAsia="Times New Roman" w:hAnsi="Verdana"/>
                <w:b/>
                <w:noProof/>
                <w:color w:val="000000"/>
                <w:sz w:val="12"/>
                <w:szCs w:val="12"/>
              </w:rPr>
            </w:pPr>
          </w:p>
        </w:tc>
        <w:tc>
          <w:tcPr>
            <w:tcW w:w="992" w:type="dxa"/>
            <w:tcBorders>
              <w:top w:val="nil"/>
              <w:left w:val="nil"/>
              <w:bottom w:val="nil"/>
              <w:right w:val="nil"/>
            </w:tcBorders>
            <w:shd w:val="clear" w:color="000000" w:fill="95B3D7"/>
            <w:vAlign w:val="center"/>
            <w:hideMark/>
          </w:tcPr>
          <w:p>
            <w:pPr>
              <w:spacing w:after="0" w:line="240" w:lineRule="auto"/>
              <w:jc w:val="right"/>
              <w:rPr>
                <w:rFonts w:ascii="Verdana" w:eastAsia="Times New Roman" w:hAnsi="Verdana"/>
                <w:b/>
                <w:bCs/>
                <w:iCs/>
                <w:noProof/>
                <w:color w:val="000000"/>
                <w:sz w:val="12"/>
                <w:szCs w:val="12"/>
              </w:rPr>
            </w:pPr>
            <w:r>
              <w:rPr>
                <w:rFonts w:ascii="Verdana" w:hAnsi="Verdana"/>
                <w:b/>
                <w:noProof/>
                <w:color w:val="000000"/>
                <w:sz w:val="12"/>
              </w:rPr>
              <w:t>136</w:t>
            </w:r>
          </w:p>
        </w:tc>
      </w:tr>
      <w:tr>
        <w:trPr>
          <w:trHeight w:hRule="exact" w:val="207"/>
        </w:trPr>
        <w:tc>
          <w:tcPr>
            <w:tcW w:w="2552" w:type="dxa"/>
            <w:gridSpan w:val="3"/>
            <w:tcBorders>
              <w:top w:val="nil"/>
              <w:left w:val="nil"/>
              <w:bottom w:val="nil"/>
              <w:right w:val="nil"/>
            </w:tcBorders>
            <w:shd w:val="clear" w:color="000000" w:fill="95B3D7"/>
            <w:noWrap/>
            <w:vAlign w:val="center"/>
            <w:hideMark/>
          </w:tcPr>
          <w:p>
            <w:pPr>
              <w:spacing w:after="0" w:line="240" w:lineRule="auto"/>
              <w:rPr>
                <w:rFonts w:ascii="Verdana" w:eastAsia="Times New Roman" w:hAnsi="Verdana"/>
                <w:b/>
                <w:noProof/>
                <w:color w:val="000000"/>
                <w:sz w:val="12"/>
                <w:szCs w:val="12"/>
              </w:rPr>
            </w:pPr>
            <w:r>
              <w:rPr>
                <w:rFonts w:ascii="Verdana" w:hAnsi="Verdana"/>
                <w:b/>
                <w:noProof/>
                <w:color w:val="000000"/>
                <w:sz w:val="12"/>
              </w:rPr>
              <w:t>Administration</w:t>
            </w:r>
          </w:p>
        </w:tc>
        <w:tc>
          <w:tcPr>
            <w:tcW w:w="283" w:type="dxa"/>
            <w:tcBorders>
              <w:top w:val="nil"/>
              <w:left w:val="nil"/>
              <w:bottom w:val="nil"/>
              <w:right w:val="nil"/>
            </w:tcBorders>
            <w:shd w:val="clear" w:color="auto" w:fill="auto"/>
            <w:vAlign w:val="center"/>
            <w:hideMark/>
          </w:tcPr>
          <w:p>
            <w:pPr>
              <w:spacing w:after="0" w:line="240" w:lineRule="auto"/>
              <w:jc w:val="right"/>
              <w:rPr>
                <w:rFonts w:ascii="Verdana" w:eastAsia="Times New Roman" w:hAnsi="Verdana"/>
                <w:b/>
                <w:noProof/>
                <w:color w:val="000000"/>
                <w:sz w:val="12"/>
                <w:szCs w:val="12"/>
              </w:rPr>
            </w:pPr>
          </w:p>
        </w:tc>
        <w:tc>
          <w:tcPr>
            <w:tcW w:w="992" w:type="dxa"/>
            <w:tcBorders>
              <w:top w:val="nil"/>
              <w:left w:val="nil"/>
              <w:bottom w:val="nil"/>
              <w:right w:val="nil"/>
            </w:tcBorders>
            <w:shd w:val="clear" w:color="000000" w:fill="95B3D7"/>
            <w:vAlign w:val="center"/>
            <w:hideMark/>
          </w:tcPr>
          <w:p>
            <w:pPr>
              <w:spacing w:after="0" w:line="240" w:lineRule="auto"/>
              <w:jc w:val="right"/>
              <w:rPr>
                <w:rFonts w:ascii="Verdana" w:eastAsia="Times New Roman" w:hAnsi="Verdana"/>
                <w:b/>
                <w:bCs/>
                <w:iCs/>
                <w:noProof/>
                <w:color w:val="000000"/>
                <w:sz w:val="12"/>
                <w:szCs w:val="12"/>
              </w:rPr>
            </w:pPr>
            <w:r>
              <w:rPr>
                <w:rFonts w:ascii="Verdana" w:hAnsi="Verdana"/>
                <w:b/>
                <w:noProof/>
                <w:color w:val="000000"/>
                <w:sz w:val="12"/>
              </w:rPr>
              <w:t>5</w:t>
            </w:r>
          </w:p>
        </w:tc>
        <w:tc>
          <w:tcPr>
            <w:tcW w:w="283" w:type="dxa"/>
            <w:tcBorders>
              <w:top w:val="nil"/>
              <w:left w:val="nil"/>
              <w:bottom w:val="nil"/>
              <w:right w:val="nil"/>
            </w:tcBorders>
            <w:shd w:val="clear" w:color="auto" w:fill="auto"/>
            <w:vAlign w:val="center"/>
            <w:hideMark/>
          </w:tcPr>
          <w:p>
            <w:pPr>
              <w:spacing w:after="0" w:line="240" w:lineRule="auto"/>
              <w:jc w:val="right"/>
              <w:rPr>
                <w:rFonts w:ascii="Verdana" w:eastAsia="Times New Roman" w:hAnsi="Verdana"/>
                <w:b/>
                <w:noProof/>
                <w:color w:val="000000"/>
                <w:sz w:val="12"/>
                <w:szCs w:val="12"/>
              </w:rPr>
            </w:pPr>
          </w:p>
        </w:tc>
        <w:tc>
          <w:tcPr>
            <w:tcW w:w="992" w:type="dxa"/>
            <w:tcBorders>
              <w:top w:val="nil"/>
              <w:left w:val="nil"/>
              <w:bottom w:val="nil"/>
              <w:right w:val="nil"/>
            </w:tcBorders>
            <w:shd w:val="clear" w:color="000000" w:fill="95B3D7"/>
            <w:vAlign w:val="center"/>
            <w:hideMark/>
          </w:tcPr>
          <w:p>
            <w:pPr>
              <w:spacing w:after="0" w:line="240" w:lineRule="auto"/>
              <w:jc w:val="right"/>
              <w:rPr>
                <w:rFonts w:ascii="Verdana" w:eastAsia="Times New Roman" w:hAnsi="Verdana"/>
                <w:b/>
                <w:bCs/>
                <w:iCs/>
                <w:noProof/>
                <w:color w:val="000000"/>
                <w:sz w:val="12"/>
                <w:szCs w:val="12"/>
              </w:rPr>
            </w:pPr>
            <w:r>
              <w:rPr>
                <w:rFonts w:ascii="Verdana" w:hAnsi="Verdana"/>
                <w:b/>
                <w:noProof/>
                <w:color w:val="000000"/>
                <w:sz w:val="12"/>
              </w:rPr>
              <w:t>5</w:t>
            </w:r>
          </w:p>
        </w:tc>
      </w:tr>
      <w:tr>
        <w:trPr>
          <w:trHeight w:val="207"/>
        </w:trPr>
        <w:tc>
          <w:tcPr>
            <w:tcW w:w="2552" w:type="dxa"/>
            <w:gridSpan w:val="3"/>
            <w:tcBorders>
              <w:top w:val="nil"/>
              <w:left w:val="nil"/>
              <w:right w:val="nil"/>
            </w:tcBorders>
            <w:shd w:val="clear" w:color="000000" w:fill="D9D9D9"/>
            <w:noWrap/>
            <w:vAlign w:val="center"/>
            <w:hideMark/>
          </w:tcPr>
          <w:p>
            <w:pPr>
              <w:spacing w:after="0" w:line="240" w:lineRule="auto"/>
              <w:jc w:val="both"/>
              <w:rPr>
                <w:rFonts w:ascii="Verdana" w:eastAsia="Times New Roman" w:hAnsi="Verdana"/>
                <w:b/>
                <w:bCs/>
                <w:noProof/>
                <w:color w:val="000000"/>
                <w:sz w:val="12"/>
                <w:szCs w:val="12"/>
              </w:rPr>
            </w:pPr>
            <w:r>
              <w:rPr>
                <w:rFonts w:ascii="Verdana" w:hAnsi="Verdana"/>
                <w:b/>
                <w:noProof/>
                <w:color w:val="000000"/>
                <w:sz w:val="12"/>
              </w:rPr>
              <w:t>TOTAL</w:t>
            </w:r>
          </w:p>
        </w:tc>
        <w:tc>
          <w:tcPr>
            <w:tcW w:w="283" w:type="dxa"/>
            <w:tcBorders>
              <w:top w:val="nil"/>
              <w:left w:val="nil"/>
              <w:right w:val="nil"/>
            </w:tcBorders>
            <w:shd w:val="clear" w:color="auto" w:fill="auto"/>
            <w:vAlign w:val="center"/>
            <w:hideMark/>
          </w:tcPr>
          <w:p>
            <w:pPr>
              <w:spacing w:after="0" w:line="240" w:lineRule="auto"/>
              <w:jc w:val="right"/>
              <w:rPr>
                <w:rFonts w:ascii="Verdana" w:eastAsia="Times New Roman" w:hAnsi="Verdana"/>
                <w:b/>
                <w:bCs/>
                <w:noProof/>
                <w:color w:val="000000"/>
                <w:sz w:val="12"/>
                <w:szCs w:val="12"/>
              </w:rPr>
            </w:pPr>
          </w:p>
        </w:tc>
        <w:tc>
          <w:tcPr>
            <w:tcW w:w="992" w:type="dxa"/>
            <w:tcBorders>
              <w:top w:val="nil"/>
              <w:left w:val="nil"/>
              <w:right w:val="nil"/>
            </w:tcBorders>
            <w:shd w:val="clear" w:color="000000" w:fill="D9D9D9"/>
            <w:noWrap/>
            <w:vAlign w:val="center"/>
            <w:hideMark/>
          </w:tcPr>
          <w:p>
            <w:pPr>
              <w:spacing w:after="0" w:line="240" w:lineRule="auto"/>
              <w:jc w:val="right"/>
              <w:rPr>
                <w:rFonts w:ascii="Verdana" w:eastAsia="Times New Roman" w:hAnsi="Verdana"/>
                <w:b/>
                <w:bCs/>
                <w:iCs/>
                <w:noProof/>
                <w:color w:val="000000"/>
                <w:sz w:val="12"/>
                <w:szCs w:val="12"/>
              </w:rPr>
            </w:pPr>
            <w:r>
              <w:rPr>
                <w:rFonts w:ascii="Verdana" w:hAnsi="Verdana"/>
                <w:b/>
                <w:noProof/>
                <w:color w:val="000000"/>
                <w:sz w:val="12"/>
              </w:rPr>
              <w:t>3 499</w:t>
            </w:r>
          </w:p>
        </w:tc>
        <w:tc>
          <w:tcPr>
            <w:tcW w:w="283" w:type="dxa"/>
            <w:tcBorders>
              <w:top w:val="nil"/>
              <w:left w:val="nil"/>
              <w:right w:val="nil"/>
            </w:tcBorders>
            <w:shd w:val="clear" w:color="auto" w:fill="auto"/>
            <w:vAlign w:val="center"/>
            <w:hideMark/>
          </w:tcPr>
          <w:p>
            <w:pPr>
              <w:spacing w:after="0" w:line="240" w:lineRule="auto"/>
              <w:jc w:val="right"/>
              <w:rPr>
                <w:rFonts w:ascii="Verdana" w:eastAsia="Times New Roman" w:hAnsi="Verdana"/>
                <w:b/>
                <w:bCs/>
                <w:noProof/>
                <w:color w:val="000000"/>
                <w:sz w:val="12"/>
                <w:szCs w:val="12"/>
              </w:rPr>
            </w:pPr>
          </w:p>
        </w:tc>
        <w:tc>
          <w:tcPr>
            <w:tcW w:w="992" w:type="dxa"/>
            <w:tcBorders>
              <w:top w:val="nil"/>
              <w:left w:val="nil"/>
              <w:right w:val="nil"/>
            </w:tcBorders>
            <w:shd w:val="clear" w:color="000000" w:fill="D9D9D9"/>
            <w:noWrap/>
            <w:vAlign w:val="center"/>
            <w:hideMark/>
          </w:tcPr>
          <w:p>
            <w:pPr>
              <w:spacing w:after="0" w:line="240" w:lineRule="auto"/>
              <w:jc w:val="right"/>
              <w:rPr>
                <w:rFonts w:ascii="Verdana" w:eastAsia="Times New Roman" w:hAnsi="Verdana"/>
                <w:b/>
                <w:bCs/>
                <w:iCs/>
                <w:noProof/>
                <w:color w:val="000000"/>
                <w:sz w:val="12"/>
                <w:szCs w:val="12"/>
              </w:rPr>
            </w:pPr>
            <w:r>
              <w:rPr>
                <w:rFonts w:ascii="Verdana" w:hAnsi="Verdana"/>
                <w:b/>
                <w:noProof/>
                <w:color w:val="000000"/>
                <w:sz w:val="12"/>
              </w:rPr>
              <w:t>3 853</w:t>
            </w:r>
          </w:p>
        </w:tc>
      </w:tr>
      <w:tr>
        <w:trPr>
          <w:trHeight w:hRule="exact" w:val="113"/>
        </w:trPr>
        <w:tc>
          <w:tcPr>
            <w:tcW w:w="2552" w:type="dxa"/>
            <w:gridSpan w:val="3"/>
            <w:tcBorders>
              <w:top w:val="nil"/>
              <w:left w:val="nil"/>
              <w:bottom w:val="nil"/>
              <w:right w:val="nil"/>
            </w:tcBorders>
            <w:shd w:val="clear" w:color="auto" w:fill="auto"/>
            <w:noWrap/>
            <w:vAlign w:val="center"/>
          </w:tcPr>
          <w:p>
            <w:pPr>
              <w:spacing w:after="0" w:line="240" w:lineRule="auto"/>
              <w:jc w:val="both"/>
              <w:rPr>
                <w:rFonts w:ascii="Verdana" w:eastAsia="Times New Roman" w:hAnsi="Verdana"/>
                <w:b/>
                <w:bCs/>
                <w:noProof/>
                <w:color w:val="000000"/>
                <w:sz w:val="12"/>
                <w:szCs w:val="12"/>
              </w:rPr>
            </w:pPr>
          </w:p>
        </w:tc>
        <w:tc>
          <w:tcPr>
            <w:tcW w:w="283" w:type="dxa"/>
            <w:tcBorders>
              <w:top w:val="nil"/>
              <w:left w:val="nil"/>
              <w:bottom w:val="nil"/>
              <w:right w:val="nil"/>
            </w:tcBorders>
            <w:shd w:val="clear" w:color="auto" w:fill="auto"/>
            <w:vAlign w:val="center"/>
          </w:tcPr>
          <w:p>
            <w:pPr>
              <w:spacing w:after="0" w:line="240" w:lineRule="auto"/>
              <w:jc w:val="right"/>
              <w:rPr>
                <w:rFonts w:ascii="Verdana" w:eastAsia="Times New Roman" w:hAnsi="Verdana"/>
                <w:b/>
                <w:bCs/>
                <w:noProof/>
                <w:color w:val="000000"/>
                <w:sz w:val="12"/>
                <w:szCs w:val="12"/>
              </w:rPr>
            </w:pPr>
          </w:p>
        </w:tc>
        <w:tc>
          <w:tcPr>
            <w:tcW w:w="992" w:type="dxa"/>
            <w:tcBorders>
              <w:top w:val="nil"/>
              <w:left w:val="nil"/>
              <w:bottom w:val="nil"/>
              <w:right w:val="nil"/>
            </w:tcBorders>
            <w:shd w:val="clear" w:color="auto" w:fill="auto"/>
            <w:noWrap/>
            <w:vAlign w:val="center"/>
          </w:tcPr>
          <w:p>
            <w:pPr>
              <w:spacing w:after="0" w:line="240" w:lineRule="auto"/>
              <w:jc w:val="right"/>
              <w:rPr>
                <w:rFonts w:ascii="Verdana" w:eastAsia="Times New Roman" w:hAnsi="Verdana"/>
                <w:b/>
                <w:bCs/>
                <w:iCs/>
                <w:noProof/>
                <w:color w:val="000000"/>
                <w:sz w:val="12"/>
                <w:szCs w:val="12"/>
              </w:rPr>
            </w:pPr>
          </w:p>
        </w:tc>
        <w:tc>
          <w:tcPr>
            <w:tcW w:w="283" w:type="dxa"/>
            <w:tcBorders>
              <w:top w:val="nil"/>
              <w:left w:val="nil"/>
              <w:bottom w:val="nil"/>
              <w:right w:val="nil"/>
            </w:tcBorders>
            <w:shd w:val="clear" w:color="auto" w:fill="auto"/>
            <w:vAlign w:val="center"/>
          </w:tcPr>
          <w:p>
            <w:pPr>
              <w:spacing w:after="0" w:line="240" w:lineRule="auto"/>
              <w:jc w:val="right"/>
              <w:rPr>
                <w:rFonts w:ascii="Verdana" w:eastAsia="Times New Roman" w:hAnsi="Verdana"/>
                <w:b/>
                <w:bCs/>
                <w:noProof/>
                <w:color w:val="000000"/>
                <w:sz w:val="12"/>
                <w:szCs w:val="12"/>
              </w:rPr>
            </w:pPr>
          </w:p>
        </w:tc>
        <w:tc>
          <w:tcPr>
            <w:tcW w:w="992" w:type="dxa"/>
            <w:tcBorders>
              <w:top w:val="nil"/>
              <w:left w:val="nil"/>
              <w:bottom w:val="nil"/>
              <w:right w:val="nil"/>
            </w:tcBorders>
            <w:shd w:val="clear" w:color="auto" w:fill="auto"/>
            <w:noWrap/>
            <w:vAlign w:val="center"/>
          </w:tcPr>
          <w:p>
            <w:pPr>
              <w:spacing w:after="0" w:line="240" w:lineRule="auto"/>
              <w:jc w:val="right"/>
              <w:rPr>
                <w:rFonts w:ascii="Verdana" w:eastAsia="Times New Roman" w:hAnsi="Verdana"/>
                <w:b/>
                <w:bCs/>
                <w:iCs/>
                <w:noProof/>
                <w:color w:val="000000"/>
                <w:sz w:val="12"/>
                <w:szCs w:val="12"/>
              </w:rPr>
            </w:pPr>
          </w:p>
        </w:tc>
      </w:tr>
      <w:tr>
        <w:trPr>
          <w:trHeight w:val="207"/>
        </w:trPr>
        <w:tc>
          <w:tcPr>
            <w:tcW w:w="2552" w:type="dxa"/>
            <w:gridSpan w:val="3"/>
            <w:tcBorders>
              <w:top w:val="nil"/>
              <w:left w:val="nil"/>
              <w:bottom w:val="nil"/>
              <w:right w:val="nil"/>
            </w:tcBorders>
            <w:shd w:val="clear" w:color="000000" w:fill="D9D9D9"/>
            <w:noWrap/>
            <w:vAlign w:val="center"/>
          </w:tcPr>
          <w:p>
            <w:pPr>
              <w:spacing w:after="0" w:line="240" w:lineRule="auto"/>
              <w:rPr>
                <w:rFonts w:ascii="Verdana" w:eastAsia="Times New Roman" w:hAnsi="Verdana"/>
                <w:b/>
                <w:bCs/>
                <w:noProof/>
                <w:color w:val="000000"/>
                <w:sz w:val="12"/>
                <w:szCs w:val="12"/>
              </w:rPr>
            </w:pPr>
            <w:r>
              <w:rPr>
                <w:rFonts w:ascii="Verdana" w:hAnsi="Verdana"/>
                <w:b/>
                <w:noProof/>
                <w:color w:val="000000"/>
                <w:sz w:val="12"/>
              </w:rPr>
              <w:t>% des paiements budgétaires</w:t>
            </w:r>
          </w:p>
        </w:tc>
        <w:tc>
          <w:tcPr>
            <w:tcW w:w="283" w:type="dxa"/>
            <w:tcBorders>
              <w:top w:val="nil"/>
              <w:left w:val="nil"/>
              <w:bottom w:val="nil"/>
              <w:right w:val="nil"/>
            </w:tcBorders>
            <w:shd w:val="clear" w:color="auto" w:fill="auto"/>
            <w:vAlign w:val="center"/>
          </w:tcPr>
          <w:p>
            <w:pPr>
              <w:spacing w:after="0" w:line="240" w:lineRule="auto"/>
              <w:jc w:val="right"/>
              <w:rPr>
                <w:rFonts w:ascii="Verdana" w:eastAsia="Times New Roman" w:hAnsi="Verdana"/>
                <w:b/>
                <w:bCs/>
                <w:noProof/>
                <w:color w:val="000000"/>
                <w:sz w:val="12"/>
                <w:szCs w:val="12"/>
              </w:rPr>
            </w:pPr>
          </w:p>
        </w:tc>
        <w:tc>
          <w:tcPr>
            <w:tcW w:w="992" w:type="dxa"/>
            <w:tcBorders>
              <w:top w:val="nil"/>
              <w:left w:val="nil"/>
              <w:bottom w:val="nil"/>
              <w:right w:val="nil"/>
            </w:tcBorders>
            <w:shd w:val="clear" w:color="000000" w:fill="D9D9D9"/>
            <w:noWrap/>
            <w:vAlign w:val="center"/>
          </w:tcPr>
          <w:p>
            <w:pPr>
              <w:spacing w:after="0" w:line="240" w:lineRule="auto"/>
              <w:jc w:val="right"/>
              <w:rPr>
                <w:rFonts w:ascii="Verdana" w:eastAsia="Times New Roman" w:hAnsi="Verdana"/>
                <w:b/>
                <w:bCs/>
                <w:iCs/>
                <w:noProof/>
                <w:color w:val="000000"/>
                <w:sz w:val="12"/>
                <w:szCs w:val="12"/>
              </w:rPr>
            </w:pPr>
            <w:r>
              <w:rPr>
                <w:rFonts w:ascii="Verdana" w:hAnsi="Verdana"/>
                <w:b/>
                <w:noProof/>
                <w:sz w:val="12"/>
              </w:rPr>
              <w:t>2,4 %</w:t>
            </w:r>
          </w:p>
        </w:tc>
        <w:tc>
          <w:tcPr>
            <w:tcW w:w="283" w:type="dxa"/>
            <w:tcBorders>
              <w:top w:val="nil"/>
              <w:left w:val="nil"/>
              <w:bottom w:val="nil"/>
              <w:right w:val="nil"/>
            </w:tcBorders>
            <w:shd w:val="clear" w:color="auto" w:fill="auto"/>
            <w:vAlign w:val="center"/>
          </w:tcPr>
          <w:p>
            <w:pPr>
              <w:spacing w:after="0" w:line="240" w:lineRule="auto"/>
              <w:jc w:val="right"/>
              <w:rPr>
                <w:rFonts w:ascii="Verdana" w:eastAsia="Times New Roman" w:hAnsi="Verdana"/>
                <w:b/>
                <w:bCs/>
                <w:noProof/>
                <w:color w:val="000000"/>
                <w:sz w:val="12"/>
                <w:szCs w:val="12"/>
              </w:rPr>
            </w:pPr>
          </w:p>
        </w:tc>
        <w:tc>
          <w:tcPr>
            <w:tcW w:w="992" w:type="dxa"/>
            <w:tcBorders>
              <w:top w:val="nil"/>
              <w:left w:val="nil"/>
              <w:bottom w:val="nil"/>
              <w:right w:val="nil"/>
            </w:tcBorders>
            <w:shd w:val="clear" w:color="000000" w:fill="D9D9D9"/>
            <w:noWrap/>
            <w:vAlign w:val="center"/>
          </w:tcPr>
          <w:p>
            <w:pPr>
              <w:spacing w:after="0" w:line="240" w:lineRule="auto"/>
              <w:jc w:val="right"/>
              <w:rPr>
                <w:rFonts w:ascii="Verdana" w:eastAsia="Times New Roman" w:hAnsi="Verdana"/>
                <w:b/>
                <w:bCs/>
                <w:iCs/>
                <w:noProof/>
                <w:color w:val="000000"/>
                <w:sz w:val="12"/>
                <w:szCs w:val="12"/>
              </w:rPr>
            </w:pPr>
            <w:r>
              <w:rPr>
                <w:rFonts w:ascii="Verdana" w:hAnsi="Verdana"/>
                <w:b/>
                <w:noProof/>
                <w:sz w:val="12"/>
              </w:rPr>
              <w:t>2,7 %</w:t>
            </w:r>
          </w:p>
        </w:tc>
      </w:tr>
    </w:tbl>
    <w:p>
      <w:pPr>
        <w:spacing w:after="0" w:line="240" w:lineRule="auto"/>
        <w:jc w:val="both"/>
        <w:rPr>
          <w:rFonts w:ascii="Verdana" w:hAnsi="Verdana"/>
          <w:noProof/>
          <w:sz w:val="18"/>
        </w:rPr>
      </w:pPr>
      <w:r>
        <w:rPr>
          <w:noProof/>
        </w:rPr>
        <w:br/>
      </w:r>
    </w:p>
    <w:p>
      <w:pPr>
        <w:spacing w:after="0" w:line="240" w:lineRule="auto"/>
        <w:rPr>
          <w:rFonts w:ascii="Verdana" w:hAnsi="Verdana"/>
          <w:noProof/>
          <w:sz w:val="18"/>
        </w:rPr>
      </w:pPr>
      <w:r>
        <w:rPr>
          <w:noProof/>
        </w:rPr>
        <w:br w:type="page"/>
      </w:r>
    </w:p>
    <w:p>
      <w:pPr>
        <w:spacing w:after="0" w:line="240" w:lineRule="auto"/>
        <w:jc w:val="both"/>
        <w:rPr>
          <w:rFonts w:ascii="Verdana" w:hAnsi="Verdana"/>
          <w:noProof/>
          <w:sz w:val="18"/>
        </w:rPr>
      </w:pPr>
      <w:r>
        <w:rPr>
          <w:rFonts w:ascii="Verdana" w:hAnsi="Verdana"/>
          <w:noProof/>
          <w:sz w:val="18"/>
        </w:rPr>
        <w:t>Le graphique ci-dessous donne une vue d’ensemble, par domaine politique, des différents types de corrections appliquées en 2015 (en Mio EUR):</w:t>
      </w:r>
    </w:p>
    <w:p>
      <w:pPr>
        <w:spacing w:before="120" w:after="0" w:line="240" w:lineRule="auto"/>
        <w:ind w:firstLine="709"/>
        <w:jc w:val="both"/>
        <w:rPr>
          <w:rFonts w:ascii="Verdana" w:hAnsi="Verdana"/>
          <w:noProof/>
          <w:sz w:val="18"/>
        </w:rPr>
      </w:pPr>
      <w:r>
        <w:rPr>
          <w:rFonts w:ascii="Verdana" w:hAnsi="Verdana"/>
          <w:noProof/>
          <w:sz w:val="18"/>
          <w:lang w:val="en-US" w:eastAsia="en-US" w:bidi="ar-SA"/>
        </w:rPr>
        <w:drawing>
          <wp:inline distT="0" distB="0" distL="0" distR="0">
            <wp:extent cx="4919980" cy="2670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19980" cy="2670175"/>
                    </a:xfrm>
                    <a:prstGeom prst="rect">
                      <a:avLst/>
                    </a:prstGeom>
                    <a:noFill/>
                  </pic:spPr>
                </pic:pic>
              </a:graphicData>
            </a:graphic>
          </wp:inline>
        </w:drawing>
      </w:r>
    </w:p>
    <w:p>
      <w:pPr>
        <w:spacing w:after="120" w:line="240" w:lineRule="auto"/>
        <w:ind w:firstLine="709"/>
        <w:jc w:val="both"/>
        <w:rPr>
          <w:rFonts w:ascii="Verdana" w:hAnsi="Verdana"/>
          <w:i/>
          <w:noProof/>
          <w:sz w:val="14"/>
        </w:rPr>
      </w:pPr>
      <w:r>
        <w:rPr>
          <w:rFonts w:ascii="Verdana" w:hAnsi="Verdana"/>
          <w:i/>
          <w:noProof/>
          <w:sz w:val="14"/>
        </w:rPr>
        <w:t>Pour les définitions de ces trois types de corrections, se reporter à la section 2.2.2.</w:t>
      </w:r>
    </w:p>
    <w:p>
      <w:pPr>
        <w:spacing w:before="360" w:after="120" w:line="240" w:lineRule="auto"/>
        <w:jc w:val="both"/>
        <w:rPr>
          <w:rFonts w:ascii="Verdana" w:hAnsi="Verdana"/>
          <w:b/>
          <w:noProof/>
          <w:sz w:val="18"/>
        </w:rPr>
      </w:pPr>
      <w:r>
        <w:rPr>
          <w:rFonts w:ascii="Verdana" w:hAnsi="Verdana"/>
          <w:b/>
          <w:noProof/>
          <w:sz w:val="18"/>
        </w:rPr>
        <w:t>Corrections financières et recouvrements: résultats cumulés</w:t>
      </w:r>
    </w:p>
    <w:p>
      <w:pPr>
        <w:spacing w:after="120" w:line="240" w:lineRule="auto"/>
        <w:jc w:val="both"/>
        <w:rPr>
          <w:rFonts w:ascii="Verdana" w:hAnsi="Verdana"/>
          <w:noProof/>
          <w:sz w:val="18"/>
        </w:rPr>
      </w:pPr>
      <w:r>
        <w:rPr>
          <w:rFonts w:ascii="Verdana" w:hAnsi="Verdana"/>
          <w:noProof/>
          <w:sz w:val="18"/>
        </w:rPr>
        <w:t>Les chiffres cumulés fournissent des informations plus utiles sur l’importance des mécanismes de correction auxquels la Commission a recours, étant donné qu’ils prennent en considération le caractère pluriannuel de la plupart des dépenses de l’UE et neutralisent l’incidence d’événements ponctuels.</w:t>
      </w:r>
    </w:p>
    <w:p>
      <w:pPr>
        <w:spacing w:after="120" w:line="240" w:lineRule="auto"/>
        <w:jc w:val="both"/>
        <w:rPr>
          <w:rFonts w:ascii="Verdana" w:hAnsi="Verdana"/>
          <w:i/>
          <w:noProof/>
          <w:sz w:val="18"/>
        </w:rPr>
      </w:pPr>
      <w:r>
        <w:rPr>
          <w:rFonts w:ascii="Verdana" w:hAnsi="Verdana"/>
          <w:i/>
          <w:noProof/>
          <w:sz w:val="18"/>
        </w:rPr>
        <w:t>Corrections financières et recouvrements confirmés 2009-2015 (en Mio EUR):</w:t>
      </w:r>
    </w:p>
    <w:p>
      <w:pPr>
        <w:spacing w:after="120" w:line="240" w:lineRule="auto"/>
        <w:jc w:val="center"/>
        <w:rPr>
          <w:rFonts w:ascii="Verdana" w:hAnsi="Verdana"/>
          <w:noProof/>
          <w:sz w:val="20"/>
        </w:rPr>
      </w:pPr>
      <w:r>
        <w:rPr>
          <w:rFonts w:ascii="Verdana" w:hAnsi="Verdana"/>
          <w:noProof/>
          <w:sz w:val="20"/>
          <w:lang w:val="en-US" w:eastAsia="en-US" w:bidi="ar-SA"/>
        </w:rPr>
        <w:drawing>
          <wp:inline distT="0" distB="0" distL="0" distR="0">
            <wp:extent cx="4870800" cy="24840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0800" cy="2484000"/>
                    </a:xfrm>
                    <a:prstGeom prst="rect">
                      <a:avLst/>
                    </a:prstGeom>
                    <a:noFill/>
                  </pic:spPr>
                </pic:pic>
              </a:graphicData>
            </a:graphic>
          </wp:inline>
        </w:drawing>
      </w:r>
    </w:p>
    <w:p>
      <w:pPr>
        <w:numPr>
          <w:ilvl w:val="0"/>
          <w:numId w:val="38"/>
        </w:numPr>
        <w:spacing w:after="60" w:line="240" w:lineRule="auto"/>
        <w:ind w:left="426" w:hanging="426"/>
        <w:jc w:val="both"/>
        <w:rPr>
          <w:rFonts w:ascii="Verdana" w:hAnsi="Verdana"/>
          <w:noProof/>
          <w:sz w:val="18"/>
        </w:rPr>
      </w:pPr>
      <w:r>
        <w:rPr>
          <w:rFonts w:ascii="Verdana" w:hAnsi="Verdana"/>
          <w:noProof/>
          <w:sz w:val="18"/>
        </w:rPr>
        <w:t xml:space="preserve">Durant la </w:t>
      </w:r>
      <w:r>
        <w:rPr>
          <w:rFonts w:ascii="Verdana" w:hAnsi="Verdana"/>
          <w:b/>
          <w:noProof/>
          <w:sz w:val="18"/>
        </w:rPr>
        <w:t>période 2009-2015</w:t>
      </w:r>
      <w:r>
        <w:rPr>
          <w:rFonts w:ascii="Verdana" w:hAnsi="Verdana"/>
          <w:noProof/>
          <w:sz w:val="18"/>
        </w:rPr>
        <w:t xml:space="preserve">, le </w:t>
      </w:r>
      <w:r>
        <w:rPr>
          <w:rFonts w:ascii="Verdana" w:hAnsi="Verdana"/>
          <w:b/>
          <w:noProof/>
          <w:sz w:val="18"/>
        </w:rPr>
        <w:t>montant moyen confirmé</w:t>
      </w:r>
      <w:r>
        <w:rPr>
          <w:rFonts w:ascii="Verdana" w:hAnsi="Verdana"/>
          <w:noProof/>
          <w:sz w:val="18"/>
        </w:rPr>
        <w:t xml:space="preserve"> a atteint 3,3 milliards d’EUR, ce qui représente </w:t>
      </w:r>
      <w:r>
        <w:rPr>
          <w:rFonts w:ascii="Verdana" w:hAnsi="Verdana"/>
          <w:b/>
          <w:noProof/>
          <w:sz w:val="18"/>
        </w:rPr>
        <w:t>2,4 % du montant moyen des paiements</w:t>
      </w:r>
      <w:r>
        <w:rPr>
          <w:rFonts w:ascii="Verdana" w:hAnsi="Verdana"/>
          <w:noProof/>
          <w:sz w:val="18"/>
        </w:rPr>
        <w:t xml:space="preserve"> effectués au titre du budget de l’UE, tandis que le </w:t>
      </w:r>
      <w:r>
        <w:rPr>
          <w:rFonts w:ascii="Verdana" w:hAnsi="Verdana"/>
          <w:b/>
          <w:noProof/>
          <w:sz w:val="18"/>
        </w:rPr>
        <w:t>montant moyen exécuté</w:t>
      </w:r>
      <w:r>
        <w:rPr>
          <w:rFonts w:ascii="Verdana" w:hAnsi="Verdana"/>
          <w:noProof/>
          <w:sz w:val="18"/>
        </w:rPr>
        <w:t xml:space="preserve"> durant cette période s’est établi à 3 milliards d’EUR, soit </w:t>
      </w:r>
      <w:r>
        <w:rPr>
          <w:rFonts w:ascii="Verdana" w:hAnsi="Verdana"/>
          <w:b/>
          <w:noProof/>
          <w:sz w:val="18"/>
        </w:rPr>
        <w:t>2,2 % des paiements</w:t>
      </w:r>
      <w:r>
        <w:rPr>
          <w:rFonts w:ascii="Verdana" w:hAnsi="Verdana"/>
          <w:noProof/>
          <w:sz w:val="18"/>
        </w:rPr>
        <w:t xml:space="preserve"> (voir le graphique 3.2.1);</w:t>
      </w:r>
    </w:p>
    <w:p>
      <w:pPr>
        <w:numPr>
          <w:ilvl w:val="0"/>
          <w:numId w:val="38"/>
        </w:numPr>
        <w:spacing w:after="60" w:line="240" w:lineRule="auto"/>
        <w:ind w:left="426" w:hanging="426"/>
        <w:jc w:val="both"/>
        <w:rPr>
          <w:rFonts w:ascii="Verdana" w:hAnsi="Verdana"/>
          <w:noProof/>
          <w:sz w:val="18"/>
        </w:rPr>
      </w:pPr>
      <w:r>
        <w:rPr>
          <w:rFonts w:ascii="Verdana" w:hAnsi="Verdana"/>
          <w:noProof/>
          <w:sz w:val="18"/>
        </w:rPr>
        <w:t xml:space="preserve">pour le </w:t>
      </w:r>
      <w:r>
        <w:rPr>
          <w:rFonts w:ascii="Verdana" w:hAnsi="Verdana"/>
          <w:b/>
          <w:noProof/>
          <w:sz w:val="18"/>
        </w:rPr>
        <w:t>Fonds européen agricole de garantie (FEAGA)</w:t>
      </w:r>
      <w:r>
        <w:rPr>
          <w:rFonts w:ascii="Verdana" w:hAnsi="Verdana"/>
          <w:noProof/>
          <w:sz w:val="18"/>
        </w:rPr>
        <w:t xml:space="preserve">, le taux de correction moyen des corrections financières de la Commission pour la </w:t>
      </w:r>
      <w:r>
        <w:rPr>
          <w:rFonts w:ascii="Verdana" w:hAnsi="Verdana"/>
          <w:b/>
          <w:noProof/>
          <w:sz w:val="18"/>
        </w:rPr>
        <w:t>période allant de 1999 à la fin de 2015</w:t>
      </w:r>
      <w:r>
        <w:rPr>
          <w:rFonts w:ascii="Verdana" w:hAnsi="Verdana"/>
          <w:noProof/>
          <w:sz w:val="18"/>
        </w:rPr>
        <w:t xml:space="preserve"> s’est élevé à </w:t>
      </w:r>
      <w:r>
        <w:rPr>
          <w:rFonts w:ascii="Verdana" w:hAnsi="Verdana"/>
          <w:b/>
          <w:noProof/>
          <w:sz w:val="18"/>
        </w:rPr>
        <w:t>1,7 % des dépenses</w:t>
      </w:r>
      <w:r>
        <w:rPr>
          <w:rFonts w:ascii="Verdana" w:hAnsi="Verdana"/>
          <w:noProof/>
          <w:sz w:val="18"/>
        </w:rPr>
        <w:t xml:space="preserve"> (corrections financières nettes) (voir la section 4.4);</w:t>
      </w:r>
    </w:p>
    <w:p>
      <w:pPr>
        <w:numPr>
          <w:ilvl w:val="0"/>
          <w:numId w:val="38"/>
        </w:numPr>
        <w:spacing w:after="120" w:line="240" w:lineRule="auto"/>
        <w:ind w:left="426" w:hanging="426"/>
        <w:jc w:val="both"/>
        <w:rPr>
          <w:rFonts w:ascii="Verdana" w:hAnsi="Verdana"/>
          <w:noProof/>
          <w:sz w:val="18"/>
        </w:rPr>
      </w:pPr>
      <w:r>
        <w:rPr>
          <w:rFonts w:ascii="Verdana" w:hAnsi="Verdana"/>
          <w:noProof/>
          <w:sz w:val="18"/>
        </w:rPr>
        <w:t xml:space="preserve">pour les financements du </w:t>
      </w:r>
      <w:r>
        <w:rPr>
          <w:rFonts w:ascii="Verdana" w:hAnsi="Verdana"/>
          <w:b/>
          <w:noProof/>
          <w:sz w:val="18"/>
        </w:rPr>
        <w:t>Fonds européen de développement régional (FEDER) et du Fonds social européen (FSE) pour 2000-2006</w:t>
      </w:r>
      <w:r>
        <w:rPr>
          <w:rFonts w:ascii="Verdana" w:hAnsi="Verdana"/>
          <w:noProof/>
          <w:sz w:val="18"/>
        </w:rPr>
        <w:t xml:space="preserve"> (dont la clôture est presque achevée), le taux combiné de corrections financières à la fin de 2015, sur la seule base de l’activité de surveillance de la Commission, s’est élevé à </w:t>
      </w:r>
      <w:r>
        <w:rPr>
          <w:rFonts w:ascii="Verdana" w:hAnsi="Verdana"/>
          <w:b/>
          <w:noProof/>
          <w:sz w:val="18"/>
        </w:rPr>
        <w:t>4,2 % des crédits alloués</w:t>
      </w:r>
      <w:r>
        <w:rPr>
          <w:rFonts w:ascii="Verdana" w:hAnsi="Verdana"/>
          <w:noProof/>
          <w:sz w:val="18"/>
        </w:rPr>
        <w:t xml:space="preserve"> (voir la section 5.4.1);</w:t>
      </w:r>
    </w:p>
    <w:p>
      <w:pPr>
        <w:numPr>
          <w:ilvl w:val="0"/>
          <w:numId w:val="38"/>
        </w:numPr>
        <w:spacing w:after="120" w:line="240" w:lineRule="auto"/>
        <w:ind w:left="426" w:hanging="426"/>
        <w:jc w:val="both"/>
        <w:rPr>
          <w:rFonts w:ascii="Verdana" w:hAnsi="Verdana"/>
          <w:noProof/>
          <w:sz w:val="18"/>
        </w:rPr>
      </w:pPr>
      <w:r>
        <w:rPr>
          <w:rFonts w:ascii="Verdana" w:hAnsi="Verdana"/>
          <w:noProof/>
          <w:sz w:val="18"/>
        </w:rPr>
        <w:t xml:space="preserve">le montant moyen confirmé en gestion directe et indirecte pour la </w:t>
      </w:r>
      <w:r>
        <w:rPr>
          <w:rFonts w:ascii="Verdana" w:hAnsi="Verdana"/>
          <w:b/>
          <w:noProof/>
          <w:sz w:val="18"/>
        </w:rPr>
        <w:t>période 2009-2015</w:t>
      </w:r>
      <w:r>
        <w:rPr>
          <w:rFonts w:ascii="Verdana" w:hAnsi="Verdana"/>
          <w:noProof/>
          <w:sz w:val="18"/>
        </w:rPr>
        <w:t xml:space="preserve"> s’est établi à 380 millions d’EUR, soit </w:t>
      </w:r>
      <w:r>
        <w:rPr>
          <w:rFonts w:ascii="Verdana" w:hAnsi="Verdana"/>
          <w:b/>
          <w:noProof/>
          <w:sz w:val="18"/>
        </w:rPr>
        <w:t>1,2 % du montant moyen des paiements</w:t>
      </w:r>
      <w:r>
        <w:rPr>
          <w:rFonts w:ascii="Verdana" w:hAnsi="Verdana"/>
          <w:noProof/>
          <w:sz w:val="18"/>
        </w:rPr>
        <w:t>;</w:t>
      </w:r>
    </w:p>
    <w:p>
      <w:pPr>
        <w:numPr>
          <w:ilvl w:val="0"/>
          <w:numId w:val="38"/>
        </w:numPr>
        <w:spacing w:after="120" w:line="240" w:lineRule="auto"/>
        <w:ind w:left="426" w:hanging="426"/>
        <w:jc w:val="both"/>
        <w:rPr>
          <w:rFonts w:ascii="Verdana" w:hAnsi="Verdana"/>
          <w:noProof/>
          <w:sz w:val="18"/>
        </w:rPr>
      </w:pPr>
      <w:r>
        <w:rPr>
          <w:rFonts w:ascii="Verdana" w:hAnsi="Verdana"/>
          <w:noProof/>
          <w:sz w:val="18"/>
        </w:rPr>
        <w:t>la Commission analyse l’origine des erreurs détectées lors des périodes précédentes (voir le rapport relatif aux domaines présentant des niveaux d’erreur constamment élevés et aux causes sous-jacentes de ceux-ci).</w:t>
      </w:r>
    </w:p>
    <w:p>
      <w:pPr>
        <w:pStyle w:val="PSParagraphText"/>
        <w:keepLines/>
        <w:pBdr>
          <w:top w:val="single" w:sz="4" w:space="1" w:color="auto"/>
          <w:left w:val="single" w:sz="4" w:space="4" w:color="auto"/>
          <w:bottom w:val="single" w:sz="4" w:space="1" w:color="auto"/>
          <w:right w:val="single" w:sz="4" w:space="4" w:color="auto"/>
        </w:pBdr>
        <w:shd w:val="clear" w:color="auto" w:fill="312C6B"/>
        <w:spacing w:line="276" w:lineRule="auto"/>
        <w:rPr>
          <w:b/>
          <w:noProof/>
          <w:sz w:val="24"/>
        </w:rPr>
      </w:pPr>
      <w:r>
        <w:rPr>
          <w:b/>
          <w:noProof/>
          <w:sz w:val="24"/>
        </w:rPr>
        <w:t>Protection du budget de l’UE: principales conclusions</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noProof/>
          <w:sz w:val="18"/>
        </w:rPr>
        <w:t xml:space="preserve">Un objectif important de la </w:t>
      </w:r>
      <w:r>
        <w:rPr>
          <w:rFonts w:ascii="Verdana" w:hAnsi="Verdana"/>
          <w:b/>
          <w:noProof/>
          <w:sz w:val="18"/>
        </w:rPr>
        <w:t>stratégie</w:t>
      </w:r>
      <w:r>
        <w:rPr>
          <w:rFonts w:ascii="Verdana" w:hAnsi="Verdana"/>
          <w:noProof/>
          <w:sz w:val="18"/>
        </w:rPr>
        <w:t xml:space="preserve"> de la Commission en faveur d'un «</w:t>
      </w:r>
      <w:r>
        <w:rPr>
          <w:rFonts w:ascii="Verdana" w:hAnsi="Verdana"/>
          <w:b/>
          <w:noProof/>
          <w:sz w:val="18"/>
        </w:rPr>
        <w:t>budget axé sur les résultats</w:t>
      </w:r>
      <w:r>
        <w:rPr>
          <w:rFonts w:ascii="Verdana" w:hAnsi="Verdana"/>
          <w:noProof/>
          <w:sz w:val="18"/>
        </w:rPr>
        <w:t>» consiste à garantir l’efficacité au regard des coûts lors de l’élaboration et de la mise en œuvre des systèmes de gestion et de contrôle qui préviennent ou détectent et corrigent les erreurs. Dès lors, les stratégies de contrôle devraient prévoir un niveau d'examen et une fréquence plus élevés dans les domaines davantage exposés au risque et garantir un bon rapport coût/efficacité.</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noProof/>
          <w:sz w:val="18"/>
        </w:rPr>
        <w:t xml:space="preserve">La Commission privilégie de plus en plus les mesures visant à </w:t>
      </w:r>
      <w:r>
        <w:rPr>
          <w:rFonts w:ascii="Verdana" w:hAnsi="Verdana"/>
          <w:b/>
          <w:noProof/>
          <w:sz w:val="18"/>
        </w:rPr>
        <w:t>prévenir les dépenses irrégulières</w:t>
      </w:r>
      <w:r>
        <w:rPr>
          <w:rFonts w:ascii="Verdana" w:hAnsi="Verdana"/>
          <w:noProof/>
          <w:sz w:val="18"/>
        </w:rPr>
        <w:t xml:space="preserve"> et contribuant à </w:t>
      </w:r>
      <w:r>
        <w:rPr>
          <w:rFonts w:ascii="Verdana" w:hAnsi="Verdana"/>
          <w:b/>
          <w:noProof/>
          <w:sz w:val="18"/>
        </w:rPr>
        <w:t>éviter que de telles irrégularités ne se reproduisent</w:t>
      </w:r>
      <w:r>
        <w:rPr>
          <w:rFonts w:ascii="Verdana" w:hAnsi="Verdana"/>
          <w:noProof/>
          <w:sz w:val="18"/>
        </w:rPr>
        <w:t xml:space="preserve"> dans l’avenir.</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noProof/>
          <w:sz w:val="18"/>
        </w:rPr>
        <w:t xml:space="preserve">Les </w:t>
      </w:r>
      <w:r>
        <w:rPr>
          <w:rFonts w:ascii="Verdana" w:hAnsi="Verdana"/>
          <w:b/>
          <w:noProof/>
          <w:sz w:val="18"/>
        </w:rPr>
        <w:t>chiffres figurant ci-dessus confirment les résultats positifs</w:t>
      </w:r>
      <w:r>
        <w:rPr>
          <w:rFonts w:ascii="Verdana" w:hAnsi="Verdana"/>
          <w:noProof/>
          <w:sz w:val="18"/>
        </w:rPr>
        <w:t xml:space="preserve"> des activités de prévention et de correction pluriannuelles menées par la Commission et les États membres, en démontrant que ces activités </w:t>
      </w:r>
      <w:r>
        <w:rPr>
          <w:rFonts w:ascii="Verdana" w:hAnsi="Verdana"/>
          <w:b/>
          <w:noProof/>
          <w:sz w:val="18"/>
        </w:rPr>
        <w:t>garantissent que le budget de l’UE est protégé contre les dépenses effectuées en violation du droit</w:t>
      </w:r>
      <w:r>
        <w:rPr>
          <w:rFonts w:ascii="Verdana" w:hAnsi="Verdana"/>
          <w:noProof/>
          <w:sz w:val="18"/>
        </w:rPr>
        <w:t>.</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noProof/>
          <w:sz w:val="18"/>
        </w:rPr>
        <w:t xml:space="preserve">Les corrections financières et les recouvrements visent également à </w:t>
      </w:r>
      <w:r>
        <w:rPr>
          <w:rFonts w:ascii="Verdana" w:hAnsi="Verdana"/>
          <w:b/>
          <w:noProof/>
          <w:sz w:val="18"/>
        </w:rPr>
        <w:t>inciter les États membres</w:t>
      </w:r>
      <w:r>
        <w:rPr>
          <w:rFonts w:ascii="Verdana" w:hAnsi="Verdana"/>
          <w:noProof/>
          <w:sz w:val="18"/>
        </w:rPr>
        <w:t xml:space="preserve"> à améliorer leurs systèmes et processus afin d'éviter que des erreurs ne surviennent dans l’avenir.</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noProof/>
          <w:sz w:val="18"/>
        </w:rPr>
        <w:t xml:space="preserve">Les corrections décidées en cours d’exercice découlent des erreurs et irrégularités détectées au cours des exercices précédents. </w:t>
      </w:r>
      <w:r>
        <w:rPr>
          <w:rFonts w:ascii="Verdana" w:hAnsi="Verdana"/>
          <w:b/>
          <w:noProof/>
          <w:sz w:val="18"/>
        </w:rPr>
        <w:t>90 % des corrections financières</w:t>
      </w:r>
      <w:r>
        <w:rPr>
          <w:rFonts w:ascii="Verdana" w:hAnsi="Verdana"/>
          <w:noProof/>
          <w:sz w:val="18"/>
        </w:rPr>
        <w:t xml:space="preserve"> décidées ont été </w:t>
      </w:r>
      <w:r>
        <w:rPr>
          <w:rFonts w:ascii="Verdana" w:hAnsi="Verdana"/>
          <w:b/>
          <w:noProof/>
          <w:sz w:val="18"/>
        </w:rPr>
        <w:t>mises en œuvre avant la fin de l’année 2015</w:t>
      </w:r>
      <w:r>
        <w:rPr>
          <w:rFonts w:ascii="Verdana" w:hAnsi="Verdana"/>
          <w:noProof/>
          <w:sz w:val="18"/>
        </w:rPr>
        <w:t>.</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b/>
          <w:noProof/>
          <w:sz w:val="18"/>
        </w:rPr>
        <w:t>Les corrections nettes, aboutissant à un remboursement au budget de l’UE</w:t>
      </w:r>
      <w:r>
        <w:rPr>
          <w:rFonts w:ascii="Verdana" w:hAnsi="Verdana"/>
          <w:noProof/>
          <w:sz w:val="18"/>
        </w:rPr>
        <w:t xml:space="preserve">, sont </w:t>
      </w:r>
      <w:r>
        <w:rPr>
          <w:rFonts w:ascii="Verdana" w:hAnsi="Verdana"/>
          <w:b/>
          <w:noProof/>
          <w:sz w:val="18"/>
        </w:rPr>
        <w:t>caractéristiques du domaine de l’agriculture et du développement rural</w:t>
      </w:r>
      <w:r>
        <w:rPr>
          <w:rFonts w:ascii="Verdana" w:hAnsi="Verdana"/>
          <w:noProof/>
          <w:sz w:val="18"/>
        </w:rPr>
        <w:t xml:space="preserve"> ainsi que de la </w:t>
      </w:r>
      <w:r>
        <w:rPr>
          <w:rFonts w:ascii="Verdana" w:hAnsi="Verdana"/>
          <w:b/>
          <w:noProof/>
          <w:sz w:val="18"/>
        </w:rPr>
        <w:t>gestion directe et indirecte</w:t>
      </w:r>
      <w:r>
        <w:rPr>
          <w:rFonts w:ascii="Verdana" w:hAnsi="Verdana"/>
          <w:noProof/>
          <w:sz w:val="18"/>
        </w:rPr>
        <w:t xml:space="preserve">. Pour la </w:t>
      </w:r>
      <w:r>
        <w:rPr>
          <w:rFonts w:ascii="Verdana" w:hAnsi="Verdana"/>
          <w:b/>
          <w:noProof/>
          <w:sz w:val="18"/>
        </w:rPr>
        <w:t>politique de cohésion, les corrections nettes font jusqu’à présent figure d’exception</w:t>
      </w:r>
      <w:r>
        <w:rPr>
          <w:rFonts w:ascii="Verdana" w:hAnsi="Verdana"/>
          <w:noProof/>
          <w:sz w:val="18"/>
        </w:rPr>
        <w:t>, une situation qui s'explique par des différences sur le plan du cadre juridique et du type de gestion budgétaire (mécanisme préventif renforcé).</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noProof/>
          <w:sz w:val="18"/>
        </w:rPr>
        <w:t xml:space="preserve">Des </w:t>
      </w:r>
      <w:r>
        <w:rPr>
          <w:rFonts w:ascii="Verdana" w:hAnsi="Verdana"/>
          <w:b/>
          <w:noProof/>
          <w:sz w:val="18"/>
        </w:rPr>
        <w:t>corrections forfaitaires</w:t>
      </w:r>
      <w:r>
        <w:rPr>
          <w:rFonts w:ascii="Verdana" w:hAnsi="Verdana"/>
          <w:noProof/>
          <w:sz w:val="18"/>
        </w:rPr>
        <w:t xml:space="preserve"> sont appliquées lorsque l’incidence financière des erreurs ne peut pas être plus précisément quantifiée en déployant des efforts proportionnés.</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cs="Calibri"/>
          <w:noProof/>
          <w:sz w:val="18"/>
        </w:rPr>
      </w:pPr>
      <w:r>
        <w:rPr>
          <w:rFonts w:ascii="Verdana" w:hAnsi="Verdana"/>
          <w:noProof/>
          <w:sz w:val="18"/>
        </w:rPr>
        <w:t xml:space="preserve">Des cadres de contrôle spécifiques sont mis en place pour les dépenses </w:t>
      </w:r>
      <w:r>
        <w:rPr>
          <w:rFonts w:ascii="Verdana" w:hAnsi="Verdana"/>
          <w:b/>
          <w:noProof/>
          <w:sz w:val="18"/>
        </w:rPr>
        <w:t>en gestion directe et indirecte</w:t>
      </w:r>
      <w:r>
        <w:rPr>
          <w:rFonts w:ascii="Verdana" w:hAnsi="Verdana"/>
          <w:noProof/>
          <w:sz w:val="18"/>
        </w:rPr>
        <w:t>, ciblant essentiellement la procédure de gestion des subventions, parce que cela répond aux risques existants.</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cs="Calibri"/>
          <w:noProof/>
          <w:sz w:val="18"/>
        </w:rPr>
      </w:pPr>
      <w:r>
        <w:rPr>
          <w:rFonts w:ascii="Verdana" w:hAnsi="Verdana"/>
          <w:noProof/>
          <w:sz w:val="18"/>
        </w:rPr>
        <w:t xml:space="preserve">La Commission apporte son concours et participe au </w:t>
      </w:r>
      <w:r>
        <w:rPr>
          <w:rFonts w:ascii="Verdana" w:hAnsi="Verdana"/>
          <w:b/>
          <w:noProof/>
          <w:sz w:val="18"/>
        </w:rPr>
        <w:t>réseau du contrôle interne public (PIC)</w:t>
      </w:r>
      <w:r>
        <w:rPr>
          <w:rFonts w:ascii="Verdana" w:hAnsi="Verdana"/>
          <w:noProof/>
          <w:sz w:val="18"/>
        </w:rPr>
        <w:t>, qui permet aux États membres de travailler ensemble à l'amélioration du contrôle interne, y compris la gestion des fonds de l’UE, et de recenser les bonnes pratiques, en particulier lorsque la mise en œuvre effective se révèle difficile (voir le rapport relatif aux domaines présentant des niveaux d’erreur constamment élevés et aux causes sous-jacentes de ceux-ci).</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p>
    <w:p>
      <w:pPr>
        <w:pStyle w:val="PSParagraphText"/>
        <w:keepLines/>
        <w:pBdr>
          <w:top w:val="single" w:sz="4" w:space="1" w:color="auto"/>
          <w:left w:val="single" w:sz="4" w:space="4" w:color="auto"/>
          <w:bottom w:val="single" w:sz="4" w:space="1" w:color="auto"/>
          <w:right w:val="single" w:sz="4" w:space="4" w:color="auto"/>
        </w:pBdr>
        <w:shd w:val="clear" w:color="auto" w:fill="F7D3BD"/>
        <w:spacing w:line="276" w:lineRule="auto"/>
        <w:rPr>
          <w:rFonts w:ascii="Verdana" w:hAnsi="Verdana"/>
          <w:b/>
          <w:noProof/>
          <w:sz w:val="18"/>
        </w:rPr>
      </w:pPr>
      <w:r>
        <w:rPr>
          <w:rFonts w:ascii="Verdana" w:hAnsi="Verdana"/>
          <w:b/>
          <w:noProof/>
          <w:sz w:val="18"/>
        </w:rPr>
        <w:t>Améliorations prévues au titre du cadre financier pluriannuel (CFP) 2014-2020</w:t>
      </w:r>
    </w:p>
    <w:p>
      <w:pPr>
        <w:pStyle w:val="PSParagraphText"/>
        <w:keepLines/>
        <w:pBdr>
          <w:top w:val="single" w:sz="4" w:space="1" w:color="auto"/>
          <w:left w:val="single" w:sz="4" w:space="4" w:color="auto"/>
          <w:bottom w:val="single" w:sz="4" w:space="1" w:color="auto"/>
          <w:right w:val="single" w:sz="4" w:space="4" w:color="auto"/>
        </w:pBdr>
        <w:shd w:val="clear" w:color="auto" w:fill="F7D3BD"/>
        <w:spacing w:line="276" w:lineRule="auto"/>
        <w:rPr>
          <w:rFonts w:ascii="Verdana" w:hAnsi="Verdana"/>
          <w:noProof/>
          <w:sz w:val="18"/>
          <w:u w:val="single"/>
        </w:rPr>
      </w:pPr>
      <w:r>
        <w:rPr>
          <w:rFonts w:ascii="Verdana" w:hAnsi="Verdana"/>
          <w:noProof/>
          <w:sz w:val="18"/>
          <w:u w:val="single"/>
        </w:rPr>
        <w:t>Agriculture et développement rural</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noProof/>
          <w:sz w:val="18"/>
        </w:rPr>
        <w:t>La Commission a commencé à appliquer plusieurs nouveaux instruments de prévention, tels que l’interruption, la suspension et la réduction du financement de l’UE, en vue de mieux protéger le budget de l’Union et d'inciter davantage les États membres à diminuer le nombre de paiements irréguliers. Dans ce contexte, la mise en œuvre de plans d’action par les États membres est devenue une composante essentielle de la panoplie d’instruments dont dispose la Commission pour la gestion du budget. En outre, soucieuse de renforcer l'approche du contrôle unique également dans la gestion de la PAC, la Commission promeut et supervise activement le nouveau rôle des organismes de certification consistant à garantir la légalité et la régularité des paiements.</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noProof/>
          <w:sz w:val="18"/>
        </w:rPr>
        <w:t>En ce qui concerne le FEAGA, la Commission invite constamment les États membres à entretenir leur système d’identification des parcelles agricoles (SIPA), en veillant notamment à le mettre régulièrement à jour. Les États membres dans lesquels ce système ne présente pas le niveau de qualité requis sont tenus d'adopter des plans d’action appropriés et s'exposent à une suspension des financements si leur plan d’action n'est pas correctement appliqué.</w:t>
      </w:r>
    </w:p>
    <w:p>
      <w:pPr>
        <w:pStyle w:val="PSParagraphText"/>
        <w:keepLines/>
        <w:pBdr>
          <w:top w:val="single" w:sz="4" w:space="1" w:color="auto"/>
          <w:left w:val="single" w:sz="4" w:space="4" w:color="auto"/>
          <w:bottom w:val="single" w:sz="4" w:space="1" w:color="auto"/>
          <w:right w:val="single" w:sz="4" w:space="4" w:color="auto"/>
        </w:pBdr>
        <w:shd w:val="clear" w:color="auto" w:fill="F7D3BD"/>
        <w:spacing w:before="240"/>
        <w:rPr>
          <w:rFonts w:ascii="Verdana" w:hAnsi="Verdana"/>
          <w:noProof/>
          <w:sz w:val="18"/>
        </w:rPr>
      </w:pPr>
      <w:r>
        <w:rPr>
          <w:rFonts w:ascii="Verdana" w:hAnsi="Verdana"/>
          <w:noProof/>
          <w:sz w:val="18"/>
        </w:rPr>
        <w:t>Dans le cas du Fonds européen agricole pour le développement rural (Feader), la phase de programmation s'est assortie de contrôles spécifiques sur le caractère contrôlable et vérifiable des mesures programmées. Qui plus est, en cas de problème, la Commission interrompt les paiements et a aussi recours à des suspensions. Plus généralement, la Commission a lancé un processus de simplification ambitieux, destiné à réduire la complexité et les charges administratives, qui contribuera aussi à atténuer davantage les risques d’erreur.</w:t>
      </w:r>
    </w:p>
    <w:p>
      <w:pPr>
        <w:pStyle w:val="PSParagraphText"/>
        <w:keepLines/>
        <w:pBdr>
          <w:top w:val="single" w:sz="4" w:space="1" w:color="auto"/>
          <w:left w:val="single" w:sz="4" w:space="4" w:color="auto"/>
          <w:bottom w:val="single" w:sz="4" w:space="1" w:color="auto"/>
          <w:right w:val="single" w:sz="4" w:space="4" w:color="auto"/>
        </w:pBdr>
        <w:shd w:val="clear" w:color="auto" w:fill="F7D3BD"/>
        <w:spacing w:before="240" w:line="276" w:lineRule="auto"/>
        <w:rPr>
          <w:rFonts w:ascii="Verdana" w:hAnsi="Verdana"/>
          <w:noProof/>
          <w:sz w:val="18"/>
          <w:u w:val="single"/>
        </w:rPr>
      </w:pPr>
      <w:r>
        <w:rPr>
          <w:rFonts w:ascii="Verdana" w:hAnsi="Verdana"/>
          <w:noProof/>
          <w:sz w:val="18"/>
          <w:u w:val="single"/>
        </w:rPr>
        <w:t>Cohésion</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noProof/>
          <w:sz w:val="18"/>
        </w:rPr>
        <w:t>Le nouveau cadre juridique prévoit une obligation renforcée de rendre compte pour les autorités de gestion des programmes, qui doivent appliquer des vérifications appropriées, en temps utile pour la communication annuelle des comptes des programmes. Les comptes annuels comprennent les corrections financières appliquées par l'État membre pour l’exercice comptable concerné. Les comptes et les corrections financières donnent lieu à la formulation d'un avis d’audit par l’autorité d’audit du programme, laquelle rend également un avis sur la légalité et la régularité des dépenses sur la base du niveau de risque résiduel déterminé après application de toutes les corrections.</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noProof/>
          <w:sz w:val="18"/>
        </w:rPr>
        <w:t>Au cours de l’exercice comptable, la Commission conserve 10 % de chaque paiement intermédiaire jusqu'au terme de toutes les procédures de contrôle, y compris les audits effectués au moment de la communication des comptes, applique des procédures d’approbation des comptes, paie ou récupère ensuite le solde annuel et procède à des audits ciblés, fondés sur les risques, afin de s’assurer que l'État membre n'a omis de détecter ou de corriger aucune déficience grave aboutissant à un niveau significatif de risque par rapport aux dépenses remboursées. Dans le cas contraire, la Commission doit appliquer des corrections financières nettes.</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6"/>
        </w:rPr>
      </w:pPr>
      <w:r>
        <w:rPr>
          <w:rFonts w:ascii="Verdana" w:hAnsi="Verdana"/>
          <w:noProof/>
          <w:sz w:val="18"/>
        </w:rPr>
        <w:t>En outre, la Commission continuera à appliquer rigoureusement les mécanismes d’interruption et de suspension entraînant, s'il y a lieu, des corrections financières, lorsque des éléments indiquent des insuffisances graves des systèmes de gestion et de contrôle. Elle poursuivra également ses actions de formation à la prévention auprès des autorités chargées des programmes afin d'améliorer la qualité des dépenses et à coopérer étroitement avec les autorités d’audit suivant le principe de l’audit unique, afin que les risques puissent être pris en charge rapidement et efficacement.</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u w:val="single"/>
        </w:rPr>
      </w:pPr>
      <w:r>
        <w:rPr>
          <w:rFonts w:ascii="Verdana" w:hAnsi="Verdana"/>
          <w:noProof/>
          <w:sz w:val="18"/>
          <w:u w:val="single"/>
        </w:rPr>
        <w:t>Gestion directe et indirecte</w:t>
      </w:r>
    </w:p>
    <w:p>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noProof/>
          <w:sz w:val="18"/>
        </w:rPr>
        <w:t>La Commission a mis en place un cadre de contrôle en gestion directe et indirecte qui consiste, pour l'essentiel, en des contrôles ex ante des paiements, des contrôles ex post approfondis effectués dans les locaux des bénéficiaires, après que les coûts ont été exposés et déclarés, et des missions de vérification auprès d’organisations internationales.</w:t>
      </w:r>
    </w:p>
    <w:p>
      <w:pPr>
        <w:jc w:val="right"/>
        <w:rPr>
          <w:noProof/>
        </w:rPr>
      </w:pPr>
    </w:p>
    <w:p>
      <w:pPr>
        <w:pStyle w:val="Text2"/>
        <w:ind w:left="426"/>
        <w:rPr>
          <w:rFonts w:ascii="Verdana" w:hAnsi="Verdana"/>
          <w:noProof/>
          <w:sz w:val="20"/>
        </w:rPr>
      </w:pPr>
    </w:p>
    <w:p>
      <w:pPr>
        <w:pStyle w:val="ManualHeading1"/>
        <w:rPr>
          <w:noProof/>
          <w:szCs w:val="22"/>
        </w:rPr>
      </w:pPr>
      <w:r>
        <w:rPr>
          <w:noProof/>
        </w:rPr>
        <w:br w:type="page"/>
      </w:r>
      <w:bookmarkStart w:id="6" w:name="_Toc456258155"/>
      <w:bookmarkStart w:id="7" w:name="_Toc461437480"/>
      <w:r>
        <w:t>2.</w:t>
      </w:r>
      <w:r>
        <w:tab/>
      </w:r>
      <w:r>
        <w:rPr>
          <w:noProof/>
        </w:rPr>
        <w:t>PROCESSUS</w:t>
      </w:r>
      <w:bookmarkEnd w:id="6"/>
      <w:bookmarkEnd w:id="7"/>
    </w:p>
    <w:p>
      <w:pPr>
        <w:pStyle w:val="ManualHeading2"/>
        <w:rPr>
          <w:noProof/>
          <w:szCs w:val="22"/>
        </w:rPr>
      </w:pPr>
      <w:bookmarkStart w:id="8" w:name="_Toc456258156"/>
      <w:bookmarkStart w:id="9" w:name="_Toc461437481"/>
      <w:r>
        <w:t>2.1.</w:t>
      </w:r>
      <w:r>
        <w:tab/>
      </w:r>
      <w:r>
        <w:rPr>
          <w:noProof/>
        </w:rPr>
        <w:t>Mécanismes préventifs</w:t>
      </w:r>
      <w:bookmarkEnd w:id="8"/>
      <w:bookmarkEnd w:id="9"/>
    </w:p>
    <w:p>
      <w:pPr>
        <w:pStyle w:val="Textstand-alone"/>
        <w:spacing w:after="120"/>
        <w:rPr>
          <w:szCs w:val="20"/>
        </w:rPr>
      </w:pPr>
      <w:r>
        <w:t>La Commission emploie un certain nombre de mécanismes préventifs afin de protéger le budget de l’UE. Elle se concentre de plus en plus sur des mesures visant à prévenir les dépenses irrégulières et contribuant à éviter que de telles irrégularités ne se reproduisent dans l’avenir.</w:t>
      </w:r>
    </w:p>
    <w:p>
      <w:pPr>
        <w:pStyle w:val="Textstand-alone"/>
        <w:spacing w:before="120" w:after="120"/>
        <w:rPr>
          <w:szCs w:val="20"/>
        </w:rPr>
      </w:pPr>
      <w:r>
        <w:t xml:space="preserve">En </w:t>
      </w:r>
      <w:r>
        <w:rPr>
          <w:b/>
        </w:rPr>
        <w:t>mode de gestion partagée</w:t>
      </w:r>
      <w:r>
        <w:t xml:space="preserve"> (c’est-à-dire pour les dépenses relevant des politiques agricole et de cohésion), les États membres sont principalement chargés, tout au long du cycle de vie des dépenses, de garantir la légalité et la régularité des dépenses effectuées au titre du budget de l’UE. Sur la base des résultats des audits effectués au niveau de l’UE, la Commission assure un suivi attentif et régulier des résultats des audits nationaux reçus au fil des ans, des conclusions des enquêtes de l’OLAF et de toute autre information portée à la connaissance de ses services qui indique une insuffisance du système ou des irrégularités graves non corrigées. Les éléments clés indicateurs du bon fonctionnement du système de contrôle et de suivi sont continuellement réévalués pour empêcher les paiements irréguliers.</w:t>
      </w:r>
    </w:p>
    <w:p>
      <w:pPr>
        <w:spacing w:after="240" w:line="240" w:lineRule="auto"/>
        <w:jc w:val="both"/>
        <w:rPr>
          <w:rFonts w:ascii="Verdana" w:hAnsi="Verdana"/>
          <w:noProof/>
          <w:sz w:val="18"/>
        </w:rPr>
      </w:pPr>
      <w:r>
        <w:rPr>
          <w:rFonts w:ascii="Verdana" w:hAnsi="Verdana"/>
          <w:noProof/>
          <w:sz w:val="18"/>
        </w:rPr>
        <w:t xml:space="preserve">En </w:t>
      </w:r>
      <w:r>
        <w:rPr>
          <w:rFonts w:ascii="Verdana" w:hAnsi="Verdana"/>
          <w:b/>
          <w:noProof/>
          <w:sz w:val="18"/>
        </w:rPr>
        <w:t>gestion directe et indirecte</w:t>
      </w:r>
      <w:r>
        <w:rPr>
          <w:rFonts w:ascii="Verdana" w:hAnsi="Verdana"/>
          <w:noProof/>
          <w:sz w:val="18"/>
        </w:rPr>
        <w:t>, les mesures préventives prévoient notamment que les services compétents vérifient l'éligibilité des dépenses dont le remboursement est demandé par les bénéficiaires. Ces contrôles ex ante sont intégrés aux procédures de gestion des programmes et sont destinés à donner une assurance raisonnable quant à la légalité et à la régularité des dépenses à payer. Les services de la Commission peuvent également fournir des orientations, notamment sur les questions contractuelles, dans un souci de gestion saine et efficace du financement, et réduire ainsi le risque d’irrégularités.</w:t>
      </w:r>
      <w:bookmarkStart w:id="10" w:name="_Toc406161305"/>
      <w:bookmarkStart w:id="11" w:name="_Toc406163430"/>
      <w:bookmarkStart w:id="12" w:name="_Toc409007343"/>
      <w:bookmarkStart w:id="13" w:name="_Toc424121110"/>
      <w:bookmarkStart w:id="14" w:name="_Toc425855825"/>
      <w:bookmarkStart w:id="15" w:name="_Toc423524323"/>
      <w:r>
        <w:rPr>
          <w:rFonts w:ascii="Verdana" w:hAnsi="Verdana"/>
          <w:noProof/>
          <w:sz w:val="18"/>
        </w:rPr>
        <w:t xml:space="preserve"> Le système de détection rapide et d’exclusion (EDES) des opérateurs économiques, mis en place et géré par la Commission, assure également la protection des intérêts financiers de l’UE.</w:t>
      </w:r>
    </w:p>
    <w:p>
      <w:pPr>
        <w:pStyle w:val="ManualHeading2"/>
        <w:rPr>
          <w:noProof/>
          <w:szCs w:val="22"/>
        </w:rPr>
      </w:pPr>
      <w:bookmarkStart w:id="16" w:name="_Toc456258157"/>
      <w:bookmarkStart w:id="17" w:name="_Toc461437482"/>
      <w:bookmarkEnd w:id="10"/>
      <w:bookmarkEnd w:id="11"/>
      <w:bookmarkEnd w:id="12"/>
      <w:bookmarkEnd w:id="13"/>
      <w:bookmarkEnd w:id="14"/>
      <w:bookmarkEnd w:id="15"/>
      <w:r>
        <w:t>2.2.</w:t>
      </w:r>
      <w:r>
        <w:tab/>
      </w:r>
      <w:r>
        <w:rPr>
          <w:noProof/>
        </w:rPr>
        <w:t>Mécanismes de correction</w:t>
      </w:r>
      <w:bookmarkEnd w:id="16"/>
      <w:bookmarkEnd w:id="17"/>
    </w:p>
    <w:p>
      <w:pPr>
        <w:spacing w:after="120" w:line="240" w:lineRule="auto"/>
        <w:rPr>
          <w:rFonts w:ascii="Verdana" w:hAnsi="Verdana"/>
          <w:noProof/>
          <w:sz w:val="20"/>
          <w:szCs w:val="20"/>
        </w:rPr>
      </w:pPr>
      <w:r>
        <w:rPr>
          <w:rFonts w:ascii="Verdana" w:hAnsi="Verdana"/>
          <w:i/>
          <w:noProof/>
          <w:sz w:val="20"/>
        </w:rPr>
        <w:t>2.2.1</w:t>
      </w:r>
      <w:r>
        <w:rPr>
          <w:noProof/>
        </w:rPr>
        <w:tab/>
      </w:r>
      <w:r>
        <w:rPr>
          <w:rFonts w:ascii="Verdana" w:hAnsi="Verdana"/>
          <w:i/>
          <w:noProof/>
          <w:sz w:val="20"/>
        </w:rPr>
        <w:t>Vue d'ensemble</w:t>
      </w:r>
    </w:p>
    <w:p>
      <w:pPr>
        <w:spacing w:line="240" w:lineRule="auto"/>
        <w:jc w:val="both"/>
        <w:rPr>
          <w:rFonts w:ascii="Verdana" w:hAnsi="Verdana"/>
          <w:noProof/>
          <w:sz w:val="18"/>
          <w:szCs w:val="20"/>
        </w:rPr>
      </w:pPr>
      <w:r>
        <w:rPr>
          <w:rFonts w:ascii="Verdana" w:hAnsi="Verdana"/>
          <w:noProof/>
          <w:sz w:val="18"/>
        </w:rPr>
        <w:t>Une part considérable des dépenses de l’UE, notamment dans les domaines de la politique de cohésion, de la recherche et du développement rural, revêt un caractère pluriannuel. Conformément à l’article 32, paragraphe 2, point e), du règlement financier</w:t>
      </w:r>
      <w:r>
        <w:rPr>
          <w:rStyle w:val="FootnoteReference"/>
          <w:rFonts w:ascii="Verdana" w:hAnsi="Verdana"/>
          <w:noProof/>
          <w:sz w:val="18"/>
        </w:rPr>
        <w:footnoteReference w:id="1"/>
      </w:r>
      <w:r>
        <w:rPr>
          <w:rFonts w:ascii="Verdana" w:hAnsi="Verdana"/>
          <w:noProof/>
          <w:sz w:val="18"/>
        </w:rPr>
        <w:t>, ce caractère pluriannuel est pris en considération lors de la conception et de la mise en œuvre des mesures de correction ainsi que lors de l’évaluation des résultats de ces mesures. Il existe deux types de mesures de correction, à savoir: a) les corrections financières et b) les recouvrements, tous deux effectués à toutes les étapes du cycle de vie d’un programme, dès lors que des dépenses ont été exposées et/ou qu’un paiement a eu lieu. La Commission est tenue d’appliquer les mécanismes de correction en dernier recours, lorsque les mécanismes de prévention ont échoué.</w:t>
      </w:r>
    </w:p>
    <w:p>
      <w:pPr>
        <w:spacing w:after="120" w:line="240" w:lineRule="auto"/>
        <w:rPr>
          <w:rFonts w:ascii="Verdana" w:hAnsi="Verdana"/>
          <w:i/>
          <w:noProof/>
          <w:sz w:val="20"/>
          <w:szCs w:val="20"/>
        </w:rPr>
      </w:pPr>
      <w:r>
        <w:rPr>
          <w:rFonts w:ascii="Verdana" w:hAnsi="Verdana"/>
          <w:i/>
          <w:noProof/>
          <w:sz w:val="20"/>
        </w:rPr>
        <w:t>Les mesures de correction passent par les différents stades suivants:</w:t>
      </w:r>
    </w:p>
    <w:p>
      <w:pPr>
        <w:spacing w:after="120"/>
        <w:rPr>
          <w:noProof/>
        </w:rPr>
      </w:pPr>
      <w:r>
        <w:rPr>
          <w:noProof/>
          <w:lang w:val="en-US" w:eastAsia="en-US" w:bidi="ar-SA"/>
        </w:rPr>
        <w:drawing>
          <wp:inline distT="0" distB="0" distL="0" distR="0">
            <wp:extent cx="5384042" cy="293427"/>
            <wp:effectExtent l="19050" t="0" r="26670" b="3048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pPr>
        <w:spacing w:line="240" w:lineRule="auto"/>
        <w:jc w:val="both"/>
        <w:rPr>
          <w:rFonts w:ascii="Verdana" w:hAnsi="Verdana"/>
          <w:noProof/>
          <w:sz w:val="20"/>
          <w:szCs w:val="20"/>
        </w:rPr>
      </w:pPr>
    </w:p>
    <w:p>
      <w:pPr>
        <w:spacing w:after="120" w:line="240" w:lineRule="auto"/>
        <w:rPr>
          <w:rFonts w:ascii="Verdana" w:hAnsi="Verdana"/>
          <w:i/>
          <w:noProof/>
          <w:sz w:val="20"/>
          <w:szCs w:val="20"/>
        </w:rPr>
      </w:pPr>
      <w:r>
        <w:rPr>
          <w:rFonts w:ascii="Verdana" w:hAnsi="Verdana"/>
          <w:i/>
          <w:noProof/>
          <w:sz w:val="20"/>
        </w:rPr>
        <w:t>2.2.2 Corrections financières</w:t>
      </w:r>
    </w:p>
    <w:p>
      <w:pPr>
        <w:spacing w:after="120" w:line="240" w:lineRule="auto"/>
        <w:jc w:val="both"/>
        <w:rPr>
          <w:rFonts w:ascii="Verdana" w:hAnsi="Verdana"/>
          <w:noProof/>
          <w:sz w:val="18"/>
          <w:szCs w:val="20"/>
        </w:rPr>
      </w:pPr>
      <w:r>
        <w:rPr>
          <w:rFonts w:ascii="Verdana" w:hAnsi="Verdana"/>
          <w:noProof/>
          <w:sz w:val="18"/>
        </w:rPr>
        <w:t xml:space="preserve">La notion de corrections financières </w:t>
      </w:r>
      <w:r>
        <w:rPr>
          <w:rFonts w:ascii="Verdana" w:hAnsi="Verdana"/>
          <w:b/>
          <w:noProof/>
          <w:sz w:val="18"/>
        </w:rPr>
        <w:t>en cours</w:t>
      </w:r>
      <w:r>
        <w:rPr>
          <w:rFonts w:ascii="Verdana" w:hAnsi="Verdana"/>
          <w:noProof/>
          <w:sz w:val="18"/>
        </w:rPr>
        <w:t xml:space="preserve"> désigne le stade préliminaire où est ouverte la procédure menant à une correction financière, la procédure contradictoire avec l’État membre concerné n'étant pas encore achevée. Les montants indiqués ne représentent que les estimations initiales des services de la Commission; ils sont susceptibles d’être modifiés. Ils ont donc été proposés mais n'ont pas encore été acceptés par les États membres et n'ont pas fait non plus l'objet d'une décision de la Commission.</w:t>
      </w:r>
    </w:p>
    <w:p>
      <w:pPr>
        <w:spacing w:after="120" w:line="240" w:lineRule="auto"/>
        <w:jc w:val="both"/>
        <w:rPr>
          <w:rFonts w:ascii="Verdana" w:hAnsi="Verdana"/>
          <w:noProof/>
          <w:sz w:val="18"/>
          <w:szCs w:val="20"/>
        </w:rPr>
      </w:pPr>
      <w:r>
        <w:rPr>
          <w:rFonts w:ascii="Verdana" w:hAnsi="Verdana"/>
          <w:noProof/>
          <w:sz w:val="18"/>
        </w:rPr>
        <w:t xml:space="preserve">Une correction financière est </w:t>
      </w:r>
      <w:r>
        <w:rPr>
          <w:rFonts w:ascii="Verdana" w:hAnsi="Verdana"/>
          <w:b/>
          <w:noProof/>
          <w:sz w:val="18"/>
        </w:rPr>
        <w:t>confirmée</w:t>
      </w:r>
      <w:r>
        <w:rPr>
          <w:rFonts w:ascii="Verdana" w:hAnsi="Verdana"/>
          <w:noProof/>
          <w:sz w:val="18"/>
        </w:rPr>
        <w:t xml:space="preserve"> dès lors qu’elle est acceptée par l’État membre ou arrêtée par la Commission.</w:t>
      </w:r>
    </w:p>
    <w:p>
      <w:pPr>
        <w:spacing w:line="240" w:lineRule="auto"/>
        <w:jc w:val="both"/>
        <w:rPr>
          <w:rFonts w:ascii="Verdana" w:hAnsi="Verdana"/>
          <w:noProof/>
          <w:sz w:val="18"/>
          <w:szCs w:val="20"/>
        </w:rPr>
      </w:pPr>
      <w:r>
        <w:rPr>
          <w:rFonts w:ascii="Verdana" w:hAnsi="Verdana"/>
          <w:noProof/>
          <w:sz w:val="18"/>
        </w:rPr>
        <w:t xml:space="preserve">Une correction financière est considérée comme </w:t>
      </w:r>
      <w:r>
        <w:rPr>
          <w:rFonts w:ascii="Verdana" w:hAnsi="Verdana"/>
          <w:b/>
          <w:noProof/>
          <w:sz w:val="18"/>
        </w:rPr>
        <w:t>exécutée</w:t>
      </w:r>
      <w:r>
        <w:rPr>
          <w:rFonts w:ascii="Verdana" w:hAnsi="Verdana"/>
          <w:noProof/>
          <w:sz w:val="18"/>
        </w:rPr>
        <w:t xml:space="preserve"> dès lors que la correction a été appliquée et inscrite dans les comptes de la Commission, ce qui signifie que l'opération financière a été validée par l’ordonnateur compétent dans les cas suivants: déduction du montant correspondant de la demande de paiement intermédiaire ou final, ordre de recouvrement et/ou opération de dégagement.</w:t>
      </w:r>
    </w:p>
    <w:p>
      <w:pPr>
        <w:spacing w:after="120" w:line="240" w:lineRule="auto"/>
        <w:jc w:val="both"/>
        <w:rPr>
          <w:rFonts w:ascii="Verdana" w:hAnsi="Verdana"/>
          <w:noProof/>
          <w:sz w:val="18"/>
          <w:szCs w:val="20"/>
        </w:rPr>
      </w:pPr>
      <w:r>
        <w:rPr>
          <w:rFonts w:ascii="Verdana" w:hAnsi="Verdana"/>
          <w:noProof/>
          <w:sz w:val="18"/>
        </w:rPr>
        <w:t>La Commission applique les types suivants de corrections financières aux dépenses déclarées par les États membres (corrections «</w:t>
      </w:r>
      <w:r>
        <w:rPr>
          <w:rFonts w:ascii="Verdana" w:hAnsi="Verdana"/>
          <w:b/>
          <w:noProof/>
          <w:sz w:val="18"/>
        </w:rPr>
        <w:t>ex post</w:t>
      </w:r>
      <w:r>
        <w:rPr>
          <w:rFonts w:ascii="Verdana" w:hAnsi="Verdana"/>
          <w:noProof/>
          <w:sz w:val="18"/>
        </w:rPr>
        <w:t>»):</w:t>
      </w:r>
    </w:p>
    <w:p>
      <w:pPr>
        <w:spacing w:after="120" w:line="240" w:lineRule="auto"/>
        <w:ind w:left="851" w:hanging="284"/>
        <w:jc w:val="both"/>
        <w:rPr>
          <w:rFonts w:ascii="Verdana" w:hAnsi="Verdana"/>
          <w:noProof/>
          <w:sz w:val="18"/>
          <w:szCs w:val="20"/>
        </w:rPr>
      </w:pPr>
      <w:r>
        <w:rPr>
          <w:rFonts w:ascii="Verdana" w:hAnsi="Verdana"/>
          <w:noProof/>
          <w:sz w:val="18"/>
        </w:rPr>
        <w:t>—</w:t>
      </w:r>
      <w:r>
        <w:rPr>
          <w:noProof/>
        </w:rPr>
        <w:tab/>
      </w:r>
      <w:r>
        <w:rPr>
          <w:rFonts w:ascii="Verdana" w:hAnsi="Verdana"/>
          <w:noProof/>
          <w:sz w:val="18"/>
        </w:rPr>
        <w:t>corrections financières relatives à des cas individuels, fondées sur la détection précise des montants indûment dépensés ainsi que sur les implications financières pour le budget;</w:t>
      </w:r>
    </w:p>
    <w:p>
      <w:pPr>
        <w:spacing w:after="120" w:line="240" w:lineRule="auto"/>
        <w:ind w:left="851" w:hanging="284"/>
        <w:jc w:val="both"/>
        <w:rPr>
          <w:rFonts w:ascii="Verdana" w:hAnsi="Verdana"/>
          <w:noProof/>
          <w:sz w:val="18"/>
          <w:szCs w:val="20"/>
        </w:rPr>
      </w:pPr>
      <w:r>
        <w:rPr>
          <w:rFonts w:ascii="Verdana" w:hAnsi="Verdana"/>
          <w:noProof/>
          <w:sz w:val="18"/>
        </w:rPr>
        <w:t>—</w:t>
      </w:r>
      <w:r>
        <w:rPr>
          <w:noProof/>
        </w:rPr>
        <w:tab/>
      </w:r>
      <w:r>
        <w:rPr>
          <w:rFonts w:ascii="Verdana" w:hAnsi="Verdana"/>
          <w:noProof/>
          <w:sz w:val="18"/>
        </w:rPr>
        <w:t>corrections financières extrapolées si le montant considéré peut être chiffré de manière suffisamment fiable sur la base d’un échantillon statistique représentatif;</w:t>
      </w:r>
    </w:p>
    <w:p>
      <w:pPr>
        <w:spacing w:after="120" w:line="240" w:lineRule="auto"/>
        <w:ind w:left="851" w:hanging="284"/>
        <w:jc w:val="both"/>
        <w:rPr>
          <w:rFonts w:ascii="Verdana" w:hAnsi="Verdana"/>
          <w:noProof/>
          <w:sz w:val="18"/>
          <w:szCs w:val="20"/>
        </w:rPr>
      </w:pPr>
      <w:r>
        <w:rPr>
          <w:rFonts w:ascii="Verdana" w:hAnsi="Verdana"/>
          <w:noProof/>
          <w:sz w:val="18"/>
        </w:rPr>
        <w:t>—</w:t>
      </w:r>
      <w:r>
        <w:rPr>
          <w:noProof/>
        </w:rPr>
        <w:tab/>
      </w:r>
      <w:r>
        <w:rPr>
          <w:rFonts w:ascii="Verdana" w:hAnsi="Verdana"/>
          <w:noProof/>
          <w:sz w:val="18"/>
        </w:rPr>
        <w:t>corrections forfaitaires si le montant considéré ne peut être chiffré sur la base d’un échantillon statistique représentatif ou si l’incidence sur les dépenses d’erreurs individuelles ne peut être quantifiée avec précision (par exemple, corrections financières pour des marchés publics individuels reposant sur des taux forfaitaires convenus).</w:t>
      </w:r>
    </w:p>
    <w:p>
      <w:pPr>
        <w:spacing w:after="120" w:line="240" w:lineRule="auto"/>
        <w:jc w:val="both"/>
        <w:rPr>
          <w:rFonts w:ascii="Verdana" w:hAnsi="Verdana"/>
          <w:noProof/>
          <w:sz w:val="18"/>
        </w:rPr>
      </w:pPr>
      <w:r>
        <w:rPr>
          <w:rFonts w:ascii="Verdana" w:hAnsi="Verdana"/>
          <w:noProof/>
          <w:sz w:val="18"/>
        </w:rPr>
        <w:t>Toutes les corrections financières, quel qu’en soit le type, ont une incidence négative sur les budgets nationaux – et ce même en l’absence de remboursement au budget de l’UE, car des ressources doivent être employées pour remplacer les dépenses inéligibles.</w:t>
      </w:r>
    </w:p>
    <w:p>
      <w:pPr>
        <w:spacing w:after="120" w:line="240" w:lineRule="auto"/>
        <w:jc w:val="both"/>
        <w:rPr>
          <w:rFonts w:ascii="Verdana" w:hAnsi="Verdana"/>
          <w:noProof/>
          <w:sz w:val="18"/>
          <w:szCs w:val="20"/>
        </w:rPr>
      </w:pPr>
      <w:r>
        <w:rPr>
          <w:rFonts w:ascii="Verdana" w:hAnsi="Verdana"/>
          <w:noProof/>
          <w:sz w:val="18"/>
        </w:rPr>
        <w:t>Les corrections financières «</w:t>
      </w:r>
      <w:r>
        <w:rPr>
          <w:rFonts w:ascii="Verdana" w:hAnsi="Verdana"/>
          <w:b/>
          <w:noProof/>
          <w:sz w:val="18"/>
        </w:rPr>
        <w:t>à la source</w:t>
      </w:r>
      <w:r>
        <w:rPr>
          <w:rFonts w:ascii="Verdana" w:hAnsi="Verdana"/>
          <w:noProof/>
          <w:sz w:val="18"/>
        </w:rPr>
        <w:t>» sont utilisées pour réaliser des corrections financières avant tout remboursement par l’UE. Elles ont lieu lorsque la correction est appliquée par l’État membre lors de la certification de nouvelles dépenses à la Commission à la suite et en conséquence du plan d’actions correctrices convenu avec celle-ci. Il convient de souligner que la différence entre corrections financières «ex post» et corrections financières «à la source» réside dans la chronologie des faits.</w:t>
      </w:r>
    </w:p>
    <w:p>
      <w:pPr>
        <w:spacing w:line="240" w:lineRule="auto"/>
        <w:rPr>
          <w:rFonts w:ascii="Verdana" w:hAnsi="Verdana"/>
          <w:noProof/>
          <w:sz w:val="18"/>
          <w:szCs w:val="20"/>
        </w:rPr>
      </w:pPr>
      <w:r>
        <w:rPr>
          <w:rFonts w:ascii="Verdana" w:hAnsi="Verdana"/>
          <w:noProof/>
          <w:sz w:val="18"/>
        </w:rPr>
        <w:t>Aperçu chronologique des corrections financières:</w:t>
      </w:r>
    </w:p>
    <w:p>
      <w:pPr>
        <w:spacing w:after="120" w:line="240" w:lineRule="auto"/>
        <w:rPr>
          <w:rFonts w:ascii="Verdana" w:hAnsi="Verdana"/>
          <w:noProof/>
          <w:sz w:val="18"/>
        </w:rPr>
      </w:pPr>
      <w:r>
        <w:rPr>
          <w:rFonts w:ascii="Verdana" w:hAnsi="Verdana"/>
          <w:noProof/>
          <w:sz w:val="18"/>
          <w:lang w:val="en-US" w:eastAsia="en-US" w:bidi="ar-SA"/>
        </w:rPr>
        <w:drawing>
          <wp:inline distT="0" distB="0" distL="0" distR="0">
            <wp:extent cx="5322570" cy="21704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22570" cy="2170430"/>
                    </a:xfrm>
                    <a:prstGeom prst="rect">
                      <a:avLst/>
                    </a:prstGeom>
                    <a:noFill/>
                  </pic:spPr>
                </pic:pic>
              </a:graphicData>
            </a:graphic>
          </wp:inline>
        </w:drawing>
      </w:r>
    </w:p>
    <w:p>
      <w:pPr>
        <w:spacing w:after="120" w:line="240" w:lineRule="auto"/>
        <w:rPr>
          <w:rFonts w:ascii="Verdana" w:hAnsi="Verdana"/>
          <w:noProof/>
          <w:sz w:val="18"/>
        </w:rPr>
      </w:pPr>
    </w:p>
    <w:p>
      <w:pPr>
        <w:spacing w:after="120" w:line="240" w:lineRule="auto"/>
        <w:rPr>
          <w:rFonts w:ascii="Verdana" w:hAnsi="Verdana"/>
          <w:noProof/>
          <w:sz w:val="18"/>
          <w:szCs w:val="18"/>
        </w:rPr>
      </w:pPr>
      <w:r>
        <w:rPr>
          <w:rFonts w:ascii="Verdana" w:hAnsi="Verdana"/>
          <w:noProof/>
          <w:sz w:val="18"/>
        </w:rPr>
        <w:t xml:space="preserve">Le </w:t>
      </w:r>
      <w:r>
        <w:rPr>
          <w:rFonts w:ascii="Verdana" w:hAnsi="Verdana"/>
          <w:b/>
          <w:noProof/>
          <w:sz w:val="18"/>
        </w:rPr>
        <w:t>remplacement des dépenses</w:t>
      </w:r>
      <w:r>
        <w:rPr>
          <w:rFonts w:ascii="Verdana" w:hAnsi="Verdana"/>
          <w:noProof/>
          <w:sz w:val="18"/>
        </w:rPr>
        <w:t xml:space="preserve"> est la possibilité qu'ont les États membres, au titre de la politique de cohésion, de remplacer des dépenses inéligibles par de nouvelles dépenses éligibles, de façon à ne pas perdre le bénéfice du financement de l’UE (il ne s'agit donc pas, dans ce cas, de correction nette puisqu'il n’y a pas de restitution de fonds au budget de l’UE).</w:t>
      </w:r>
    </w:p>
    <w:p>
      <w:pPr>
        <w:spacing w:after="120" w:line="240" w:lineRule="auto"/>
        <w:jc w:val="both"/>
        <w:rPr>
          <w:rFonts w:ascii="Verdana" w:hAnsi="Verdana"/>
          <w:noProof/>
          <w:sz w:val="18"/>
          <w:szCs w:val="20"/>
        </w:rPr>
      </w:pPr>
      <w:r>
        <w:rPr>
          <w:rFonts w:ascii="Verdana" w:hAnsi="Verdana"/>
          <w:noProof/>
          <w:sz w:val="18"/>
        </w:rPr>
        <w:t xml:space="preserve">Une </w:t>
      </w:r>
      <w:r>
        <w:rPr>
          <w:rFonts w:ascii="Verdana" w:hAnsi="Verdana"/>
          <w:b/>
          <w:noProof/>
          <w:sz w:val="18"/>
        </w:rPr>
        <w:t>correction financière nette</w:t>
      </w:r>
      <w:r>
        <w:rPr>
          <w:rFonts w:ascii="Verdana" w:hAnsi="Verdana"/>
          <w:noProof/>
          <w:sz w:val="18"/>
        </w:rPr>
        <w:t xml:space="preserve"> est une correction qui a une incidence nette sur le budget de l’UE (c’est-à-dire que les montants corrigés et recouvrés sont remboursés au budget de l’UE).</w:t>
      </w:r>
    </w:p>
    <w:p>
      <w:pPr>
        <w:pStyle w:val="ListParagraph"/>
        <w:numPr>
          <w:ilvl w:val="0"/>
          <w:numId w:val="58"/>
        </w:numPr>
        <w:spacing w:after="120"/>
        <w:rPr>
          <w:rFonts w:ascii="Verdana" w:hAnsi="Verdana"/>
          <w:noProof/>
          <w:sz w:val="18"/>
        </w:rPr>
      </w:pPr>
      <w:r>
        <w:rPr>
          <w:rFonts w:ascii="Verdana" w:hAnsi="Verdana"/>
          <w:noProof/>
          <w:sz w:val="18"/>
        </w:rPr>
        <w:t>Les corrections dans le domaine de l'agriculture et du développement rural (FEAGA, FEADER, FEOGA) aboutissent toujours à un remboursement au budget de l’UE. En revanche, en raison du cadre juridique, la restitution au budget de l’UE de montants précédemment versés au titre de la politique de cohésion est dans l'ensemble restée exceptionnelle durant la mise en œuvre des programmes.</w:t>
      </w:r>
    </w:p>
    <w:p>
      <w:pPr>
        <w:pStyle w:val="ListParagraph"/>
        <w:numPr>
          <w:ilvl w:val="0"/>
          <w:numId w:val="58"/>
        </w:numPr>
        <w:tabs>
          <w:tab w:val="left" w:pos="0"/>
        </w:tabs>
        <w:spacing w:after="0"/>
        <w:rPr>
          <w:rFonts w:ascii="Verdana" w:hAnsi="Verdana"/>
          <w:noProof/>
          <w:sz w:val="18"/>
        </w:rPr>
      </w:pPr>
      <w:r>
        <w:rPr>
          <w:rFonts w:ascii="Verdana" w:hAnsi="Verdana"/>
          <w:noProof/>
          <w:sz w:val="18"/>
        </w:rPr>
        <w:t>En vertu du cadre juridique applicable à la politique de cohésion jusqu’à la période de programmation 2007-2013, un véritable flux de trésorerie retournant au budget de l’Union a lieu uniquement:</w:t>
      </w:r>
    </w:p>
    <w:p>
      <w:pPr>
        <w:pStyle w:val="ListParagraph"/>
        <w:numPr>
          <w:ilvl w:val="0"/>
          <w:numId w:val="35"/>
        </w:numPr>
        <w:tabs>
          <w:tab w:val="left" w:pos="0"/>
        </w:tabs>
        <w:spacing w:after="0"/>
        <w:rPr>
          <w:rFonts w:ascii="Verdana" w:hAnsi="Verdana"/>
          <w:noProof/>
          <w:sz w:val="18"/>
        </w:rPr>
      </w:pPr>
      <w:r>
        <w:rPr>
          <w:rFonts w:ascii="Verdana" w:hAnsi="Verdana"/>
          <w:noProof/>
          <w:sz w:val="18"/>
        </w:rPr>
        <w:t>si les États membres ne sont pas en mesure de présenter des dépenses éligibles suffisantes;</w:t>
      </w:r>
    </w:p>
    <w:p>
      <w:pPr>
        <w:pStyle w:val="ListParagraph"/>
        <w:numPr>
          <w:ilvl w:val="0"/>
          <w:numId w:val="35"/>
        </w:numPr>
        <w:tabs>
          <w:tab w:val="left" w:pos="0"/>
        </w:tabs>
        <w:spacing w:after="0"/>
        <w:rPr>
          <w:rFonts w:ascii="Verdana" w:hAnsi="Verdana"/>
          <w:noProof/>
          <w:sz w:val="18"/>
        </w:rPr>
      </w:pPr>
      <w:r>
        <w:rPr>
          <w:rFonts w:ascii="Verdana" w:hAnsi="Verdana"/>
          <w:noProof/>
          <w:sz w:val="18"/>
        </w:rPr>
        <w:t>après la clôture des programmes, lorsque le remplacement de dépenses inéligibles par des dépenses éligibles n’est plus possible;</w:t>
      </w:r>
    </w:p>
    <w:p>
      <w:pPr>
        <w:pStyle w:val="ListParagraph"/>
        <w:numPr>
          <w:ilvl w:val="0"/>
          <w:numId w:val="35"/>
        </w:numPr>
        <w:tabs>
          <w:tab w:val="left" w:pos="0"/>
        </w:tabs>
        <w:spacing w:after="0"/>
        <w:rPr>
          <w:rFonts w:ascii="Verdana" w:hAnsi="Verdana"/>
          <w:noProof/>
          <w:sz w:val="18"/>
        </w:rPr>
      </w:pPr>
      <w:r>
        <w:rPr>
          <w:rFonts w:ascii="Verdana" w:hAnsi="Verdana"/>
          <w:noProof/>
          <w:sz w:val="18"/>
        </w:rPr>
        <w:t>s'il y a désaccord avec la Commission.</w:t>
      </w:r>
    </w:p>
    <w:p>
      <w:pPr>
        <w:spacing w:before="120" w:after="120" w:line="240" w:lineRule="auto"/>
        <w:ind w:left="1418"/>
        <w:jc w:val="both"/>
        <w:rPr>
          <w:rFonts w:ascii="Verdana" w:hAnsi="Verdana"/>
          <w:noProof/>
          <w:sz w:val="18"/>
          <w:szCs w:val="20"/>
        </w:rPr>
      </w:pPr>
      <w:r>
        <w:rPr>
          <w:rFonts w:ascii="Verdana" w:hAnsi="Verdana"/>
          <w:noProof/>
          <w:sz w:val="18"/>
        </w:rPr>
        <w:t>Cependant, un changement important a été introduit pour la période de programmation 2014-2020: la Commission est dans l’obligation d’appliquer une correction financière nette lorsque les audits de l’UE constatent des déficiences graves du fonctionnement effectif du système de gestion et de contrôle n’ayant pas été précédemment détectées, signalées et corrigées à l’échelon national, après transmission des dossiers aux fins de l'assurance. En pareilles circonstances, la possibilité réservée à l’État membre, lors de précédentes périodes de programmation, d’accepter la correction et de réutiliser les fonds de l’UE concernés est supprimée.</w:t>
      </w:r>
    </w:p>
    <w:p>
      <w:pPr>
        <w:spacing w:line="240" w:lineRule="auto"/>
        <w:jc w:val="both"/>
        <w:rPr>
          <w:rFonts w:ascii="Verdana" w:hAnsi="Verdana"/>
          <w:noProof/>
          <w:sz w:val="18"/>
          <w:szCs w:val="20"/>
        </w:rPr>
      </w:pPr>
      <w:r>
        <w:rPr>
          <w:rFonts w:ascii="Verdana" w:hAnsi="Verdana"/>
          <w:noProof/>
          <w:sz w:val="18"/>
        </w:rPr>
        <w:t>Dans le cadre de la gestion partagée, les États membres fournissent de gros efforts et engagent des ressources pour effectuer des corrections financières et recouvrer auprès des bénéficiaires les montants indûment versés. En outre, ils effectuent des vérifications de gestion, des contrôles et des audits de premier niveau, en plus de ceux de la Commission décrits plus haut.</w:t>
      </w:r>
    </w:p>
    <w:p>
      <w:pPr>
        <w:spacing w:after="0" w:line="240" w:lineRule="auto"/>
        <w:rPr>
          <w:rFonts w:ascii="Verdana" w:hAnsi="Verdana"/>
          <w:noProof/>
          <w:sz w:val="16"/>
          <w:szCs w:val="16"/>
        </w:rPr>
      </w:pPr>
    </w:p>
    <w:p>
      <w:pPr>
        <w:spacing w:after="240" w:line="240" w:lineRule="auto"/>
        <w:rPr>
          <w:rFonts w:ascii="Verdana" w:hAnsi="Verdana"/>
          <w:i/>
          <w:noProof/>
          <w:sz w:val="20"/>
          <w:szCs w:val="20"/>
        </w:rPr>
      </w:pPr>
      <w:bookmarkStart w:id="18" w:name="_Toc406161306"/>
      <w:bookmarkStart w:id="19" w:name="_Toc406163431"/>
      <w:r>
        <w:rPr>
          <w:rFonts w:ascii="Verdana" w:hAnsi="Verdana"/>
          <w:i/>
          <w:noProof/>
          <w:sz w:val="20"/>
        </w:rPr>
        <w:t>2.2.3</w:t>
      </w:r>
      <w:r>
        <w:rPr>
          <w:noProof/>
        </w:rPr>
        <w:tab/>
      </w:r>
      <w:r>
        <w:rPr>
          <w:rFonts w:ascii="Verdana" w:hAnsi="Verdana"/>
          <w:i/>
          <w:noProof/>
          <w:sz w:val="20"/>
        </w:rPr>
        <w:t>Recouvrements</w:t>
      </w:r>
      <w:bookmarkEnd w:id="18"/>
      <w:bookmarkEnd w:id="19"/>
    </w:p>
    <w:p>
      <w:pPr>
        <w:pStyle w:val="Textstand-alone"/>
        <w:rPr>
          <w:i/>
          <w:szCs w:val="20"/>
          <w:u w:val="single"/>
        </w:rPr>
      </w:pPr>
      <w:r>
        <w:rPr>
          <w:i/>
          <w:u w:val="single"/>
        </w:rPr>
        <w:t>AGRICULTURE ET DÉVELOPPEMENT RURAL</w:t>
      </w:r>
    </w:p>
    <w:p>
      <w:pPr>
        <w:pStyle w:val="Textstand-alone"/>
        <w:spacing w:after="120"/>
        <w:rPr>
          <w:szCs w:val="20"/>
        </w:rPr>
      </w:pPr>
      <w:r>
        <w:t>Le règlement (CE) nº 1306/2013</w:t>
      </w:r>
      <w:r>
        <w:rPr>
          <w:rStyle w:val="FootnoteReference"/>
        </w:rPr>
        <w:footnoteReference w:id="2"/>
      </w:r>
      <w:r>
        <w:t xml:space="preserve"> relatif au financement de la politique agricole commune impose aux États membres de récupérer les sommes perdues à la suite des paiements irréguliers détectés. Les procédures de recouvrement, conformément au principe de subsidiarité, relèvent cependant entièrement de la responsabilité des États membres concernés et sont donc soumises aux procédures administratives et judiciaires particulières de ceux-ci. Par conséquent, si certaines procédures aboutissent rapidement, d’autres, en revanche, prennent davantage de temps.</w:t>
      </w:r>
    </w:p>
    <w:p>
      <w:pPr>
        <w:pStyle w:val="Textstand-alone"/>
        <w:spacing w:before="120" w:after="120"/>
        <w:rPr>
          <w:szCs w:val="20"/>
        </w:rPr>
      </w:pPr>
      <w:r>
        <w:t>Afin de remédier aux retards qu'accusent certains États membres lors du recouvrement de sommes indûment payées, le législateur a prévu un mécanisme de compensation automatique en vertu duquel la moitié de toute somme indûment versée que les États membres n’ont pas recouvrée auprès des bénéficiaires dans les quatre ans ou, en cas d'action en justice, dans les huit ans, est à la charge de leur budget national (règle dite «des 50/50»). Cependant, même après application de ce mécanisme, les États membres sont tenus de poursuivre leurs procédures de recouvrement et, s’ils ne font pas preuve de la diligence nécessaire, la Commission peut décider d’imputer aux États membres concernés l'intégralité des sommes restant dues. Par ailleurs, conformément à l'article 28 du règlement nº 908/2014</w:t>
      </w:r>
      <w:r>
        <w:rPr>
          <w:rStyle w:val="FootnoteReference"/>
        </w:rPr>
        <w:footnoteReference w:id="3"/>
      </w:r>
      <w:r>
        <w:t>, les États membres sont tenus de compenser toute créance en prélevant le montant correspondant sur les paiements futurs en faveur du débiteur (compensation obligatoire).</w:t>
      </w:r>
    </w:p>
    <w:p>
      <w:pPr>
        <w:pStyle w:val="Textstand-alone"/>
        <w:spacing w:before="120" w:after="120"/>
        <w:rPr>
          <w:szCs w:val="20"/>
        </w:rPr>
      </w:pPr>
      <w:r>
        <w:t>Depuis l’entrée en vigueur du nouveau cadre juridique, la règle des 50/50 doit également être appliquée au Feader non pas à la clôture du programme, mais au cours de l’exercice lors duquel le cas se présente. Par conséquent, depuis l’exercice 2014, les États membres sont tenus d'indiquer les montants qui leur sont imputables selon la règle des 50/50 également pour les programmes du Feader relevant des périodes 2007-2013 et 2014-2020</w:t>
      </w:r>
      <w:r>
        <w:rPr>
          <w:vertAlign w:val="superscript"/>
        </w:rPr>
        <w:footnoteReference w:id="4"/>
      </w:r>
      <w:r>
        <w:t>.</w:t>
      </w:r>
    </w:p>
    <w:p>
      <w:pPr>
        <w:pStyle w:val="Textstand-alone"/>
        <w:spacing w:before="120" w:after="120"/>
        <w:rPr>
          <w:szCs w:val="20"/>
        </w:rPr>
      </w:pPr>
      <w:r>
        <w:t>Les paiements indus qui sont le résultat d’erreurs administratives commises par les autorités nationales doivent aussi être déduits des comptes annuels des organismes payeurs concernés, et donc exclus du financement de l’UE.</w:t>
      </w:r>
    </w:p>
    <w:p>
      <w:pPr>
        <w:pStyle w:val="Textstand-alone"/>
        <w:spacing w:before="120"/>
        <w:rPr>
          <w:szCs w:val="20"/>
        </w:rPr>
      </w:pPr>
      <w:r>
        <w:t>Pour le FEAGA, les montants récupérés auprès des bénéficiaires sont crédités au budget de l’UE en tant que recettes affectées, après application d'une retenue forfaitaire de 20 % pour couvrir les frais de recouvrement</w:t>
      </w:r>
      <w:r>
        <w:rPr>
          <w:rStyle w:val="FootnoteReference"/>
        </w:rPr>
        <w:footnoteReference w:id="5"/>
      </w:r>
      <w:r>
        <w:t>. En ce qui concerne le Feader, les recouvrements sont pris en considération dans une demande de remboursement ultérieure reçue par la Commission et les montants peuvent dès lors être réutilisés pour le programme durant la période de programmation. Après la fin de la période d’éligibilité, ils sont crédités au budget de l’UE en tant que recettes affectées.</w:t>
      </w:r>
    </w:p>
    <w:p>
      <w:pPr>
        <w:pStyle w:val="Textstand-alone"/>
        <w:rPr>
          <w:i/>
          <w:szCs w:val="20"/>
          <w:u w:val="single"/>
        </w:rPr>
      </w:pPr>
      <w:r>
        <w:rPr>
          <w:i/>
          <w:u w:val="single"/>
        </w:rPr>
        <w:t>POLITIQUE DE COHÉSION</w:t>
      </w:r>
    </w:p>
    <w:p>
      <w:pPr>
        <w:pStyle w:val="Textstand-alone"/>
        <w:rPr>
          <w:szCs w:val="20"/>
        </w:rPr>
      </w:pPr>
      <w:r>
        <w:t>Les recouvrements ont principalement lieu pendant ou après la clôture des programmes et se traduisent par des recettes pour le budget de l’UE. Lors de la période de programmation en cours (2014-2020) et pour la première fois en 2017, des recouvrements auront également lieu dans le cadre de l’approbation annuelle des comptes. La Commission calculera le solde entre le montant accepté dans les comptes et les montants déjà versés aux États membres au cours de l’exercice comptable (préfinancement annuel et 90 % des demandes de paiement). Si un montant peut être recouvré auprès de l’État membre, un ordre de recouvrement sera émis. Cet ordre de recouvrement, qui peut être exécuté par compensation, lorsque c'est possible, en prélevant le montant correspondant sur les demandes de paiement ultérieures, ne constitue pas une correction financière et ne réduit pas la dotation globale du programme. Le montant sera, en conséquence, réutilisé pour le programme.</w:t>
      </w:r>
    </w:p>
    <w:p>
      <w:pPr>
        <w:pStyle w:val="Textstand-alone"/>
        <w:rPr>
          <w:i/>
          <w:szCs w:val="20"/>
          <w:u w:val="single"/>
        </w:rPr>
      </w:pPr>
      <w:r>
        <w:rPr>
          <w:i/>
          <w:u w:val="single"/>
        </w:rPr>
        <w:t>GESTION DIRECTE ET INDIRECTE</w:t>
      </w:r>
    </w:p>
    <w:p>
      <w:pPr>
        <w:spacing w:line="240" w:lineRule="auto"/>
        <w:jc w:val="both"/>
        <w:rPr>
          <w:rFonts w:ascii="Verdana" w:hAnsi="Verdana"/>
          <w:noProof/>
          <w:sz w:val="18"/>
          <w:szCs w:val="20"/>
        </w:rPr>
      </w:pPr>
      <w:r>
        <w:rPr>
          <w:rFonts w:ascii="Verdana" w:hAnsi="Verdana"/>
          <w:noProof/>
          <w:sz w:val="18"/>
        </w:rPr>
        <w:t>En gestion directe et indirecte, et conformément au règlement financier, les ordres de recouvrement doivent être établis par l’ordonnateur pour les sommes indûment payées. Les recouvrements sont ensuite exécutés par virement bancaire direct de la part du débiteur (et constituent des recettes affectées pour le budget de l’UE qui peuvent être réutilisées pour le même programme) ou, en vertu du mécanisme de compensation, par voie de prélèvement sur d’autres montants que la Commission doit au débiteur. Les services de la Commission exécutent également des recouvrements «à la source», en déduisant des paiements effectués les dépenses non éligibles (détectées dans les déclarations de coûts actuelles).</w:t>
      </w:r>
    </w:p>
    <w:p>
      <w:pPr>
        <w:pStyle w:val="ManualHeading2"/>
        <w:rPr>
          <w:noProof/>
          <w:szCs w:val="22"/>
        </w:rPr>
      </w:pPr>
      <w:bookmarkStart w:id="20" w:name="_Toc456258158"/>
      <w:bookmarkStart w:id="21" w:name="_Toc461437483"/>
      <w:r>
        <w:t>2.3.</w:t>
      </w:r>
      <w:r>
        <w:tab/>
      </w:r>
      <w:r>
        <w:rPr>
          <w:noProof/>
        </w:rPr>
        <w:t>Rapport coût/efficacité des systèmes de gestion et de contrôle</w:t>
      </w:r>
      <w:bookmarkEnd w:id="20"/>
      <w:bookmarkEnd w:id="21"/>
    </w:p>
    <w:p>
      <w:pPr>
        <w:spacing w:after="0" w:line="240" w:lineRule="auto"/>
        <w:jc w:val="both"/>
        <w:rPr>
          <w:rFonts w:ascii="Verdana" w:hAnsi="Verdana" w:cs="Calibri"/>
          <w:noProof/>
          <w:sz w:val="18"/>
          <w:szCs w:val="20"/>
        </w:rPr>
      </w:pPr>
      <w:r>
        <w:rPr>
          <w:rFonts w:ascii="Verdana" w:hAnsi="Verdana"/>
          <w:noProof/>
          <w:sz w:val="18"/>
        </w:rPr>
        <w:t xml:space="preserve">Conformément aux prescriptions du règlement financier, un objectif important de la </w:t>
      </w:r>
      <w:r>
        <w:rPr>
          <w:rFonts w:ascii="Verdana" w:hAnsi="Verdana"/>
          <w:b/>
          <w:noProof/>
          <w:sz w:val="18"/>
        </w:rPr>
        <w:t>stratégie</w:t>
      </w:r>
      <w:r>
        <w:rPr>
          <w:rFonts w:ascii="Verdana" w:hAnsi="Verdana"/>
          <w:noProof/>
          <w:sz w:val="18"/>
        </w:rPr>
        <w:t xml:space="preserve"> de la Commission en faveur d'un «</w:t>
      </w:r>
      <w:r>
        <w:rPr>
          <w:rFonts w:ascii="Verdana" w:hAnsi="Verdana"/>
          <w:b/>
          <w:noProof/>
          <w:sz w:val="18"/>
        </w:rPr>
        <w:t>budget axé sur les résultats</w:t>
      </w:r>
      <w:r>
        <w:rPr>
          <w:rFonts w:ascii="Verdana" w:hAnsi="Verdana"/>
          <w:noProof/>
          <w:sz w:val="18"/>
        </w:rPr>
        <w:t>» consiste à garantir l’efficacité au regard des coûts lors de l’élaboration et de la mise en œuvre des systèmes de gestion et de contrôle qui préviennent ou détectent et corrigent les erreurs. Dès lors, les stratégies de contrôle doivent prévoir un niveau d'examen et une fréquence plus élevés dans les domaines davantage exposés au risque et garantir un bon rapport coût/efficacité. Ce point est important, car les contrôles imposent aux bénéficiaires une charge administrative considérable et sont même susceptibles de décourager leur participation aux programmes. De plus, s'ils sont dépourvus d'efficience et d'efficacité, les contrôles consomment des ressources qui auraient pu servir à obtenir des résultats. Pour plus de détails, veuillez consulter le rapport annuel 2015 de la Commission sur la gestion et la performance du budget de l'UE</w:t>
      </w:r>
      <w:r>
        <w:rPr>
          <w:rStyle w:val="FootnoteReference"/>
          <w:rFonts w:ascii="Verdana" w:hAnsi="Verdana"/>
          <w:noProof/>
          <w:sz w:val="18"/>
        </w:rPr>
        <w:footnoteReference w:id="6"/>
      </w:r>
      <w:r>
        <w:rPr>
          <w:rFonts w:ascii="Verdana" w:hAnsi="Verdana"/>
          <w:noProof/>
          <w:sz w:val="18"/>
        </w:rPr>
        <w:t>.</w:t>
      </w:r>
    </w:p>
    <w:p>
      <w:pPr>
        <w:pStyle w:val="ManualHeading2"/>
        <w:rPr>
          <w:noProof/>
          <w:szCs w:val="22"/>
        </w:rPr>
      </w:pPr>
      <w:bookmarkStart w:id="22" w:name="_Toc456258159"/>
      <w:bookmarkStart w:id="23" w:name="_Toc461437484"/>
      <w:r>
        <w:t>2.4.</w:t>
      </w:r>
      <w:r>
        <w:tab/>
      </w:r>
      <w:r>
        <w:rPr>
          <w:noProof/>
        </w:rPr>
        <w:t>Contrôle interne public et gestion des fonds de l’UE</w:t>
      </w:r>
      <w:bookmarkEnd w:id="22"/>
      <w:bookmarkEnd w:id="23"/>
    </w:p>
    <w:p>
      <w:pPr>
        <w:spacing w:after="0" w:line="240" w:lineRule="auto"/>
        <w:jc w:val="both"/>
        <w:rPr>
          <w:rFonts w:ascii="Verdana" w:eastAsia="Times New Roman" w:hAnsi="Verdana"/>
          <w:b/>
          <w:noProof/>
          <w:kern w:val="32"/>
        </w:rPr>
      </w:pPr>
      <w:r>
        <w:rPr>
          <w:rFonts w:ascii="Verdana" w:hAnsi="Verdana"/>
          <w:noProof/>
          <w:kern w:val="32"/>
          <w:sz w:val="18"/>
        </w:rPr>
        <w:t>La protection du budget de l’UE relève d'une responsabilité partagée entre la Commission et les États membres. La Commission apporte son concours et participe au réseau du contrôle interne public (PIC), qui rassemble des représentants du PIC issus de tous les États membres de l’UE. Le réseau PIC examine les questions liées au contrôle interne, qu'il s'agisse du budget national ou de la gestion de fonds de l’UE, en vue de recenser les bonnes pratiques dans les domaines où la mise en œuvre effective se révèle difficile. Les membres du réseau se réunissent à intervalles réguliers, ce qui donne l'occasion à tous les États membres de travailler conjointement à l'amélioration de leurs dispositifs de contrôle interne, de façon à garantir une meilleure gestion financière et de meilleurs résultats.</w:t>
      </w:r>
    </w:p>
    <w:p>
      <w:pPr>
        <w:spacing w:after="0" w:line="240" w:lineRule="auto"/>
        <w:rPr>
          <w:rFonts w:ascii="Verdana" w:eastAsia="Times New Roman" w:hAnsi="Verdana"/>
          <w:b/>
          <w:noProof/>
          <w:kern w:val="32"/>
        </w:rPr>
      </w:pPr>
      <w:r>
        <w:rPr>
          <w:noProof/>
        </w:rPr>
        <w:br w:type="page"/>
      </w:r>
    </w:p>
    <w:p>
      <w:pPr>
        <w:pStyle w:val="ManualHeading1"/>
        <w:rPr>
          <w:caps/>
          <w:noProof/>
          <w:szCs w:val="22"/>
        </w:rPr>
      </w:pPr>
      <w:bookmarkStart w:id="24" w:name="_Toc456258160"/>
      <w:bookmarkStart w:id="25" w:name="_Toc461437485"/>
      <w:r>
        <w:t>3.</w:t>
      </w:r>
      <w:r>
        <w:tab/>
      </w:r>
      <w:r>
        <w:rPr>
          <w:noProof/>
        </w:rPr>
        <w:t>CORRECTIONS FINANCIÈRES ET RECOUVREMENTS, SITUATION FIN 2015</w:t>
      </w:r>
      <w:bookmarkEnd w:id="24"/>
      <w:bookmarkEnd w:id="25"/>
    </w:p>
    <w:p>
      <w:pPr>
        <w:pStyle w:val="ManualHeading2"/>
        <w:rPr>
          <w:i/>
          <w:noProof/>
          <w:szCs w:val="22"/>
        </w:rPr>
      </w:pPr>
      <w:bookmarkStart w:id="26" w:name="_Toc456258161"/>
      <w:bookmarkStart w:id="27" w:name="_Toc461437486"/>
      <w:r>
        <w:t>3.1.</w:t>
      </w:r>
      <w:r>
        <w:tab/>
      </w:r>
      <w:r>
        <w:rPr>
          <w:noProof/>
        </w:rPr>
        <w:t>Corrections financières et recouvrements en 2015</w:t>
      </w:r>
      <w:bookmarkEnd w:id="26"/>
      <w:bookmarkEnd w:id="27"/>
    </w:p>
    <w:p>
      <w:pPr>
        <w:spacing w:line="240" w:lineRule="auto"/>
        <w:jc w:val="both"/>
        <w:rPr>
          <w:rFonts w:ascii="Verdana" w:hAnsi="Verdana" w:cs="Arial"/>
          <w:b/>
          <w:bCs/>
          <w:i/>
          <w:noProof/>
          <w:sz w:val="18"/>
        </w:rPr>
      </w:pPr>
      <w:r>
        <w:rPr>
          <w:rFonts w:ascii="Verdana" w:hAnsi="Verdana"/>
          <w:b/>
          <w:i/>
          <w:noProof/>
          <w:sz w:val="18"/>
        </w:rPr>
        <w:t>Tableau 3.1:</w:t>
      </w:r>
      <w:r>
        <w:rPr>
          <w:rFonts w:ascii="Verdana" w:hAnsi="Verdana"/>
          <w:i/>
          <w:noProof/>
          <w:sz w:val="18"/>
        </w:rPr>
        <w:t xml:space="preserve"> </w:t>
      </w:r>
      <w:r>
        <w:rPr>
          <w:rFonts w:ascii="Verdana" w:hAnsi="Verdana"/>
          <w:b/>
          <w:i/>
          <w:noProof/>
          <w:sz w:val="18"/>
        </w:rPr>
        <w:t>Vue d’ensemble des corrections financières et des recouvrements pour 2015</w:t>
      </w:r>
      <w:r>
        <w:rPr>
          <w:rStyle w:val="FootnoteReference"/>
          <w:rFonts w:ascii="Verdana" w:hAnsi="Verdana"/>
          <w:b/>
          <w:i/>
          <w:noProof/>
          <w:sz w:val="18"/>
        </w:rPr>
        <w:footnoteReference w:id="7"/>
      </w:r>
    </w:p>
    <w:tbl>
      <w:tblPr>
        <w:tblW w:w="5085" w:type="pct"/>
        <w:tblInd w:w="108" w:type="dxa"/>
        <w:tblLayout w:type="fixed"/>
        <w:tblLook w:val="04A0" w:firstRow="1" w:lastRow="0" w:firstColumn="1" w:lastColumn="0" w:noHBand="0" w:noVBand="1"/>
      </w:tblPr>
      <w:tblGrid>
        <w:gridCol w:w="1395"/>
        <w:gridCol w:w="1012"/>
        <w:gridCol w:w="851"/>
        <w:gridCol w:w="852"/>
        <w:gridCol w:w="852"/>
        <w:gridCol w:w="850"/>
        <w:gridCol w:w="1011"/>
        <w:gridCol w:w="994"/>
        <w:gridCol w:w="994"/>
        <w:gridCol w:w="637"/>
        <w:gridCol w:w="142"/>
      </w:tblGrid>
      <w:tr>
        <w:trPr>
          <w:gridAfter w:val="1"/>
          <w:wAfter w:w="74" w:type="pct"/>
          <w:trHeight w:val="139"/>
        </w:trPr>
        <w:tc>
          <w:tcPr>
            <w:tcW w:w="4926" w:type="pct"/>
            <w:gridSpan w:val="10"/>
            <w:tcBorders>
              <w:top w:val="nil"/>
              <w:left w:val="nil"/>
              <w:bottom w:val="nil"/>
              <w:right w:val="nil"/>
            </w:tcBorders>
            <w:shd w:val="clear" w:color="auto" w:fill="auto"/>
            <w:noWrap/>
            <w:vAlign w:val="bottom"/>
            <w:hideMark/>
          </w:tcPr>
          <w:p>
            <w:pPr>
              <w:spacing w:after="0" w:line="240" w:lineRule="auto"/>
              <w:ind w:left="-227"/>
              <w:contextualSpacing/>
              <w:jc w:val="right"/>
              <w:rPr>
                <w:rFonts w:ascii="Verdana" w:eastAsia="Times New Roman" w:hAnsi="Verdana"/>
                <w:i/>
                <w:iCs/>
                <w:noProof/>
                <w:color w:val="000000"/>
                <w:sz w:val="12"/>
                <w:szCs w:val="12"/>
              </w:rPr>
            </w:pPr>
            <w:r>
              <w:rPr>
                <w:rFonts w:ascii="Verdana" w:hAnsi="Verdana"/>
                <w:i/>
                <w:noProof/>
                <w:color w:val="000000"/>
                <w:sz w:val="12"/>
              </w:rPr>
              <w:t>En Mio EUR</w:t>
            </w:r>
          </w:p>
        </w:tc>
      </w:tr>
      <w:tr>
        <w:trPr>
          <w:trHeight w:val="952"/>
        </w:trPr>
        <w:tc>
          <w:tcPr>
            <w:tcW w:w="728" w:type="pct"/>
            <w:tcBorders>
              <w:top w:val="single" w:sz="8" w:space="0" w:color="auto"/>
              <w:left w:val="single" w:sz="8" w:space="0" w:color="auto"/>
              <w:bottom w:val="single" w:sz="8" w:space="0" w:color="000000"/>
              <w:right w:val="single" w:sz="8" w:space="0" w:color="auto"/>
            </w:tcBorders>
            <w:shd w:val="clear" w:color="000000" w:fill="99CCFF"/>
            <w:noWrap/>
            <w:vAlign w:val="center"/>
            <w:hideMark/>
          </w:tcPr>
          <w:p>
            <w:pPr>
              <w:spacing w:after="0" w:line="240" w:lineRule="auto"/>
              <w:contextualSpacing/>
              <w:jc w:val="center"/>
              <w:rPr>
                <w:rFonts w:ascii="Verdana" w:eastAsia="Times New Roman" w:hAnsi="Verdana"/>
                <w:b/>
                <w:bCs/>
                <w:noProof/>
                <w:color w:val="000000"/>
                <w:sz w:val="16"/>
                <w:szCs w:val="16"/>
              </w:rPr>
            </w:pPr>
            <w:r>
              <w:rPr>
                <w:rFonts w:ascii="Verdana" w:hAnsi="Verdana"/>
                <w:b/>
                <w:noProof/>
                <w:color w:val="000000"/>
                <w:sz w:val="16"/>
              </w:rPr>
              <w:t>Rubrique du CFP</w:t>
            </w:r>
          </w:p>
        </w:tc>
        <w:tc>
          <w:tcPr>
            <w:tcW w:w="528" w:type="pct"/>
            <w:tcBorders>
              <w:top w:val="single" w:sz="8" w:space="0" w:color="auto"/>
              <w:left w:val="single" w:sz="8" w:space="0" w:color="auto"/>
              <w:bottom w:val="single" w:sz="8" w:space="0" w:color="000000"/>
              <w:right w:val="single" w:sz="8" w:space="0" w:color="auto"/>
            </w:tcBorders>
            <w:shd w:val="clear" w:color="000000" w:fill="99CCFF"/>
            <w:vAlign w:val="center"/>
            <w:hideMark/>
          </w:tcPr>
          <w:p>
            <w:pPr>
              <w:spacing w:after="0" w:line="240" w:lineRule="auto"/>
              <w:contextualSpacing/>
              <w:jc w:val="center"/>
              <w:rPr>
                <w:rFonts w:ascii="Verdana" w:eastAsia="Times New Roman" w:hAnsi="Verdana"/>
                <w:b/>
                <w:bCs/>
                <w:noProof/>
                <w:color w:val="000000"/>
                <w:sz w:val="10"/>
                <w:szCs w:val="10"/>
              </w:rPr>
            </w:pPr>
            <w:r>
              <w:rPr>
                <w:rFonts w:ascii="Verdana" w:hAnsi="Verdana"/>
                <w:b/>
                <w:noProof/>
                <w:color w:val="000000"/>
                <w:sz w:val="10"/>
              </w:rPr>
              <w:t>Total des paiements du budget de l’UE en 2015</w:t>
            </w:r>
          </w:p>
        </w:tc>
        <w:tc>
          <w:tcPr>
            <w:tcW w:w="444" w:type="pct"/>
            <w:tcBorders>
              <w:top w:val="single" w:sz="8" w:space="0" w:color="auto"/>
              <w:left w:val="nil"/>
              <w:bottom w:val="single" w:sz="8" w:space="0" w:color="000000"/>
              <w:right w:val="single" w:sz="4" w:space="0" w:color="auto"/>
            </w:tcBorders>
            <w:shd w:val="clear" w:color="000000" w:fill="99CCFF"/>
          </w:tcPr>
          <w:p>
            <w:pPr>
              <w:spacing w:after="0" w:line="240" w:lineRule="auto"/>
              <w:contextualSpacing/>
              <w:jc w:val="center"/>
              <w:rPr>
                <w:rFonts w:ascii="Verdana" w:eastAsia="Times New Roman" w:hAnsi="Verdana"/>
                <w:b/>
                <w:bCs/>
                <w:noProof/>
                <w:color w:val="000000"/>
                <w:sz w:val="10"/>
                <w:szCs w:val="10"/>
              </w:rPr>
            </w:pPr>
          </w:p>
          <w:p>
            <w:pPr>
              <w:spacing w:after="0" w:line="240" w:lineRule="auto"/>
              <w:contextualSpacing/>
              <w:jc w:val="center"/>
              <w:rPr>
                <w:rFonts w:ascii="Verdana" w:eastAsia="Times New Roman" w:hAnsi="Verdana"/>
                <w:b/>
                <w:bCs/>
                <w:noProof/>
                <w:color w:val="000000"/>
                <w:sz w:val="10"/>
                <w:szCs w:val="10"/>
              </w:rPr>
            </w:pPr>
            <w:r>
              <w:rPr>
                <w:rFonts w:ascii="Verdana" w:hAnsi="Verdana"/>
                <w:b/>
                <w:noProof/>
                <w:color w:val="000000"/>
                <w:sz w:val="10"/>
              </w:rPr>
              <w:t xml:space="preserve">Total des corrections financières </w:t>
            </w:r>
            <w:r>
              <w:rPr>
                <w:rFonts w:ascii="Verdana" w:hAnsi="Verdana"/>
                <w:b/>
                <w:noProof/>
                <w:color w:val="000000"/>
                <w:sz w:val="10"/>
                <w:u w:val="single"/>
              </w:rPr>
              <w:t>confirmées</w:t>
            </w:r>
            <w:r>
              <w:rPr>
                <w:rFonts w:ascii="Verdana" w:hAnsi="Verdana"/>
                <w:b/>
                <w:noProof/>
                <w:color w:val="000000"/>
                <w:sz w:val="10"/>
              </w:rPr>
              <w:t xml:space="preserve"> en 2015</w:t>
            </w:r>
          </w:p>
        </w:tc>
        <w:tc>
          <w:tcPr>
            <w:tcW w:w="444" w:type="pct"/>
            <w:tcBorders>
              <w:top w:val="single" w:sz="8" w:space="0" w:color="auto"/>
              <w:left w:val="single" w:sz="4" w:space="0" w:color="auto"/>
              <w:bottom w:val="single" w:sz="8" w:space="0" w:color="000000"/>
              <w:right w:val="single" w:sz="4" w:space="0" w:color="auto"/>
            </w:tcBorders>
            <w:shd w:val="clear" w:color="000000" w:fill="99CCFF"/>
          </w:tcPr>
          <w:p>
            <w:pPr>
              <w:spacing w:after="0" w:line="240" w:lineRule="auto"/>
              <w:contextualSpacing/>
              <w:jc w:val="center"/>
              <w:rPr>
                <w:rFonts w:ascii="Verdana" w:eastAsia="Times New Roman" w:hAnsi="Verdana"/>
                <w:b/>
                <w:bCs/>
                <w:noProof/>
                <w:color w:val="000000"/>
                <w:sz w:val="10"/>
                <w:szCs w:val="10"/>
              </w:rPr>
            </w:pPr>
          </w:p>
          <w:p>
            <w:pPr>
              <w:spacing w:after="0" w:line="240" w:lineRule="auto"/>
              <w:contextualSpacing/>
              <w:jc w:val="center"/>
              <w:rPr>
                <w:rFonts w:ascii="Verdana" w:eastAsia="Times New Roman" w:hAnsi="Verdana"/>
                <w:b/>
                <w:bCs/>
                <w:noProof/>
                <w:color w:val="000000"/>
                <w:sz w:val="10"/>
                <w:szCs w:val="10"/>
              </w:rPr>
            </w:pPr>
            <w:r>
              <w:rPr>
                <w:rFonts w:ascii="Verdana" w:hAnsi="Verdana"/>
                <w:b/>
                <w:noProof/>
                <w:color w:val="000000"/>
                <w:sz w:val="10"/>
              </w:rPr>
              <w:t xml:space="preserve">Total des recouvrements </w:t>
            </w:r>
            <w:r>
              <w:rPr>
                <w:rFonts w:ascii="Verdana" w:hAnsi="Verdana"/>
                <w:b/>
                <w:noProof/>
                <w:color w:val="000000"/>
                <w:sz w:val="10"/>
                <w:u w:val="single"/>
              </w:rPr>
              <w:t>confirmés</w:t>
            </w:r>
            <w:r>
              <w:rPr>
                <w:rFonts w:ascii="Verdana" w:hAnsi="Verdana"/>
                <w:b/>
                <w:noProof/>
                <w:color w:val="000000"/>
                <w:sz w:val="10"/>
              </w:rPr>
              <w:t xml:space="preserve"> en 2015</w:t>
            </w:r>
          </w:p>
        </w:tc>
        <w:tc>
          <w:tcPr>
            <w:tcW w:w="444" w:type="pct"/>
            <w:tcBorders>
              <w:top w:val="single" w:sz="8" w:space="0" w:color="auto"/>
              <w:left w:val="single" w:sz="4" w:space="0" w:color="auto"/>
              <w:bottom w:val="single" w:sz="8" w:space="0" w:color="000000"/>
              <w:right w:val="single" w:sz="4" w:space="0" w:color="auto"/>
            </w:tcBorders>
            <w:shd w:val="clear" w:color="000000" w:fill="99CCFF"/>
          </w:tcPr>
          <w:p>
            <w:pPr>
              <w:spacing w:after="0" w:line="240" w:lineRule="auto"/>
              <w:contextualSpacing/>
              <w:jc w:val="center"/>
              <w:rPr>
                <w:rFonts w:ascii="Verdana" w:eastAsia="Times New Roman" w:hAnsi="Verdana"/>
                <w:b/>
                <w:bCs/>
                <w:noProof/>
                <w:color w:val="000000"/>
                <w:sz w:val="10"/>
                <w:szCs w:val="10"/>
              </w:rPr>
            </w:pPr>
            <w:r>
              <w:rPr>
                <w:rFonts w:ascii="Verdana" w:hAnsi="Verdana"/>
                <w:b/>
                <w:noProof/>
                <w:color w:val="000000"/>
                <w:sz w:val="10"/>
              </w:rPr>
              <w:t xml:space="preserve">Total des corrections financières et recouvrements </w:t>
            </w:r>
            <w:r>
              <w:rPr>
                <w:rFonts w:ascii="Verdana" w:hAnsi="Verdana"/>
                <w:b/>
                <w:noProof/>
                <w:color w:val="000000"/>
                <w:sz w:val="10"/>
                <w:u w:val="single"/>
              </w:rPr>
              <w:t>confirmés</w:t>
            </w:r>
            <w:r>
              <w:rPr>
                <w:rFonts w:ascii="Verdana" w:hAnsi="Verdana"/>
                <w:b/>
                <w:noProof/>
                <w:color w:val="000000"/>
                <w:sz w:val="10"/>
              </w:rPr>
              <w:t xml:space="preserve"> en 2015</w:t>
            </w:r>
          </w:p>
        </w:tc>
        <w:tc>
          <w:tcPr>
            <w:tcW w:w="443" w:type="pct"/>
            <w:tcBorders>
              <w:top w:val="single" w:sz="8" w:space="0" w:color="auto"/>
              <w:left w:val="single" w:sz="4" w:space="0" w:color="auto"/>
              <w:bottom w:val="single" w:sz="8" w:space="0" w:color="000000"/>
              <w:right w:val="single" w:sz="8" w:space="0" w:color="auto"/>
            </w:tcBorders>
            <w:shd w:val="clear" w:color="000000" w:fill="99CCFF"/>
            <w:vAlign w:val="center"/>
            <w:hideMark/>
          </w:tcPr>
          <w:p>
            <w:pPr>
              <w:spacing w:after="0" w:line="240" w:lineRule="auto"/>
              <w:contextualSpacing/>
              <w:jc w:val="center"/>
              <w:rPr>
                <w:rFonts w:ascii="Verdana" w:eastAsia="Times New Roman" w:hAnsi="Verdana"/>
                <w:b/>
                <w:bCs/>
                <w:noProof/>
                <w:color w:val="000000"/>
                <w:sz w:val="10"/>
                <w:szCs w:val="10"/>
              </w:rPr>
            </w:pPr>
            <w:r>
              <w:rPr>
                <w:rFonts w:ascii="Verdana" w:hAnsi="Verdana"/>
                <w:b/>
                <w:noProof/>
                <w:color w:val="000000"/>
                <w:sz w:val="10"/>
              </w:rPr>
              <w:t>% des paiements du budget de l’UE</w:t>
            </w:r>
          </w:p>
        </w:tc>
        <w:tc>
          <w:tcPr>
            <w:tcW w:w="527" w:type="pct"/>
            <w:tcBorders>
              <w:top w:val="single" w:sz="8" w:space="0" w:color="auto"/>
              <w:left w:val="single" w:sz="8" w:space="0" w:color="auto"/>
              <w:bottom w:val="single" w:sz="8" w:space="0" w:color="auto"/>
              <w:right w:val="single" w:sz="4" w:space="0" w:color="auto"/>
            </w:tcBorders>
            <w:shd w:val="clear" w:color="000000" w:fill="99CCFF"/>
            <w:vAlign w:val="center"/>
            <w:hideMark/>
          </w:tcPr>
          <w:p>
            <w:pPr>
              <w:spacing w:after="0" w:line="240" w:lineRule="auto"/>
              <w:contextualSpacing/>
              <w:jc w:val="center"/>
              <w:rPr>
                <w:rFonts w:ascii="Verdana" w:eastAsia="Times New Roman" w:hAnsi="Verdana"/>
                <w:b/>
                <w:bCs/>
                <w:noProof/>
                <w:color w:val="000000"/>
                <w:sz w:val="10"/>
                <w:szCs w:val="10"/>
              </w:rPr>
            </w:pPr>
            <w:r>
              <w:rPr>
                <w:rFonts w:ascii="Verdana" w:hAnsi="Verdana"/>
                <w:b/>
                <w:noProof/>
                <w:color w:val="000000"/>
                <w:sz w:val="10"/>
              </w:rPr>
              <w:t xml:space="preserve">Total des corrections financières </w:t>
            </w:r>
            <w:r>
              <w:rPr>
                <w:rFonts w:ascii="Verdana" w:hAnsi="Verdana"/>
                <w:b/>
                <w:noProof/>
                <w:color w:val="000000"/>
                <w:sz w:val="10"/>
                <w:u w:val="single"/>
              </w:rPr>
              <w:t>exécutées</w:t>
            </w:r>
            <w:r>
              <w:rPr>
                <w:rFonts w:ascii="Verdana" w:hAnsi="Verdana"/>
                <w:b/>
                <w:noProof/>
                <w:color w:val="000000"/>
                <w:sz w:val="10"/>
              </w:rPr>
              <w:t xml:space="preserve"> en 2015</w:t>
            </w:r>
          </w:p>
        </w:tc>
        <w:tc>
          <w:tcPr>
            <w:tcW w:w="518" w:type="pct"/>
            <w:tcBorders>
              <w:top w:val="single" w:sz="8" w:space="0" w:color="auto"/>
              <w:left w:val="single" w:sz="4" w:space="0" w:color="auto"/>
              <w:bottom w:val="single" w:sz="8" w:space="0" w:color="auto"/>
              <w:right w:val="single" w:sz="4" w:space="0" w:color="auto"/>
            </w:tcBorders>
            <w:shd w:val="clear" w:color="000000" w:fill="99CCFF"/>
            <w:vAlign w:val="center"/>
            <w:hideMark/>
          </w:tcPr>
          <w:p>
            <w:pPr>
              <w:spacing w:after="0" w:line="240" w:lineRule="auto"/>
              <w:contextualSpacing/>
              <w:jc w:val="center"/>
              <w:rPr>
                <w:rFonts w:ascii="Verdana" w:eastAsia="Times New Roman" w:hAnsi="Verdana"/>
                <w:b/>
                <w:bCs/>
                <w:noProof/>
                <w:color w:val="000000"/>
                <w:sz w:val="10"/>
                <w:szCs w:val="10"/>
              </w:rPr>
            </w:pPr>
            <w:r>
              <w:rPr>
                <w:rFonts w:ascii="Verdana" w:hAnsi="Verdana"/>
                <w:b/>
                <w:noProof/>
                <w:color w:val="000000"/>
                <w:sz w:val="10"/>
              </w:rPr>
              <w:t xml:space="preserve">Total des recouvrements </w:t>
            </w:r>
            <w:r>
              <w:rPr>
                <w:rFonts w:ascii="Verdana" w:hAnsi="Verdana"/>
                <w:b/>
                <w:noProof/>
                <w:color w:val="000000"/>
                <w:sz w:val="10"/>
                <w:u w:val="single"/>
              </w:rPr>
              <w:t>exécutés</w:t>
            </w:r>
            <w:r>
              <w:rPr>
                <w:rFonts w:ascii="Verdana" w:hAnsi="Verdana"/>
                <w:b/>
                <w:noProof/>
                <w:color w:val="000000"/>
                <w:sz w:val="10"/>
              </w:rPr>
              <w:t xml:space="preserve"> en 2015</w:t>
            </w:r>
          </w:p>
        </w:tc>
        <w:tc>
          <w:tcPr>
            <w:tcW w:w="518" w:type="pct"/>
            <w:tcBorders>
              <w:top w:val="single" w:sz="8" w:space="0" w:color="auto"/>
              <w:left w:val="single" w:sz="4" w:space="0" w:color="auto"/>
              <w:bottom w:val="single" w:sz="8" w:space="0" w:color="auto"/>
              <w:right w:val="single" w:sz="4" w:space="0" w:color="auto"/>
            </w:tcBorders>
            <w:shd w:val="clear" w:color="000000" w:fill="99CCFF"/>
            <w:vAlign w:val="center"/>
            <w:hideMark/>
          </w:tcPr>
          <w:p>
            <w:pPr>
              <w:spacing w:after="0" w:line="240" w:lineRule="auto"/>
              <w:contextualSpacing/>
              <w:jc w:val="center"/>
              <w:rPr>
                <w:rFonts w:ascii="Verdana" w:eastAsia="Times New Roman" w:hAnsi="Verdana"/>
                <w:b/>
                <w:bCs/>
                <w:noProof/>
                <w:color w:val="000000"/>
                <w:sz w:val="10"/>
                <w:szCs w:val="10"/>
              </w:rPr>
            </w:pPr>
            <w:r>
              <w:rPr>
                <w:rFonts w:ascii="Verdana" w:hAnsi="Verdana"/>
                <w:b/>
                <w:noProof/>
                <w:color w:val="000000"/>
                <w:sz w:val="10"/>
              </w:rPr>
              <w:t xml:space="preserve">Total des corrections financières et recouvrements </w:t>
            </w:r>
            <w:r>
              <w:rPr>
                <w:rFonts w:ascii="Verdana" w:hAnsi="Verdana"/>
                <w:b/>
                <w:noProof/>
                <w:color w:val="000000"/>
                <w:sz w:val="10"/>
                <w:u w:val="single"/>
              </w:rPr>
              <w:t>exécutés</w:t>
            </w:r>
            <w:r>
              <w:rPr>
                <w:rFonts w:ascii="Verdana" w:hAnsi="Verdana"/>
                <w:b/>
                <w:noProof/>
                <w:color w:val="000000"/>
                <w:sz w:val="10"/>
              </w:rPr>
              <w:t xml:space="preserve"> en 2015</w:t>
            </w:r>
          </w:p>
        </w:tc>
        <w:tc>
          <w:tcPr>
            <w:tcW w:w="407" w:type="pct"/>
            <w:gridSpan w:val="2"/>
            <w:tcBorders>
              <w:top w:val="single" w:sz="8" w:space="0" w:color="auto"/>
              <w:left w:val="single" w:sz="4" w:space="0" w:color="auto"/>
              <w:bottom w:val="single" w:sz="8" w:space="0" w:color="auto"/>
              <w:right w:val="single" w:sz="8" w:space="0" w:color="auto"/>
            </w:tcBorders>
            <w:shd w:val="clear" w:color="000000" w:fill="99CCFF"/>
            <w:vAlign w:val="center"/>
            <w:hideMark/>
          </w:tcPr>
          <w:p>
            <w:pPr>
              <w:spacing w:after="0" w:line="240" w:lineRule="auto"/>
              <w:contextualSpacing/>
              <w:jc w:val="center"/>
              <w:rPr>
                <w:rFonts w:ascii="Verdana" w:eastAsia="Times New Roman" w:hAnsi="Verdana"/>
                <w:b/>
                <w:bCs/>
                <w:noProof/>
                <w:color w:val="000000"/>
                <w:sz w:val="10"/>
                <w:szCs w:val="10"/>
              </w:rPr>
            </w:pPr>
            <w:r>
              <w:rPr>
                <w:rFonts w:ascii="Verdana" w:hAnsi="Verdana"/>
                <w:b/>
                <w:noProof/>
                <w:color w:val="000000"/>
                <w:sz w:val="10"/>
              </w:rPr>
              <w:t>% des paiements du budget de l’UE</w:t>
            </w:r>
          </w:p>
        </w:tc>
      </w:tr>
      <w:tr>
        <w:trPr>
          <w:trHeight w:val="329"/>
        </w:trPr>
        <w:tc>
          <w:tcPr>
            <w:tcW w:w="728" w:type="pct"/>
            <w:tcBorders>
              <w:top w:val="nil"/>
              <w:left w:val="single" w:sz="8" w:space="0" w:color="auto"/>
              <w:bottom w:val="single" w:sz="4" w:space="0" w:color="auto"/>
              <w:right w:val="single" w:sz="8" w:space="0" w:color="auto"/>
            </w:tcBorders>
            <w:shd w:val="clear" w:color="000000" w:fill="D9D9D9"/>
            <w:noWrap/>
            <w:vAlign w:val="center"/>
            <w:hideMark/>
          </w:tcPr>
          <w:p>
            <w:pPr>
              <w:spacing w:after="0" w:line="240" w:lineRule="auto"/>
              <w:contextualSpacing/>
              <w:rPr>
                <w:rFonts w:ascii="Verdana" w:eastAsia="Times New Roman" w:hAnsi="Verdana"/>
                <w:b/>
                <w:bCs/>
                <w:i/>
                <w:iCs/>
                <w:noProof/>
                <w:color w:val="000000"/>
                <w:sz w:val="12"/>
                <w:szCs w:val="12"/>
              </w:rPr>
            </w:pPr>
            <w:r>
              <w:rPr>
                <w:rFonts w:ascii="Verdana" w:hAnsi="Verdana"/>
                <w:b/>
                <w:i/>
                <w:noProof/>
                <w:color w:val="000000"/>
                <w:sz w:val="12"/>
              </w:rPr>
              <w:t>Croissance intelligente et inclusive</w:t>
            </w:r>
          </w:p>
        </w:tc>
        <w:tc>
          <w:tcPr>
            <w:tcW w:w="528" w:type="pct"/>
            <w:tcBorders>
              <w:top w:val="single" w:sz="8" w:space="0" w:color="000000"/>
              <w:left w:val="nil"/>
              <w:bottom w:val="single" w:sz="4" w:space="0" w:color="auto"/>
              <w:right w:val="single" w:sz="8" w:space="0" w:color="auto"/>
            </w:tcBorders>
            <w:shd w:val="clear" w:color="000000" w:fill="D9D9D9"/>
            <w:vAlign w:val="center"/>
          </w:tcPr>
          <w:p>
            <w:pPr>
              <w:spacing w:after="0" w:line="240" w:lineRule="auto"/>
              <w:contextualSpacing/>
              <w:jc w:val="right"/>
              <w:rPr>
                <w:rFonts w:ascii="Verdana" w:eastAsia="Times New Roman" w:hAnsi="Verdana"/>
                <w:b/>
                <w:i/>
                <w:iCs/>
                <w:noProof/>
                <w:color w:val="000000"/>
                <w:sz w:val="12"/>
                <w:szCs w:val="12"/>
              </w:rPr>
            </w:pPr>
            <w:r>
              <w:rPr>
                <w:rFonts w:ascii="Verdana" w:hAnsi="Verdana"/>
                <w:b/>
                <w:i/>
                <w:noProof/>
                <w:color w:val="000000"/>
                <w:sz w:val="14"/>
              </w:rPr>
              <w:t>68 009</w:t>
            </w:r>
          </w:p>
        </w:tc>
        <w:tc>
          <w:tcPr>
            <w:tcW w:w="444" w:type="pct"/>
            <w:tcBorders>
              <w:top w:val="nil"/>
              <w:left w:val="single" w:sz="8"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color w:val="000000"/>
                <w:sz w:val="14"/>
              </w:rPr>
              <w:t>1 637</w:t>
            </w:r>
          </w:p>
        </w:tc>
        <w:tc>
          <w:tcPr>
            <w:tcW w:w="444" w:type="pct"/>
            <w:tcBorders>
              <w:top w:val="nil"/>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i/>
                <w:iCs/>
                <w:noProof/>
                <w:color w:val="000000"/>
                <w:sz w:val="12"/>
                <w:szCs w:val="12"/>
              </w:rPr>
            </w:pPr>
            <w:r>
              <w:rPr>
                <w:rFonts w:ascii="Verdana" w:hAnsi="Verdana"/>
                <w:b/>
                <w:i/>
                <w:noProof/>
                <w:color w:val="000000"/>
                <w:sz w:val="14"/>
              </w:rPr>
              <w:t>254</w:t>
            </w:r>
          </w:p>
        </w:tc>
        <w:tc>
          <w:tcPr>
            <w:tcW w:w="444" w:type="pct"/>
            <w:tcBorders>
              <w:top w:val="nil"/>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i/>
                <w:iCs/>
                <w:noProof/>
                <w:color w:val="000000"/>
                <w:sz w:val="12"/>
                <w:szCs w:val="12"/>
              </w:rPr>
            </w:pPr>
            <w:r>
              <w:rPr>
                <w:rFonts w:ascii="Verdana" w:hAnsi="Verdana"/>
                <w:b/>
                <w:i/>
                <w:noProof/>
                <w:color w:val="000000"/>
                <w:sz w:val="14"/>
              </w:rPr>
              <w:t>1 892</w:t>
            </w:r>
          </w:p>
        </w:tc>
        <w:tc>
          <w:tcPr>
            <w:tcW w:w="443" w:type="pct"/>
            <w:tcBorders>
              <w:top w:val="nil"/>
              <w:left w:val="single" w:sz="4" w:space="0" w:color="auto"/>
              <w:bottom w:val="single" w:sz="4" w:space="0" w:color="auto"/>
              <w:right w:val="single" w:sz="8" w:space="0" w:color="auto"/>
            </w:tcBorders>
            <w:shd w:val="clear" w:color="000000" w:fill="D9D9D9"/>
            <w:vAlign w:val="center"/>
          </w:tcPr>
          <w:p>
            <w:pPr>
              <w:spacing w:after="0" w:line="240" w:lineRule="auto"/>
              <w:contextualSpacing/>
              <w:jc w:val="right"/>
              <w:rPr>
                <w:rFonts w:ascii="Verdana" w:eastAsia="Times New Roman" w:hAnsi="Verdana"/>
                <w:b/>
                <w:i/>
                <w:iCs/>
                <w:noProof/>
                <w:color w:val="000000"/>
                <w:sz w:val="12"/>
                <w:szCs w:val="12"/>
              </w:rPr>
            </w:pPr>
            <w:r>
              <w:rPr>
                <w:rFonts w:ascii="Verdana" w:hAnsi="Verdana"/>
                <w:b/>
                <w:i/>
                <w:noProof/>
                <w:color w:val="000000"/>
                <w:sz w:val="14"/>
              </w:rPr>
              <w:t>2,8 %</w:t>
            </w:r>
          </w:p>
        </w:tc>
        <w:tc>
          <w:tcPr>
            <w:tcW w:w="527" w:type="pct"/>
            <w:tcBorders>
              <w:top w:val="single" w:sz="8" w:space="0" w:color="auto"/>
              <w:left w:val="single" w:sz="8"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color w:val="000000"/>
                <w:sz w:val="14"/>
              </w:rPr>
              <w:t>1 766</w:t>
            </w:r>
          </w:p>
        </w:tc>
        <w:tc>
          <w:tcPr>
            <w:tcW w:w="518" w:type="pct"/>
            <w:tcBorders>
              <w:top w:val="single" w:sz="8"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Cs/>
                <w:noProof/>
                <w:color w:val="000000"/>
                <w:sz w:val="12"/>
                <w:szCs w:val="12"/>
              </w:rPr>
            </w:pPr>
            <w:r>
              <w:rPr>
                <w:rFonts w:ascii="Verdana" w:hAnsi="Verdana"/>
                <w:b/>
                <w:i/>
                <w:noProof/>
                <w:color w:val="000000"/>
                <w:sz w:val="14"/>
              </w:rPr>
              <w:t>246</w:t>
            </w:r>
          </w:p>
        </w:tc>
        <w:tc>
          <w:tcPr>
            <w:tcW w:w="518" w:type="pct"/>
            <w:tcBorders>
              <w:top w:val="single" w:sz="8"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i/>
                <w:iCs/>
                <w:noProof/>
                <w:color w:val="000000"/>
                <w:sz w:val="12"/>
                <w:szCs w:val="12"/>
              </w:rPr>
            </w:pPr>
            <w:r>
              <w:rPr>
                <w:rFonts w:ascii="Verdana" w:hAnsi="Verdana"/>
                <w:b/>
                <w:i/>
                <w:noProof/>
                <w:color w:val="000000"/>
                <w:sz w:val="14"/>
              </w:rPr>
              <w:t>2 013</w:t>
            </w:r>
          </w:p>
        </w:tc>
        <w:tc>
          <w:tcPr>
            <w:tcW w:w="407" w:type="pct"/>
            <w:gridSpan w:val="2"/>
            <w:tcBorders>
              <w:top w:val="single" w:sz="8" w:space="0" w:color="auto"/>
              <w:left w:val="single" w:sz="4" w:space="0" w:color="auto"/>
              <w:bottom w:val="single" w:sz="4" w:space="0" w:color="auto"/>
              <w:right w:val="single" w:sz="8" w:space="0" w:color="auto"/>
            </w:tcBorders>
            <w:shd w:val="clear" w:color="000000" w:fill="D9D9D9"/>
            <w:vAlign w:val="center"/>
          </w:tcPr>
          <w:p>
            <w:pPr>
              <w:spacing w:after="0" w:line="240" w:lineRule="auto"/>
              <w:contextualSpacing/>
              <w:jc w:val="right"/>
              <w:rPr>
                <w:rFonts w:ascii="Verdana" w:eastAsia="Times New Roman" w:hAnsi="Verdana"/>
                <w:b/>
                <w:i/>
                <w:iCs/>
                <w:noProof/>
                <w:color w:val="000000"/>
                <w:sz w:val="12"/>
                <w:szCs w:val="12"/>
              </w:rPr>
            </w:pPr>
            <w:r>
              <w:rPr>
                <w:rFonts w:ascii="Verdana" w:hAnsi="Verdana"/>
                <w:b/>
                <w:i/>
                <w:noProof/>
                <w:color w:val="000000"/>
                <w:sz w:val="14"/>
              </w:rPr>
              <w:t>3,0 %</w:t>
            </w:r>
          </w:p>
        </w:tc>
      </w:tr>
      <w:tr>
        <w:trPr>
          <w:trHeight w:val="174"/>
        </w:trPr>
        <w:tc>
          <w:tcPr>
            <w:tcW w:w="728" w:type="pct"/>
            <w:tcBorders>
              <w:top w:val="nil"/>
              <w:left w:val="single" w:sz="8" w:space="0" w:color="auto"/>
              <w:bottom w:val="nil"/>
              <w:right w:val="single" w:sz="8" w:space="0" w:color="auto"/>
            </w:tcBorders>
            <w:shd w:val="clear" w:color="auto" w:fill="auto"/>
            <w:noWrap/>
            <w:vAlign w:val="center"/>
          </w:tcPr>
          <w:p>
            <w:pPr>
              <w:spacing w:after="0" w:line="240" w:lineRule="auto"/>
              <w:contextualSpacing/>
              <w:jc w:val="both"/>
              <w:rPr>
                <w:rFonts w:ascii="Verdana" w:eastAsia="Times New Roman" w:hAnsi="Verdana"/>
                <w:i/>
                <w:iCs/>
                <w:noProof/>
                <w:color w:val="000000"/>
                <w:sz w:val="12"/>
                <w:szCs w:val="12"/>
              </w:rPr>
            </w:pPr>
            <w:r>
              <w:rPr>
                <w:rFonts w:ascii="Verdana" w:hAnsi="Verdana"/>
                <w:i/>
                <w:noProof/>
                <w:color w:val="000000"/>
                <w:sz w:val="12"/>
              </w:rPr>
              <w:t>FEDER</w:t>
            </w:r>
          </w:p>
        </w:tc>
        <w:tc>
          <w:tcPr>
            <w:tcW w:w="528" w:type="pct"/>
            <w:tcBorders>
              <w:top w:val="nil"/>
              <w:left w:val="nil"/>
              <w:right w:val="single" w:sz="8" w:space="0" w:color="auto"/>
            </w:tcBorders>
            <w:shd w:val="clear" w:color="auto" w:fill="auto"/>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28 363</w:t>
            </w:r>
          </w:p>
        </w:tc>
        <w:tc>
          <w:tcPr>
            <w:tcW w:w="444" w:type="pct"/>
            <w:tcBorders>
              <w:top w:val="single" w:sz="4" w:space="0" w:color="auto"/>
              <w:left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826</w:t>
            </w:r>
          </w:p>
        </w:tc>
        <w:tc>
          <w:tcPr>
            <w:tcW w:w="444" w:type="pct"/>
            <w:tcBorders>
              <w:top w:val="single" w:sz="4" w:space="0" w:color="auto"/>
              <w:left w:val="single" w:sz="4" w:space="0" w:color="auto"/>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w:t>
            </w:r>
          </w:p>
        </w:tc>
        <w:tc>
          <w:tcPr>
            <w:tcW w:w="444" w:type="pct"/>
            <w:tcBorders>
              <w:top w:val="single" w:sz="4" w:space="0" w:color="auto"/>
              <w:left w:val="single" w:sz="4" w:space="0" w:color="auto"/>
              <w:right w:val="single" w:sz="4" w:space="0" w:color="auto"/>
            </w:tcBorders>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color w:val="000000"/>
                <w:sz w:val="14"/>
              </w:rPr>
              <w:t xml:space="preserve"> 826</w:t>
            </w:r>
          </w:p>
        </w:tc>
        <w:tc>
          <w:tcPr>
            <w:tcW w:w="443" w:type="pct"/>
            <w:tcBorders>
              <w:top w:val="single" w:sz="4" w:space="0" w:color="auto"/>
              <w:left w:val="single" w:sz="4" w:space="0" w:color="auto"/>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color w:val="000000"/>
                <w:sz w:val="14"/>
              </w:rPr>
              <w:t>2,9 %</w:t>
            </w:r>
          </w:p>
        </w:tc>
        <w:tc>
          <w:tcPr>
            <w:tcW w:w="527" w:type="pct"/>
            <w:tcBorders>
              <w:top w:val="single" w:sz="4" w:space="0" w:color="auto"/>
              <w:left w:val="single" w:sz="8" w:space="0" w:color="auto"/>
              <w:right w:val="single" w:sz="4" w:space="0" w:color="auto"/>
            </w:tcBorders>
            <w:shd w:val="clear" w:color="000000" w:fill="auto"/>
            <w:vAlign w:val="center"/>
          </w:tcPr>
          <w:p>
            <w:pPr>
              <w:spacing w:after="0" w:line="240" w:lineRule="auto"/>
              <w:contextualSpacing/>
              <w:jc w:val="right"/>
              <w:rPr>
                <w:rFonts w:ascii="Verdana" w:eastAsia="Times New Roman" w:hAnsi="Verdana"/>
                <w:bCs/>
                <w:noProof/>
                <w:color w:val="000000"/>
                <w:sz w:val="12"/>
                <w:szCs w:val="12"/>
              </w:rPr>
            </w:pPr>
            <w:r>
              <w:rPr>
                <w:rFonts w:ascii="Verdana" w:hAnsi="Verdana"/>
                <w:noProof/>
                <w:color w:val="000000"/>
                <w:sz w:val="14"/>
              </w:rPr>
              <w:t xml:space="preserve"> 774</w:t>
            </w:r>
          </w:p>
        </w:tc>
        <w:tc>
          <w:tcPr>
            <w:tcW w:w="518" w:type="pct"/>
            <w:tcBorders>
              <w:top w:val="single" w:sz="4" w:space="0" w:color="auto"/>
              <w:left w:val="single" w:sz="4" w:space="0" w:color="auto"/>
              <w:right w:val="single" w:sz="4" w:space="0" w:color="auto"/>
            </w:tcBorders>
            <w:shd w:val="clear" w:color="auto" w:fill="auto"/>
            <w:vAlign w:val="center"/>
          </w:tcPr>
          <w:p>
            <w:pPr>
              <w:spacing w:after="0" w:line="240" w:lineRule="auto"/>
              <w:contextualSpacing/>
              <w:jc w:val="right"/>
              <w:rPr>
                <w:rFonts w:ascii="Verdana" w:eastAsia="Times New Roman" w:hAnsi="Verdana"/>
                <w:iCs/>
                <w:noProof/>
                <w:color w:val="000000"/>
                <w:sz w:val="12"/>
                <w:szCs w:val="12"/>
              </w:rPr>
            </w:pPr>
            <w:r>
              <w:rPr>
                <w:rFonts w:ascii="Verdana" w:hAnsi="Verdana"/>
                <w:noProof/>
                <w:color w:val="000000"/>
                <w:sz w:val="14"/>
              </w:rPr>
              <w:t>—</w:t>
            </w:r>
          </w:p>
        </w:tc>
        <w:tc>
          <w:tcPr>
            <w:tcW w:w="518" w:type="pct"/>
            <w:tcBorders>
              <w:top w:val="single" w:sz="4" w:space="0" w:color="auto"/>
              <w:left w:val="single" w:sz="4" w:space="0" w:color="auto"/>
              <w:right w:val="single" w:sz="4" w:space="0" w:color="auto"/>
            </w:tcBorders>
            <w:shd w:val="clear" w:color="000000" w:fill="auto"/>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color w:val="000000"/>
                <w:sz w:val="14"/>
              </w:rPr>
              <w:t xml:space="preserve"> 774</w:t>
            </w:r>
          </w:p>
        </w:tc>
        <w:tc>
          <w:tcPr>
            <w:tcW w:w="407" w:type="pct"/>
            <w:gridSpan w:val="2"/>
            <w:tcBorders>
              <w:top w:val="single" w:sz="4" w:space="0" w:color="auto"/>
              <w:left w:val="single" w:sz="4" w:space="0" w:color="auto"/>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color w:val="000000"/>
                <w:sz w:val="14"/>
              </w:rPr>
              <w:t>2,7 %</w:t>
            </w:r>
          </w:p>
        </w:tc>
      </w:tr>
      <w:tr>
        <w:trPr>
          <w:trHeight w:val="174"/>
        </w:trPr>
        <w:tc>
          <w:tcPr>
            <w:tcW w:w="728" w:type="pct"/>
            <w:tcBorders>
              <w:top w:val="nil"/>
              <w:left w:val="single" w:sz="8" w:space="0" w:color="auto"/>
              <w:bottom w:val="nil"/>
              <w:right w:val="single" w:sz="8" w:space="0" w:color="auto"/>
            </w:tcBorders>
            <w:shd w:val="clear" w:color="auto" w:fill="auto"/>
            <w:noWrap/>
            <w:vAlign w:val="center"/>
          </w:tcPr>
          <w:p>
            <w:pPr>
              <w:spacing w:after="0" w:line="240" w:lineRule="auto"/>
              <w:contextualSpacing/>
              <w:jc w:val="both"/>
              <w:rPr>
                <w:rFonts w:ascii="Verdana" w:eastAsia="Times New Roman" w:hAnsi="Verdana"/>
                <w:i/>
                <w:iCs/>
                <w:noProof/>
                <w:color w:val="000000"/>
                <w:sz w:val="12"/>
                <w:szCs w:val="12"/>
              </w:rPr>
            </w:pPr>
            <w:r>
              <w:rPr>
                <w:rFonts w:ascii="Verdana" w:hAnsi="Verdana"/>
                <w:i/>
                <w:noProof/>
                <w:color w:val="000000"/>
                <w:sz w:val="12"/>
              </w:rPr>
              <w:t>Fonds de cohésion</w:t>
            </w:r>
          </w:p>
        </w:tc>
        <w:tc>
          <w:tcPr>
            <w:tcW w:w="528" w:type="pct"/>
            <w:tcBorders>
              <w:top w:val="nil"/>
              <w:left w:val="nil"/>
              <w:right w:val="single" w:sz="8" w:space="0" w:color="auto"/>
            </w:tcBorders>
            <w:shd w:val="clear" w:color="auto" w:fill="auto"/>
            <w:vAlign w:val="bottom"/>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12 098</w:t>
            </w:r>
          </w:p>
        </w:tc>
        <w:tc>
          <w:tcPr>
            <w:tcW w:w="444" w:type="pct"/>
            <w:tcBorders>
              <w:top w:val="nil"/>
              <w:left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462</w:t>
            </w:r>
          </w:p>
        </w:tc>
        <w:tc>
          <w:tcPr>
            <w:tcW w:w="444" w:type="pct"/>
            <w:tcBorders>
              <w:top w:val="nil"/>
              <w:left w:val="single" w:sz="4" w:space="0" w:color="auto"/>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w:t>
            </w:r>
          </w:p>
        </w:tc>
        <w:tc>
          <w:tcPr>
            <w:tcW w:w="444" w:type="pct"/>
            <w:tcBorders>
              <w:top w:val="nil"/>
              <w:left w:val="single" w:sz="4" w:space="0" w:color="auto"/>
              <w:right w:val="single" w:sz="4" w:space="0" w:color="auto"/>
            </w:tcBorders>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color w:val="000000"/>
                <w:sz w:val="14"/>
              </w:rPr>
              <w:t xml:space="preserve"> 462</w:t>
            </w:r>
          </w:p>
        </w:tc>
        <w:tc>
          <w:tcPr>
            <w:tcW w:w="443" w:type="pct"/>
            <w:tcBorders>
              <w:top w:val="nil"/>
              <w:left w:val="single" w:sz="4" w:space="0" w:color="auto"/>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color w:val="000000"/>
                <w:sz w:val="14"/>
              </w:rPr>
              <w:t>3,8 %</w:t>
            </w:r>
          </w:p>
        </w:tc>
        <w:tc>
          <w:tcPr>
            <w:tcW w:w="527" w:type="pct"/>
            <w:tcBorders>
              <w:top w:val="nil"/>
              <w:left w:val="single" w:sz="8" w:space="0" w:color="auto"/>
              <w:right w:val="single" w:sz="4" w:space="0" w:color="auto"/>
            </w:tcBorders>
            <w:shd w:val="clear" w:color="000000" w:fill="auto"/>
            <w:vAlign w:val="center"/>
          </w:tcPr>
          <w:p>
            <w:pPr>
              <w:spacing w:after="0" w:line="240" w:lineRule="auto"/>
              <w:contextualSpacing/>
              <w:jc w:val="right"/>
              <w:rPr>
                <w:rFonts w:ascii="Verdana" w:eastAsia="Times New Roman" w:hAnsi="Verdana"/>
                <w:bCs/>
                <w:noProof/>
                <w:color w:val="000000"/>
                <w:sz w:val="12"/>
                <w:szCs w:val="12"/>
              </w:rPr>
            </w:pPr>
            <w:r>
              <w:rPr>
                <w:rFonts w:ascii="Verdana" w:hAnsi="Verdana"/>
                <w:noProof/>
                <w:color w:val="000000"/>
                <w:sz w:val="14"/>
              </w:rPr>
              <w:t xml:space="preserve"> 585</w:t>
            </w:r>
          </w:p>
        </w:tc>
        <w:tc>
          <w:tcPr>
            <w:tcW w:w="518" w:type="pct"/>
            <w:tcBorders>
              <w:top w:val="nil"/>
              <w:left w:val="single" w:sz="4" w:space="0" w:color="auto"/>
              <w:right w:val="single" w:sz="4" w:space="0" w:color="auto"/>
            </w:tcBorders>
            <w:shd w:val="clear" w:color="auto" w:fill="auto"/>
            <w:vAlign w:val="center"/>
          </w:tcPr>
          <w:p>
            <w:pPr>
              <w:spacing w:after="0" w:line="240" w:lineRule="auto"/>
              <w:contextualSpacing/>
              <w:jc w:val="right"/>
              <w:rPr>
                <w:rFonts w:ascii="Verdana" w:eastAsia="Times New Roman" w:hAnsi="Verdana"/>
                <w:iCs/>
                <w:noProof/>
                <w:color w:val="000000"/>
                <w:sz w:val="12"/>
                <w:szCs w:val="12"/>
              </w:rPr>
            </w:pPr>
            <w:r>
              <w:rPr>
                <w:rFonts w:ascii="Verdana" w:hAnsi="Verdana"/>
                <w:noProof/>
                <w:color w:val="000000"/>
                <w:sz w:val="14"/>
              </w:rPr>
              <w:t xml:space="preserve"> —</w:t>
            </w:r>
          </w:p>
        </w:tc>
        <w:tc>
          <w:tcPr>
            <w:tcW w:w="518" w:type="pct"/>
            <w:tcBorders>
              <w:top w:val="nil"/>
              <w:left w:val="single" w:sz="4" w:space="0" w:color="auto"/>
              <w:right w:val="single" w:sz="4" w:space="0" w:color="auto"/>
            </w:tcBorders>
            <w:shd w:val="clear" w:color="000000" w:fill="auto"/>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color w:val="000000"/>
                <w:sz w:val="14"/>
              </w:rPr>
              <w:t xml:space="preserve"> 585</w:t>
            </w:r>
          </w:p>
        </w:tc>
        <w:tc>
          <w:tcPr>
            <w:tcW w:w="407" w:type="pct"/>
            <w:gridSpan w:val="2"/>
            <w:tcBorders>
              <w:top w:val="nil"/>
              <w:left w:val="single" w:sz="4" w:space="0" w:color="auto"/>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color w:val="000000"/>
                <w:sz w:val="14"/>
              </w:rPr>
              <w:t>4,8 %</w:t>
            </w:r>
          </w:p>
        </w:tc>
      </w:tr>
      <w:tr>
        <w:trPr>
          <w:trHeight w:val="174"/>
        </w:trPr>
        <w:tc>
          <w:tcPr>
            <w:tcW w:w="728" w:type="pct"/>
            <w:tcBorders>
              <w:top w:val="nil"/>
              <w:left w:val="single" w:sz="8" w:space="0" w:color="auto"/>
              <w:bottom w:val="nil"/>
              <w:right w:val="single" w:sz="8" w:space="0" w:color="auto"/>
            </w:tcBorders>
            <w:shd w:val="clear" w:color="auto" w:fill="auto"/>
            <w:noWrap/>
            <w:vAlign w:val="center"/>
          </w:tcPr>
          <w:p>
            <w:pPr>
              <w:spacing w:after="0" w:line="240" w:lineRule="auto"/>
              <w:contextualSpacing/>
              <w:jc w:val="both"/>
              <w:rPr>
                <w:rFonts w:ascii="Verdana" w:eastAsia="Times New Roman" w:hAnsi="Verdana"/>
                <w:i/>
                <w:iCs/>
                <w:noProof/>
                <w:color w:val="000000"/>
                <w:sz w:val="12"/>
                <w:szCs w:val="12"/>
              </w:rPr>
            </w:pPr>
            <w:r>
              <w:rPr>
                <w:rFonts w:ascii="Verdana" w:hAnsi="Verdana"/>
                <w:i/>
                <w:noProof/>
                <w:color w:val="000000"/>
                <w:sz w:val="12"/>
              </w:rPr>
              <w:t>FSE</w:t>
            </w:r>
          </w:p>
        </w:tc>
        <w:tc>
          <w:tcPr>
            <w:tcW w:w="528" w:type="pct"/>
            <w:tcBorders>
              <w:top w:val="nil"/>
              <w:left w:val="nil"/>
              <w:right w:val="single" w:sz="8" w:space="0" w:color="auto"/>
            </w:tcBorders>
            <w:shd w:val="clear" w:color="auto" w:fill="auto"/>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10 277</w:t>
            </w:r>
          </w:p>
        </w:tc>
        <w:tc>
          <w:tcPr>
            <w:tcW w:w="444" w:type="pct"/>
            <w:tcBorders>
              <w:top w:val="nil"/>
              <w:left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348</w:t>
            </w:r>
          </w:p>
        </w:tc>
        <w:tc>
          <w:tcPr>
            <w:tcW w:w="444" w:type="pct"/>
            <w:tcBorders>
              <w:top w:val="nil"/>
              <w:left w:val="single" w:sz="4" w:space="0" w:color="auto"/>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sz w:val="14"/>
              </w:rPr>
              <w:t>1</w:t>
            </w:r>
          </w:p>
        </w:tc>
        <w:tc>
          <w:tcPr>
            <w:tcW w:w="444" w:type="pct"/>
            <w:tcBorders>
              <w:top w:val="nil"/>
              <w:left w:val="single" w:sz="4" w:space="0" w:color="auto"/>
              <w:right w:val="single" w:sz="4" w:space="0" w:color="auto"/>
            </w:tcBorders>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349</w:t>
            </w:r>
          </w:p>
        </w:tc>
        <w:tc>
          <w:tcPr>
            <w:tcW w:w="443" w:type="pct"/>
            <w:tcBorders>
              <w:top w:val="nil"/>
              <w:left w:val="single" w:sz="4" w:space="0" w:color="auto"/>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sz w:val="14"/>
              </w:rPr>
              <w:t>3,4 %</w:t>
            </w:r>
          </w:p>
        </w:tc>
        <w:tc>
          <w:tcPr>
            <w:tcW w:w="527" w:type="pct"/>
            <w:tcBorders>
              <w:top w:val="nil"/>
              <w:left w:val="single" w:sz="8" w:space="0" w:color="auto"/>
              <w:right w:val="single" w:sz="4" w:space="0" w:color="auto"/>
            </w:tcBorders>
            <w:shd w:val="clear" w:color="000000" w:fill="auto"/>
            <w:vAlign w:val="center"/>
          </w:tcPr>
          <w:p>
            <w:pPr>
              <w:spacing w:after="0" w:line="240" w:lineRule="auto"/>
              <w:contextualSpacing/>
              <w:jc w:val="right"/>
              <w:rPr>
                <w:rFonts w:ascii="Verdana" w:eastAsia="Times New Roman" w:hAnsi="Verdana"/>
                <w:bCs/>
                <w:noProof/>
                <w:color w:val="000000"/>
                <w:sz w:val="12"/>
                <w:szCs w:val="12"/>
              </w:rPr>
            </w:pPr>
            <w:r>
              <w:rPr>
                <w:rFonts w:ascii="Verdana" w:hAnsi="Verdana"/>
                <w:noProof/>
                <w:sz w:val="14"/>
              </w:rPr>
              <w:t>407</w:t>
            </w:r>
          </w:p>
        </w:tc>
        <w:tc>
          <w:tcPr>
            <w:tcW w:w="518" w:type="pct"/>
            <w:tcBorders>
              <w:top w:val="nil"/>
              <w:left w:val="single" w:sz="4" w:space="0" w:color="auto"/>
              <w:right w:val="single" w:sz="4" w:space="0" w:color="auto"/>
            </w:tcBorders>
            <w:shd w:val="clear" w:color="auto" w:fill="auto"/>
            <w:vAlign w:val="center"/>
          </w:tcPr>
          <w:p>
            <w:pPr>
              <w:spacing w:after="0" w:line="240" w:lineRule="auto"/>
              <w:contextualSpacing/>
              <w:jc w:val="right"/>
              <w:rPr>
                <w:rFonts w:ascii="Verdana" w:eastAsia="Times New Roman" w:hAnsi="Verdana"/>
                <w:iCs/>
                <w:noProof/>
                <w:color w:val="000000"/>
                <w:sz w:val="12"/>
                <w:szCs w:val="12"/>
              </w:rPr>
            </w:pPr>
            <w:r>
              <w:rPr>
                <w:rFonts w:ascii="Verdana" w:hAnsi="Verdana"/>
                <w:noProof/>
                <w:sz w:val="14"/>
              </w:rPr>
              <w:t>—</w:t>
            </w:r>
          </w:p>
        </w:tc>
        <w:tc>
          <w:tcPr>
            <w:tcW w:w="518" w:type="pct"/>
            <w:tcBorders>
              <w:top w:val="nil"/>
              <w:left w:val="single" w:sz="4" w:space="0" w:color="auto"/>
              <w:right w:val="single" w:sz="4" w:space="0" w:color="auto"/>
            </w:tcBorders>
            <w:shd w:val="clear" w:color="000000" w:fill="auto"/>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 xml:space="preserve"> 407</w:t>
            </w:r>
          </w:p>
        </w:tc>
        <w:tc>
          <w:tcPr>
            <w:tcW w:w="407" w:type="pct"/>
            <w:gridSpan w:val="2"/>
            <w:tcBorders>
              <w:top w:val="nil"/>
              <w:left w:val="single" w:sz="4" w:space="0" w:color="auto"/>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color w:val="000000"/>
                <w:sz w:val="14"/>
              </w:rPr>
              <w:t>4,0 %</w:t>
            </w:r>
          </w:p>
        </w:tc>
      </w:tr>
      <w:tr>
        <w:trPr>
          <w:trHeight w:val="174"/>
        </w:trPr>
        <w:tc>
          <w:tcPr>
            <w:tcW w:w="728" w:type="pct"/>
            <w:tcBorders>
              <w:top w:val="nil"/>
              <w:left w:val="single" w:sz="8" w:space="0" w:color="auto"/>
              <w:bottom w:val="nil"/>
              <w:right w:val="single" w:sz="8" w:space="0" w:color="auto"/>
            </w:tcBorders>
            <w:shd w:val="clear" w:color="auto" w:fill="auto"/>
            <w:noWrap/>
            <w:vAlign w:val="center"/>
          </w:tcPr>
          <w:p>
            <w:pPr>
              <w:spacing w:after="0" w:line="240" w:lineRule="auto"/>
              <w:contextualSpacing/>
              <w:jc w:val="both"/>
              <w:rPr>
                <w:rFonts w:ascii="Verdana" w:eastAsia="Times New Roman" w:hAnsi="Verdana"/>
                <w:i/>
                <w:iCs/>
                <w:noProof/>
                <w:color w:val="000000"/>
                <w:sz w:val="12"/>
                <w:szCs w:val="12"/>
              </w:rPr>
            </w:pPr>
            <w:r>
              <w:rPr>
                <w:rFonts w:ascii="Verdana" w:hAnsi="Verdana"/>
                <w:i/>
                <w:noProof/>
                <w:color w:val="000000"/>
                <w:sz w:val="12"/>
              </w:rPr>
              <w:t>Politiques internes</w:t>
            </w:r>
          </w:p>
        </w:tc>
        <w:tc>
          <w:tcPr>
            <w:tcW w:w="528" w:type="pct"/>
            <w:tcBorders>
              <w:top w:val="nil"/>
              <w:left w:val="nil"/>
              <w:bottom w:val="single" w:sz="4" w:space="0" w:color="auto"/>
              <w:right w:val="single" w:sz="8" w:space="0" w:color="auto"/>
            </w:tcBorders>
            <w:shd w:val="clear" w:color="auto" w:fill="auto"/>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17 271</w:t>
            </w:r>
          </w:p>
        </w:tc>
        <w:tc>
          <w:tcPr>
            <w:tcW w:w="444" w:type="pct"/>
            <w:tcBorders>
              <w:top w:val="nil"/>
              <w:left w:val="nil"/>
              <w:bottom w:val="single" w:sz="4" w:space="0" w:color="auto"/>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sz w:val="14"/>
              </w:rPr>
              <w:t>—</w:t>
            </w:r>
          </w:p>
        </w:tc>
        <w:tc>
          <w:tcPr>
            <w:tcW w:w="444" w:type="pct"/>
            <w:tcBorders>
              <w:top w:val="nil"/>
              <w:left w:val="single" w:sz="4" w:space="0" w:color="auto"/>
              <w:bottom w:val="single" w:sz="4" w:space="0" w:color="auto"/>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sz w:val="14"/>
              </w:rPr>
              <w:t xml:space="preserve"> 254</w:t>
            </w:r>
          </w:p>
        </w:tc>
        <w:tc>
          <w:tcPr>
            <w:tcW w:w="444" w:type="pct"/>
            <w:tcBorders>
              <w:top w:val="nil"/>
              <w:left w:val="single" w:sz="4" w:space="0" w:color="auto"/>
              <w:bottom w:val="single" w:sz="4" w:space="0" w:color="auto"/>
              <w:right w:val="single" w:sz="4" w:space="0" w:color="auto"/>
            </w:tcBorders>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 xml:space="preserve"> 254</w:t>
            </w:r>
          </w:p>
        </w:tc>
        <w:tc>
          <w:tcPr>
            <w:tcW w:w="443" w:type="pct"/>
            <w:tcBorders>
              <w:top w:val="nil"/>
              <w:left w:val="single" w:sz="4" w:space="0" w:color="auto"/>
              <w:bottom w:val="single" w:sz="4" w:space="0" w:color="auto"/>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sz w:val="14"/>
              </w:rPr>
              <w:t>1,5 %</w:t>
            </w:r>
          </w:p>
        </w:tc>
        <w:tc>
          <w:tcPr>
            <w:tcW w:w="527" w:type="pct"/>
            <w:tcBorders>
              <w:top w:val="nil"/>
              <w:left w:val="single" w:sz="8" w:space="0" w:color="auto"/>
              <w:bottom w:val="single" w:sz="4" w:space="0" w:color="auto"/>
              <w:right w:val="single" w:sz="4" w:space="0" w:color="auto"/>
            </w:tcBorders>
            <w:shd w:val="clear" w:color="000000" w:fill="auto"/>
            <w:vAlign w:val="center"/>
          </w:tcPr>
          <w:p>
            <w:pPr>
              <w:spacing w:after="0" w:line="240" w:lineRule="auto"/>
              <w:contextualSpacing/>
              <w:jc w:val="right"/>
              <w:rPr>
                <w:rFonts w:ascii="Verdana" w:eastAsia="Times New Roman" w:hAnsi="Verdana"/>
                <w:bCs/>
                <w:noProof/>
                <w:color w:val="000000"/>
                <w:sz w:val="12"/>
                <w:szCs w:val="12"/>
              </w:rPr>
            </w:pPr>
            <w:r>
              <w:rPr>
                <w:rFonts w:ascii="Verdana" w:hAnsi="Verdana"/>
                <w:noProof/>
                <w:sz w:val="14"/>
              </w:rPr>
              <w:t xml:space="preserve"> —</w:t>
            </w:r>
          </w:p>
        </w:tc>
        <w:tc>
          <w:tcPr>
            <w:tcW w:w="518" w:type="pct"/>
            <w:tcBorders>
              <w:top w:val="nil"/>
              <w:left w:val="single" w:sz="4" w:space="0" w:color="auto"/>
              <w:bottom w:val="single" w:sz="4" w:space="0" w:color="auto"/>
              <w:right w:val="single" w:sz="4" w:space="0" w:color="auto"/>
            </w:tcBorders>
            <w:shd w:val="clear" w:color="auto" w:fill="auto"/>
            <w:vAlign w:val="center"/>
          </w:tcPr>
          <w:p>
            <w:pPr>
              <w:spacing w:after="0" w:line="240" w:lineRule="auto"/>
              <w:contextualSpacing/>
              <w:jc w:val="right"/>
              <w:rPr>
                <w:rFonts w:ascii="Verdana" w:eastAsia="Times New Roman" w:hAnsi="Verdana"/>
                <w:iCs/>
                <w:noProof/>
                <w:color w:val="000000"/>
                <w:sz w:val="12"/>
                <w:szCs w:val="12"/>
              </w:rPr>
            </w:pPr>
            <w:r>
              <w:rPr>
                <w:rFonts w:ascii="Verdana" w:hAnsi="Verdana"/>
                <w:noProof/>
                <w:sz w:val="14"/>
              </w:rPr>
              <w:t xml:space="preserve"> 246</w:t>
            </w:r>
          </w:p>
        </w:tc>
        <w:tc>
          <w:tcPr>
            <w:tcW w:w="518" w:type="pct"/>
            <w:tcBorders>
              <w:top w:val="nil"/>
              <w:left w:val="single" w:sz="4" w:space="0" w:color="auto"/>
              <w:bottom w:val="single" w:sz="4" w:space="0" w:color="auto"/>
              <w:right w:val="single" w:sz="4" w:space="0" w:color="auto"/>
            </w:tcBorders>
            <w:shd w:val="clear" w:color="000000" w:fill="auto"/>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 xml:space="preserve"> 246</w:t>
            </w:r>
          </w:p>
        </w:tc>
        <w:tc>
          <w:tcPr>
            <w:tcW w:w="407" w:type="pct"/>
            <w:gridSpan w:val="2"/>
            <w:tcBorders>
              <w:top w:val="nil"/>
              <w:left w:val="single" w:sz="4" w:space="0" w:color="auto"/>
              <w:bottom w:val="single" w:sz="4" w:space="0" w:color="auto"/>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color w:val="000000"/>
                <w:sz w:val="14"/>
              </w:rPr>
              <w:t>1,4 %</w:t>
            </w:r>
          </w:p>
        </w:tc>
      </w:tr>
      <w:tr>
        <w:trPr>
          <w:trHeight w:val="329"/>
        </w:trPr>
        <w:tc>
          <w:tcPr>
            <w:tcW w:w="728" w:type="pct"/>
            <w:tcBorders>
              <w:top w:val="single" w:sz="4" w:space="0" w:color="auto"/>
              <w:left w:val="single" w:sz="8" w:space="0" w:color="auto"/>
              <w:bottom w:val="single" w:sz="4" w:space="0" w:color="auto"/>
              <w:right w:val="single" w:sz="8" w:space="0" w:color="auto"/>
            </w:tcBorders>
            <w:shd w:val="clear" w:color="000000" w:fill="D9D9D9"/>
            <w:noWrap/>
            <w:vAlign w:val="center"/>
            <w:hideMark/>
          </w:tcPr>
          <w:p>
            <w:pPr>
              <w:spacing w:after="0" w:line="240" w:lineRule="auto"/>
              <w:contextualSpacing/>
              <w:jc w:val="both"/>
              <w:rPr>
                <w:rFonts w:ascii="Verdana" w:eastAsia="Times New Roman" w:hAnsi="Verdana"/>
                <w:b/>
                <w:bCs/>
                <w:i/>
                <w:iCs/>
                <w:noProof/>
                <w:color w:val="000000"/>
                <w:sz w:val="12"/>
                <w:szCs w:val="12"/>
              </w:rPr>
            </w:pPr>
            <w:r>
              <w:rPr>
                <w:rFonts w:ascii="Verdana" w:hAnsi="Verdana"/>
                <w:b/>
                <w:i/>
                <w:noProof/>
                <w:color w:val="000000"/>
                <w:sz w:val="12"/>
              </w:rPr>
              <w:t>Croissance durable: ressources naturelles</w:t>
            </w:r>
          </w:p>
        </w:tc>
        <w:tc>
          <w:tcPr>
            <w:tcW w:w="528" w:type="pct"/>
            <w:tcBorders>
              <w:top w:val="single" w:sz="4" w:space="0" w:color="auto"/>
              <w:left w:val="nil"/>
              <w:bottom w:val="single" w:sz="4" w:space="0" w:color="auto"/>
              <w:right w:val="single" w:sz="8"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color w:val="000000"/>
                <w:sz w:val="14"/>
              </w:rPr>
              <w:t>58 066</w:t>
            </w:r>
          </w:p>
        </w:tc>
        <w:tc>
          <w:tcPr>
            <w:tcW w:w="444" w:type="pct"/>
            <w:tcBorders>
              <w:top w:val="single" w:sz="4" w:space="0" w:color="auto"/>
              <w:left w:val="single" w:sz="8"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color w:val="000000"/>
                <w:sz w:val="14"/>
              </w:rPr>
              <w:t>1 072</w:t>
            </w:r>
          </w:p>
        </w:tc>
        <w:tc>
          <w:tcPr>
            <w:tcW w:w="444" w:type="pct"/>
            <w:tcBorders>
              <w:top w:val="single" w:sz="4"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348</w:t>
            </w:r>
          </w:p>
        </w:tc>
        <w:tc>
          <w:tcPr>
            <w:tcW w:w="444" w:type="pct"/>
            <w:tcBorders>
              <w:top w:val="single" w:sz="4"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1 420</w:t>
            </w:r>
          </w:p>
        </w:tc>
        <w:tc>
          <w:tcPr>
            <w:tcW w:w="443" w:type="pct"/>
            <w:tcBorders>
              <w:top w:val="single" w:sz="4" w:space="0" w:color="auto"/>
              <w:left w:val="single" w:sz="4" w:space="0" w:color="auto"/>
              <w:bottom w:val="single" w:sz="4" w:space="0" w:color="auto"/>
              <w:right w:val="single" w:sz="8"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2,4 %</w:t>
            </w:r>
          </w:p>
        </w:tc>
        <w:tc>
          <w:tcPr>
            <w:tcW w:w="527" w:type="pct"/>
            <w:tcBorders>
              <w:top w:val="single" w:sz="4" w:space="0" w:color="auto"/>
              <w:left w:val="single" w:sz="8"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1 314</w:t>
            </w:r>
          </w:p>
        </w:tc>
        <w:tc>
          <w:tcPr>
            <w:tcW w:w="518" w:type="pct"/>
            <w:tcBorders>
              <w:top w:val="single" w:sz="4"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Cs/>
                <w:noProof/>
                <w:color w:val="000000"/>
                <w:sz w:val="12"/>
                <w:szCs w:val="12"/>
              </w:rPr>
            </w:pPr>
            <w:r>
              <w:rPr>
                <w:rFonts w:ascii="Verdana" w:hAnsi="Verdana"/>
                <w:b/>
                <w:i/>
                <w:noProof/>
                <w:sz w:val="14"/>
              </w:rPr>
              <w:t>337</w:t>
            </w:r>
          </w:p>
        </w:tc>
        <w:tc>
          <w:tcPr>
            <w:tcW w:w="518" w:type="pct"/>
            <w:tcBorders>
              <w:top w:val="single" w:sz="4"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1 652</w:t>
            </w:r>
          </w:p>
        </w:tc>
        <w:tc>
          <w:tcPr>
            <w:tcW w:w="407" w:type="pct"/>
            <w:gridSpan w:val="2"/>
            <w:tcBorders>
              <w:top w:val="single" w:sz="4" w:space="0" w:color="auto"/>
              <w:left w:val="single" w:sz="4" w:space="0" w:color="auto"/>
              <w:bottom w:val="single" w:sz="4" w:space="0" w:color="auto"/>
              <w:right w:val="single" w:sz="8"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color w:val="000000"/>
                <w:sz w:val="14"/>
              </w:rPr>
              <w:t>2,8 %</w:t>
            </w:r>
          </w:p>
        </w:tc>
      </w:tr>
      <w:tr>
        <w:trPr>
          <w:trHeight w:val="72"/>
        </w:trPr>
        <w:tc>
          <w:tcPr>
            <w:tcW w:w="728" w:type="pct"/>
            <w:tcBorders>
              <w:top w:val="nil"/>
              <w:left w:val="single" w:sz="8" w:space="0" w:color="auto"/>
              <w:bottom w:val="nil"/>
              <w:right w:val="single" w:sz="8" w:space="0" w:color="auto"/>
            </w:tcBorders>
            <w:shd w:val="clear" w:color="auto" w:fill="auto"/>
            <w:noWrap/>
            <w:vAlign w:val="center"/>
            <w:hideMark/>
          </w:tcPr>
          <w:p>
            <w:pPr>
              <w:spacing w:after="0" w:line="240" w:lineRule="auto"/>
              <w:contextualSpacing/>
              <w:jc w:val="both"/>
              <w:rPr>
                <w:rFonts w:ascii="Verdana" w:eastAsia="Times New Roman" w:hAnsi="Verdana"/>
                <w:i/>
                <w:iCs/>
                <w:noProof/>
                <w:color w:val="000000"/>
                <w:sz w:val="12"/>
                <w:szCs w:val="12"/>
              </w:rPr>
            </w:pPr>
            <w:r>
              <w:rPr>
                <w:rFonts w:ascii="Verdana" w:hAnsi="Verdana"/>
                <w:i/>
                <w:noProof/>
                <w:color w:val="000000"/>
                <w:sz w:val="12"/>
              </w:rPr>
              <w:t>FEAGA</w:t>
            </w:r>
          </w:p>
        </w:tc>
        <w:tc>
          <w:tcPr>
            <w:tcW w:w="528" w:type="pct"/>
            <w:tcBorders>
              <w:top w:val="nil"/>
              <w:left w:val="nil"/>
              <w:bottom w:val="nil"/>
              <w:right w:val="single" w:sz="8" w:space="0" w:color="auto"/>
            </w:tcBorders>
            <w:shd w:val="clear" w:color="auto" w:fill="auto"/>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44 940</w:t>
            </w:r>
          </w:p>
        </w:tc>
        <w:tc>
          <w:tcPr>
            <w:tcW w:w="444" w:type="pct"/>
            <w:tcBorders>
              <w:top w:val="nil"/>
              <w:left w:val="nil"/>
              <w:bottom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922</w:t>
            </w:r>
          </w:p>
        </w:tc>
        <w:tc>
          <w:tcPr>
            <w:tcW w:w="444" w:type="pct"/>
            <w:tcBorders>
              <w:top w:val="nil"/>
              <w:left w:val="single" w:sz="4" w:space="0" w:color="auto"/>
              <w:bottom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sz w:val="14"/>
              </w:rPr>
              <w:t>117</w:t>
            </w:r>
          </w:p>
        </w:tc>
        <w:tc>
          <w:tcPr>
            <w:tcW w:w="444" w:type="pct"/>
            <w:tcBorders>
              <w:top w:val="nil"/>
              <w:left w:val="single" w:sz="4" w:space="0" w:color="auto"/>
              <w:bottom w:val="nil"/>
              <w:right w:val="single" w:sz="4" w:space="0" w:color="auto"/>
            </w:tcBorders>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1 040</w:t>
            </w:r>
          </w:p>
        </w:tc>
        <w:tc>
          <w:tcPr>
            <w:tcW w:w="443" w:type="pct"/>
            <w:tcBorders>
              <w:top w:val="nil"/>
              <w:left w:val="single" w:sz="4" w:space="0" w:color="auto"/>
              <w:bottom w:val="nil"/>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sz w:val="14"/>
              </w:rPr>
              <w:t>2,3 %</w:t>
            </w:r>
          </w:p>
        </w:tc>
        <w:tc>
          <w:tcPr>
            <w:tcW w:w="527" w:type="pct"/>
            <w:tcBorders>
              <w:top w:val="single" w:sz="4" w:space="0" w:color="auto"/>
              <w:left w:val="single" w:sz="8" w:space="0" w:color="auto"/>
              <w:right w:val="single" w:sz="4" w:space="0" w:color="auto"/>
            </w:tcBorders>
            <w:shd w:val="clear" w:color="000000" w:fill="FFFFFF"/>
            <w:vAlign w:val="center"/>
          </w:tcPr>
          <w:p>
            <w:pPr>
              <w:spacing w:after="0" w:line="240" w:lineRule="auto"/>
              <w:contextualSpacing/>
              <w:jc w:val="right"/>
              <w:rPr>
                <w:rFonts w:ascii="Verdana" w:eastAsia="Times New Roman" w:hAnsi="Verdana"/>
                <w:bCs/>
                <w:noProof/>
                <w:color w:val="000000"/>
                <w:sz w:val="12"/>
                <w:szCs w:val="12"/>
              </w:rPr>
            </w:pPr>
            <w:r>
              <w:rPr>
                <w:rFonts w:ascii="Verdana" w:hAnsi="Verdana"/>
                <w:noProof/>
                <w:sz w:val="14"/>
              </w:rPr>
              <w:t>1 017</w:t>
            </w:r>
          </w:p>
        </w:tc>
        <w:tc>
          <w:tcPr>
            <w:tcW w:w="518" w:type="pct"/>
            <w:tcBorders>
              <w:top w:val="nil"/>
              <w:left w:val="single" w:sz="4" w:space="0" w:color="auto"/>
              <w:bottom w:val="nil"/>
              <w:right w:val="single" w:sz="4" w:space="0" w:color="auto"/>
            </w:tcBorders>
            <w:shd w:val="clear" w:color="auto" w:fill="auto"/>
            <w:vAlign w:val="center"/>
          </w:tcPr>
          <w:p>
            <w:pPr>
              <w:spacing w:after="0" w:line="240" w:lineRule="auto"/>
              <w:contextualSpacing/>
              <w:jc w:val="right"/>
              <w:rPr>
                <w:rFonts w:ascii="Verdana" w:eastAsia="Times New Roman" w:hAnsi="Verdana"/>
                <w:iCs/>
                <w:noProof/>
                <w:color w:val="000000"/>
                <w:sz w:val="12"/>
                <w:szCs w:val="12"/>
              </w:rPr>
            </w:pPr>
            <w:r>
              <w:rPr>
                <w:rFonts w:ascii="Verdana" w:hAnsi="Verdana"/>
                <w:noProof/>
                <w:sz w:val="14"/>
              </w:rPr>
              <w:t>155</w:t>
            </w:r>
          </w:p>
        </w:tc>
        <w:tc>
          <w:tcPr>
            <w:tcW w:w="518" w:type="pct"/>
            <w:tcBorders>
              <w:top w:val="single" w:sz="4" w:space="0" w:color="auto"/>
              <w:left w:val="single" w:sz="4" w:space="0" w:color="auto"/>
              <w:bottom w:val="nil"/>
              <w:right w:val="single" w:sz="4" w:space="0" w:color="auto"/>
            </w:tcBorders>
            <w:shd w:val="clear" w:color="000000" w:fill="FFFFFF"/>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1 173</w:t>
            </w:r>
          </w:p>
        </w:tc>
        <w:tc>
          <w:tcPr>
            <w:tcW w:w="407" w:type="pct"/>
            <w:gridSpan w:val="2"/>
            <w:tcBorders>
              <w:top w:val="nil"/>
              <w:left w:val="single" w:sz="4" w:space="0" w:color="auto"/>
              <w:bottom w:val="nil"/>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color w:val="000000"/>
                <w:sz w:val="14"/>
              </w:rPr>
              <w:t>2,6 %</w:t>
            </w:r>
          </w:p>
        </w:tc>
      </w:tr>
      <w:tr>
        <w:trPr>
          <w:trHeight w:val="151"/>
        </w:trPr>
        <w:tc>
          <w:tcPr>
            <w:tcW w:w="728" w:type="pct"/>
            <w:tcBorders>
              <w:top w:val="nil"/>
              <w:left w:val="single" w:sz="8" w:space="0" w:color="auto"/>
              <w:bottom w:val="nil"/>
              <w:right w:val="single" w:sz="8" w:space="0" w:color="auto"/>
            </w:tcBorders>
            <w:shd w:val="clear" w:color="auto" w:fill="auto"/>
            <w:noWrap/>
            <w:vAlign w:val="center"/>
            <w:hideMark/>
          </w:tcPr>
          <w:p>
            <w:pPr>
              <w:spacing w:after="0" w:line="240" w:lineRule="auto"/>
              <w:contextualSpacing/>
              <w:jc w:val="both"/>
              <w:rPr>
                <w:rFonts w:ascii="Verdana" w:eastAsia="Times New Roman" w:hAnsi="Verdana"/>
                <w:i/>
                <w:iCs/>
                <w:noProof/>
                <w:color w:val="000000"/>
                <w:sz w:val="12"/>
                <w:szCs w:val="12"/>
              </w:rPr>
            </w:pPr>
            <w:r>
              <w:rPr>
                <w:rFonts w:ascii="Verdana" w:hAnsi="Verdana"/>
                <w:i/>
                <w:noProof/>
                <w:color w:val="000000"/>
                <w:sz w:val="12"/>
              </w:rPr>
              <w:t>Développement rural</w:t>
            </w:r>
          </w:p>
        </w:tc>
        <w:tc>
          <w:tcPr>
            <w:tcW w:w="528" w:type="pct"/>
            <w:tcBorders>
              <w:top w:val="nil"/>
              <w:left w:val="nil"/>
              <w:bottom w:val="nil"/>
              <w:right w:val="single" w:sz="8" w:space="0" w:color="auto"/>
            </w:tcBorders>
            <w:shd w:val="clear" w:color="auto" w:fill="auto"/>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11 793</w:t>
            </w:r>
          </w:p>
        </w:tc>
        <w:tc>
          <w:tcPr>
            <w:tcW w:w="444" w:type="pct"/>
            <w:tcBorders>
              <w:top w:val="nil"/>
              <w:left w:val="nil"/>
              <w:bottom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46</w:t>
            </w:r>
          </w:p>
        </w:tc>
        <w:tc>
          <w:tcPr>
            <w:tcW w:w="444" w:type="pct"/>
            <w:tcBorders>
              <w:top w:val="nil"/>
              <w:left w:val="single" w:sz="4" w:space="0" w:color="auto"/>
              <w:bottom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sz w:val="14"/>
              </w:rPr>
              <w:t>206</w:t>
            </w:r>
          </w:p>
        </w:tc>
        <w:tc>
          <w:tcPr>
            <w:tcW w:w="444" w:type="pct"/>
            <w:tcBorders>
              <w:top w:val="nil"/>
              <w:left w:val="single" w:sz="4" w:space="0" w:color="auto"/>
              <w:bottom w:val="nil"/>
              <w:right w:val="single" w:sz="4" w:space="0" w:color="auto"/>
            </w:tcBorders>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253</w:t>
            </w:r>
          </w:p>
        </w:tc>
        <w:tc>
          <w:tcPr>
            <w:tcW w:w="443" w:type="pct"/>
            <w:tcBorders>
              <w:top w:val="nil"/>
              <w:left w:val="single" w:sz="4" w:space="0" w:color="auto"/>
              <w:bottom w:val="nil"/>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sz w:val="14"/>
              </w:rPr>
              <w:t>2,1 %</w:t>
            </w:r>
          </w:p>
        </w:tc>
        <w:tc>
          <w:tcPr>
            <w:tcW w:w="527" w:type="pct"/>
            <w:tcBorders>
              <w:left w:val="single" w:sz="8" w:space="0" w:color="auto"/>
              <w:bottom w:val="nil"/>
              <w:right w:val="single" w:sz="4" w:space="0" w:color="auto"/>
            </w:tcBorders>
            <w:shd w:val="clear" w:color="000000" w:fill="FFFFFF"/>
            <w:vAlign w:val="center"/>
          </w:tcPr>
          <w:p>
            <w:pPr>
              <w:spacing w:after="0" w:line="240" w:lineRule="auto"/>
              <w:contextualSpacing/>
              <w:jc w:val="right"/>
              <w:rPr>
                <w:rFonts w:ascii="Verdana" w:eastAsia="Times New Roman" w:hAnsi="Verdana"/>
                <w:bCs/>
                <w:noProof/>
                <w:color w:val="000000"/>
                <w:sz w:val="12"/>
                <w:szCs w:val="12"/>
              </w:rPr>
            </w:pPr>
            <w:r>
              <w:rPr>
                <w:rFonts w:ascii="Verdana" w:hAnsi="Verdana"/>
                <w:noProof/>
                <w:sz w:val="14"/>
              </w:rPr>
              <w:t>263</w:t>
            </w:r>
          </w:p>
        </w:tc>
        <w:tc>
          <w:tcPr>
            <w:tcW w:w="518" w:type="pct"/>
            <w:tcBorders>
              <w:top w:val="nil"/>
              <w:left w:val="single" w:sz="4" w:space="0" w:color="auto"/>
              <w:bottom w:val="nil"/>
              <w:right w:val="single" w:sz="4" w:space="0" w:color="auto"/>
            </w:tcBorders>
            <w:shd w:val="clear" w:color="auto" w:fill="auto"/>
            <w:vAlign w:val="center"/>
          </w:tcPr>
          <w:p>
            <w:pPr>
              <w:spacing w:after="0" w:line="240" w:lineRule="auto"/>
              <w:contextualSpacing/>
              <w:jc w:val="right"/>
              <w:rPr>
                <w:rFonts w:ascii="Verdana" w:eastAsia="Times New Roman" w:hAnsi="Verdana"/>
                <w:iCs/>
                <w:noProof/>
                <w:color w:val="000000"/>
                <w:sz w:val="12"/>
                <w:szCs w:val="12"/>
              </w:rPr>
            </w:pPr>
            <w:r>
              <w:rPr>
                <w:rFonts w:ascii="Verdana" w:hAnsi="Verdana"/>
                <w:noProof/>
                <w:sz w:val="14"/>
              </w:rPr>
              <w:t>152</w:t>
            </w:r>
          </w:p>
        </w:tc>
        <w:tc>
          <w:tcPr>
            <w:tcW w:w="518" w:type="pct"/>
            <w:tcBorders>
              <w:top w:val="nil"/>
              <w:left w:val="single" w:sz="4" w:space="0" w:color="auto"/>
              <w:bottom w:val="nil"/>
              <w:right w:val="single" w:sz="4" w:space="0" w:color="auto"/>
            </w:tcBorders>
            <w:shd w:val="clear" w:color="000000" w:fill="FFFFFF"/>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414</w:t>
            </w:r>
          </w:p>
        </w:tc>
        <w:tc>
          <w:tcPr>
            <w:tcW w:w="407" w:type="pct"/>
            <w:gridSpan w:val="2"/>
            <w:tcBorders>
              <w:top w:val="nil"/>
              <w:left w:val="single" w:sz="4" w:space="0" w:color="auto"/>
              <w:bottom w:val="nil"/>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color w:val="000000"/>
                <w:sz w:val="14"/>
              </w:rPr>
              <w:t>3,5 %</w:t>
            </w:r>
          </w:p>
        </w:tc>
      </w:tr>
      <w:tr>
        <w:trPr>
          <w:trHeight w:val="151"/>
        </w:trPr>
        <w:tc>
          <w:tcPr>
            <w:tcW w:w="728" w:type="pct"/>
            <w:tcBorders>
              <w:top w:val="nil"/>
              <w:left w:val="single" w:sz="8" w:space="0" w:color="auto"/>
              <w:bottom w:val="nil"/>
              <w:right w:val="single" w:sz="8" w:space="0" w:color="auto"/>
            </w:tcBorders>
            <w:shd w:val="clear" w:color="auto" w:fill="auto"/>
            <w:noWrap/>
            <w:vAlign w:val="center"/>
          </w:tcPr>
          <w:p>
            <w:pPr>
              <w:spacing w:after="0" w:line="240" w:lineRule="auto"/>
              <w:contextualSpacing/>
              <w:jc w:val="both"/>
              <w:rPr>
                <w:rFonts w:ascii="Verdana" w:eastAsia="Times New Roman" w:hAnsi="Verdana"/>
                <w:i/>
                <w:iCs/>
                <w:noProof/>
                <w:color w:val="000000"/>
                <w:sz w:val="12"/>
                <w:szCs w:val="12"/>
              </w:rPr>
            </w:pPr>
            <w:r>
              <w:rPr>
                <w:rFonts w:ascii="Verdana" w:hAnsi="Verdana"/>
                <w:i/>
                <w:noProof/>
                <w:color w:val="000000"/>
                <w:sz w:val="12"/>
              </w:rPr>
              <w:t>IFOP/FEP</w:t>
            </w:r>
          </w:p>
        </w:tc>
        <w:tc>
          <w:tcPr>
            <w:tcW w:w="528" w:type="pct"/>
            <w:tcBorders>
              <w:top w:val="nil"/>
              <w:left w:val="nil"/>
              <w:bottom w:val="nil"/>
              <w:right w:val="single" w:sz="8" w:space="0" w:color="auto"/>
            </w:tcBorders>
            <w:shd w:val="clear" w:color="auto" w:fill="auto"/>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791</w:t>
            </w:r>
          </w:p>
        </w:tc>
        <w:tc>
          <w:tcPr>
            <w:tcW w:w="444" w:type="pct"/>
            <w:tcBorders>
              <w:top w:val="nil"/>
              <w:left w:val="nil"/>
              <w:bottom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6</w:t>
            </w:r>
          </w:p>
        </w:tc>
        <w:tc>
          <w:tcPr>
            <w:tcW w:w="444" w:type="pct"/>
            <w:tcBorders>
              <w:top w:val="nil"/>
              <w:left w:val="single" w:sz="4" w:space="0" w:color="auto"/>
              <w:bottom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sz w:val="14"/>
              </w:rPr>
              <w:t>2</w:t>
            </w:r>
          </w:p>
        </w:tc>
        <w:tc>
          <w:tcPr>
            <w:tcW w:w="444" w:type="pct"/>
            <w:tcBorders>
              <w:top w:val="nil"/>
              <w:left w:val="single" w:sz="4" w:space="0" w:color="auto"/>
              <w:bottom w:val="nil"/>
              <w:right w:val="single" w:sz="4" w:space="0" w:color="auto"/>
            </w:tcBorders>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8</w:t>
            </w:r>
          </w:p>
        </w:tc>
        <w:tc>
          <w:tcPr>
            <w:tcW w:w="443" w:type="pct"/>
            <w:tcBorders>
              <w:top w:val="nil"/>
              <w:left w:val="single" w:sz="4" w:space="0" w:color="auto"/>
              <w:bottom w:val="nil"/>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sz w:val="14"/>
              </w:rPr>
              <w:t>1,0 %</w:t>
            </w:r>
          </w:p>
        </w:tc>
        <w:tc>
          <w:tcPr>
            <w:tcW w:w="527" w:type="pct"/>
            <w:tcBorders>
              <w:top w:val="nil"/>
              <w:left w:val="single" w:sz="8" w:space="0" w:color="auto"/>
              <w:bottom w:val="nil"/>
              <w:right w:val="single" w:sz="4" w:space="0" w:color="auto"/>
            </w:tcBorders>
            <w:shd w:val="clear" w:color="000000" w:fill="FFFFFF"/>
            <w:vAlign w:val="center"/>
          </w:tcPr>
          <w:p>
            <w:pPr>
              <w:spacing w:after="0" w:line="240" w:lineRule="auto"/>
              <w:contextualSpacing/>
              <w:jc w:val="right"/>
              <w:rPr>
                <w:rFonts w:ascii="Verdana" w:eastAsia="Times New Roman" w:hAnsi="Verdana"/>
                <w:bCs/>
                <w:noProof/>
                <w:color w:val="000000"/>
                <w:sz w:val="12"/>
                <w:szCs w:val="12"/>
              </w:rPr>
            </w:pPr>
            <w:r>
              <w:rPr>
                <w:rFonts w:ascii="Verdana" w:hAnsi="Verdana"/>
                <w:noProof/>
                <w:sz w:val="14"/>
              </w:rPr>
              <w:t>10</w:t>
            </w:r>
          </w:p>
        </w:tc>
        <w:tc>
          <w:tcPr>
            <w:tcW w:w="518" w:type="pct"/>
            <w:tcBorders>
              <w:top w:val="nil"/>
              <w:left w:val="single" w:sz="4" w:space="0" w:color="auto"/>
              <w:bottom w:val="nil"/>
              <w:right w:val="single" w:sz="4" w:space="0" w:color="auto"/>
            </w:tcBorders>
            <w:shd w:val="clear" w:color="auto" w:fill="auto"/>
            <w:vAlign w:val="center"/>
          </w:tcPr>
          <w:p>
            <w:pPr>
              <w:spacing w:after="0" w:line="240" w:lineRule="auto"/>
              <w:contextualSpacing/>
              <w:jc w:val="right"/>
              <w:rPr>
                <w:rFonts w:ascii="Verdana" w:eastAsia="Times New Roman" w:hAnsi="Verdana"/>
                <w:iCs/>
                <w:noProof/>
                <w:color w:val="000000"/>
                <w:sz w:val="12"/>
                <w:szCs w:val="12"/>
              </w:rPr>
            </w:pPr>
            <w:r>
              <w:rPr>
                <w:rFonts w:ascii="Verdana" w:hAnsi="Verdana"/>
                <w:noProof/>
                <w:sz w:val="14"/>
              </w:rPr>
              <w:t>6</w:t>
            </w:r>
          </w:p>
        </w:tc>
        <w:tc>
          <w:tcPr>
            <w:tcW w:w="518" w:type="pct"/>
            <w:tcBorders>
              <w:top w:val="nil"/>
              <w:left w:val="single" w:sz="4" w:space="0" w:color="auto"/>
              <w:bottom w:val="nil"/>
              <w:right w:val="single" w:sz="4" w:space="0" w:color="auto"/>
            </w:tcBorders>
            <w:shd w:val="clear" w:color="000000" w:fill="FFFFFF"/>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16</w:t>
            </w:r>
          </w:p>
        </w:tc>
        <w:tc>
          <w:tcPr>
            <w:tcW w:w="407" w:type="pct"/>
            <w:gridSpan w:val="2"/>
            <w:tcBorders>
              <w:top w:val="nil"/>
              <w:left w:val="single" w:sz="4" w:space="0" w:color="auto"/>
              <w:bottom w:val="nil"/>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color w:val="000000"/>
                <w:sz w:val="14"/>
              </w:rPr>
              <w:t>2,0 %</w:t>
            </w:r>
          </w:p>
        </w:tc>
      </w:tr>
      <w:tr>
        <w:trPr>
          <w:trHeight w:val="151"/>
        </w:trPr>
        <w:tc>
          <w:tcPr>
            <w:tcW w:w="728" w:type="pct"/>
            <w:tcBorders>
              <w:top w:val="nil"/>
              <w:left w:val="single" w:sz="8" w:space="0" w:color="auto"/>
              <w:bottom w:val="nil"/>
              <w:right w:val="single" w:sz="8" w:space="0" w:color="auto"/>
            </w:tcBorders>
            <w:shd w:val="clear" w:color="auto" w:fill="auto"/>
            <w:noWrap/>
            <w:vAlign w:val="center"/>
          </w:tcPr>
          <w:p>
            <w:pPr>
              <w:spacing w:after="0" w:line="240" w:lineRule="auto"/>
              <w:contextualSpacing/>
              <w:jc w:val="both"/>
              <w:rPr>
                <w:rFonts w:ascii="Verdana" w:eastAsia="Times New Roman" w:hAnsi="Verdana"/>
                <w:i/>
                <w:iCs/>
                <w:noProof/>
                <w:color w:val="000000"/>
                <w:sz w:val="12"/>
                <w:szCs w:val="12"/>
              </w:rPr>
            </w:pPr>
            <w:r>
              <w:rPr>
                <w:rFonts w:ascii="Verdana" w:hAnsi="Verdana"/>
                <w:i/>
                <w:noProof/>
                <w:color w:val="000000"/>
                <w:sz w:val="12"/>
              </w:rPr>
              <w:t>FEOGA-Orientation</w:t>
            </w:r>
          </w:p>
        </w:tc>
        <w:tc>
          <w:tcPr>
            <w:tcW w:w="528" w:type="pct"/>
            <w:tcBorders>
              <w:top w:val="nil"/>
              <w:left w:val="nil"/>
              <w:bottom w:val="nil"/>
              <w:right w:val="single" w:sz="8" w:space="0" w:color="auto"/>
            </w:tcBorders>
            <w:shd w:val="clear" w:color="auto" w:fill="auto"/>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64</w:t>
            </w:r>
          </w:p>
        </w:tc>
        <w:tc>
          <w:tcPr>
            <w:tcW w:w="444" w:type="pct"/>
            <w:tcBorders>
              <w:top w:val="nil"/>
              <w:left w:val="nil"/>
              <w:bottom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97</w:t>
            </w:r>
          </w:p>
        </w:tc>
        <w:tc>
          <w:tcPr>
            <w:tcW w:w="444" w:type="pct"/>
            <w:tcBorders>
              <w:top w:val="nil"/>
              <w:left w:val="single" w:sz="4" w:space="0" w:color="auto"/>
              <w:bottom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sz w:val="14"/>
              </w:rPr>
              <w:t>2</w:t>
            </w:r>
          </w:p>
        </w:tc>
        <w:tc>
          <w:tcPr>
            <w:tcW w:w="444" w:type="pct"/>
            <w:tcBorders>
              <w:top w:val="nil"/>
              <w:left w:val="single" w:sz="4" w:space="0" w:color="auto"/>
              <w:bottom w:val="nil"/>
              <w:right w:val="single" w:sz="4" w:space="0" w:color="auto"/>
            </w:tcBorders>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99</w:t>
            </w:r>
          </w:p>
        </w:tc>
        <w:tc>
          <w:tcPr>
            <w:tcW w:w="443" w:type="pct"/>
            <w:tcBorders>
              <w:top w:val="nil"/>
              <w:left w:val="single" w:sz="4" w:space="0" w:color="auto"/>
              <w:bottom w:val="nil"/>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sz w:val="14"/>
              </w:rPr>
              <w:t>154,0 %</w:t>
            </w:r>
          </w:p>
        </w:tc>
        <w:tc>
          <w:tcPr>
            <w:tcW w:w="527" w:type="pct"/>
            <w:tcBorders>
              <w:top w:val="nil"/>
              <w:left w:val="single" w:sz="8" w:space="0" w:color="auto"/>
              <w:right w:val="single" w:sz="4" w:space="0" w:color="auto"/>
            </w:tcBorders>
            <w:shd w:val="clear" w:color="000000" w:fill="FFFFFF"/>
            <w:vAlign w:val="center"/>
          </w:tcPr>
          <w:p>
            <w:pPr>
              <w:spacing w:after="0" w:line="240" w:lineRule="auto"/>
              <w:contextualSpacing/>
              <w:jc w:val="right"/>
              <w:rPr>
                <w:rFonts w:ascii="Verdana" w:eastAsia="Times New Roman" w:hAnsi="Verdana"/>
                <w:bCs/>
                <w:noProof/>
                <w:color w:val="000000"/>
                <w:sz w:val="12"/>
                <w:szCs w:val="12"/>
              </w:rPr>
            </w:pPr>
            <w:r>
              <w:rPr>
                <w:rFonts w:ascii="Verdana" w:hAnsi="Verdana"/>
                <w:noProof/>
                <w:sz w:val="14"/>
              </w:rPr>
              <w:t>24</w:t>
            </w:r>
          </w:p>
        </w:tc>
        <w:tc>
          <w:tcPr>
            <w:tcW w:w="518" w:type="pct"/>
            <w:tcBorders>
              <w:top w:val="nil"/>
              <w:left w:val="single" w:sz="4" w:space="0" w:color="auto"/>
              <w:bottom w:val="nil"/>
              <w:right w:val="single" w:sz="4" w:space="0" w:color="auto"/>
            </w:tcBorders>
            <w:shd w:val="clear" w:color="auto" w:fill="auto"/>
            <w:vAlign w:val="center"/>
          </w:tcPr>
          <w:p>
            <w:pPr>
              <w:spacing w:after="0" w:line="240" w:lineRule="auto"/>
              <w:contextualSpacing/>
              <w:jc w:val="right"/>
              <w:rPr>
                <w:rFonts w:ascii="Verdana" w:eastAsia="Times New Roman" w:hAnsi="Verdana"/>
                <w:iCs/>
                <w:noProof/>
                <w:color w:val="000000"/>
                <w:sz w:val="12"/>
                <w:szCs w:val="12"/>
              </w:rPr>
            </w:pPr>
            <w:r>
              <w:rPr>
                <w:rFonts w:ascii="Verdana" w:hAnsi="Verdana"/>
                <w:noProof/>
                <w:sz w:val="14"/>
              </w:rPr>
              <w:t>2</w:t>
            </w:r>
          </w:p>
        </w:tc>
        <w:tc>
          <w:tcPr>
            <w:tcW w:w="518" w:type="pct"/>
            <w:tcBorders>
              <w:top w:val="nil"/>
              <w:left w:val="single" w:sz="4" w:space="0" w:color="auto"/>
              <w:right w:val="single" w:sz="4" w:space="0" w:color="auto"/>
            </w:tcBorders>
            <w:shd w:val="clear" w:color="000000" w:fill="FFFFFF"/>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26</w:t>
            </w:r>
          </w:p>
        </w:tc>
        <w:tc>
          <w:tcPr>
            <w:tcW w:w="407" w:type="pct"/>
            <w:gridSpan w:val="2"/>
            <w:tcBorders>
              <w:top w:val="nil"/>
              <w:left w:val="single" w:sz="4" w:space="0" w:color="auto"/>
              <w:bottom w:val="nil"/>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color w:val="000000"/>
                <w:sz w:val="14"/>
              </w:rPr>
              <w:t>40,6 %</w:t>
            </w:r>
          </w:p>
        </w:tc>
      </w:tr>
      <w:tr>
        <w:trPr>
          <w:trHeight w:val="162"/>
        </w:trPr>
        <w:tc>
          <w:tcPr>
            <w:tcW w:w="728" w:type="pct"/>
            <w:tcBorders>
              <w:top w:val="nil"/>
              <w:left w:val="single" w:sz="8" w:space="0" w:color="auto"/>
              <w:bottom w:val="nil"/>
              <w:right w:val="single" w:sz="8" w:space="0" w:color="auto"/>
            </w:tcBorders>
            <w:shd w:val="clear" w:color="auto" w:fill="auto"/>
            <w:noWrap/>
            <w:vAlign w:val="center"/>
            <w:hideMark/>
          </w:tcPr>
          <w:p>
            <w:pPr>
              <w:spacing w:after="0" w:line="240" w:lineRule="auto"/>
              <w:contextualSpacing/>
              <w:jc w:val="both"/>
              <w:rPr>
                <w:rFonts w:ascii="Verdana" w:eastAsia="Times New Roman" w:hAnsi="Verdana"/>
                <w:i/>
                <w:iCs/>
                <w:noProof/>
                <w:color w:val="000000"/>
                <w:sz w:val="12"/>
                <w:szCs w:val="12"/>
              </w:rPr>
            </w:pPr>
            <w:r>
              <w:rPr>
                <w:rFonts w:ascii="Verdana" w:hAnsi="Verdana"/>
                <w:i/>
                <w:noProof/>
                <w:color w:val="000000"/>
                <w:sz w:val="12"/>
              </w:rPr>
              <w:t>Politiques internes</w:t>
            </w:r>
          </w:p>
        </w:tc>
        <w:tc>
          <w:tcPr>
            <w:tcW w:w="528" w:type="pct"/>
            <w:tcBorders>
              <w:top w:val="nil"/>
              <w:left w:val="nil"/>
              <w:bottom w:val="nil"/>
              <w:right w:val="single" w:sz="8" w:space="0" w:color="auto"/>
            </w:tcBorders>
            <w:shd w:val="clear" w:color="auto" w:fill="auto"/>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478</w:t>
            </w:r>
          </w:p>
        </w:tc>
        <w:tc>
          <w:tcPr>
            <w:tcW w:w="444" w:type="pct"/>
            <w:tcBorders>
              <w:top w:val="nil"/>
              <w:left w:val="nil"/>
              <w:bottom w:val="single" w:sz="4" w:space="0" w:color="auto"/>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w:t>
            </w:r>
          </w:p>
        </w:tc>
        <w:tc>
          <w:tcPr>
            <w:tcW w:w="444" w:type="pct"/>
            <w:tcBorders>
              <w:top w:val="nil"/>
              <w:left w:val="single" w:sz="4" w:space="0" w:color="auto"/>
              <w:bottom w:val="single" w:sz="4" w:space="0" w:color="auto"/>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sz w:val="14"/>
              </w:rPr>
              <w:t xml:space="preserve"> 21</w:t>
            </w:r>
          </w:p>
        </w:tc>
        <w:tc>
          <w:tcPr>
            <w:tcW w:w="444" w:type="pct"/>
            <w:tcBorders>
              <w:top w:val="nil"/>
              <w:left w:val="single" w:sz="4" w:space="0" w:color="auto"/>
              <w:bottom w:val="single" w:sz="4" w:space="0" w:color="auto"/>
              <w:right w:val="single" w:sz="4" w:space="0" w:color="auto"/>
            </w:tcBorders>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 xml:space="preserve"> 21</w:t>
            </w:r>
          </w:p>
        </w:tc>
        <w:tc>
          <w:tcPr>
            <w:tcW w:w="443" w:type="pct"/>
            <w:tcBorders>
              <w:top w:val="nil"/>
              <w:left w:val="single" w:sz="4" w:space="0" w:color="auto"/>
              <w:bottom w:val="single" w:sz="4" w:space="0" w:color="auto"/>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sz w:val="14"/>
              </w:rPr>
              <w:t>4,4 %</w:t>
            </w:r>
          </w:p>
        </w:tc>
        <w:tc>
          <w:tcPr>
            <w:tcW w:w="527" w:type="pct"/>
            <w:tcBorders>
              <w:top w:val="nil"/>
              <w:left w:val="single" w:sz="8" w:space="0" w:color="auto"/>
              <w:bottom w:val="single" w:sz="4" w:space="0" w:color="auto"/>
              <w:right w:val="single" w:sz="4" w:space="0" w:color="auto"/>
            </w:tcBorders>
            <w:shd w:val="clear" w:color="000000" w:fill="FFFFFF"/>
            <w:vAlign w:val="center"/>
          </w:tcPr>
          <w:p>
            <w:pPr>
              <w:spacing w:after="0" w:line="240" w:lineRule="auto"/>
              <w:contextualSpacing/>
              <w:jc w:val="right"/>
              <w:rPr>
                <w:rFonts w:ascii="Verdana" w:eastAsia="Times New Roman" w:hAnsi="Verdana"/>
                <w:bCs/>
                <w:noProof/>
                <w:color w:val="000000"/>
                <w:sz w:val="12"/>
                <w:szCs w:val="12"/>
              </w:rPr>
            </w:pPr>
            <w:r>
              <w:rPr>
                <w:rFonts w:ascii="Verdana" w:hAnsi="Verdana"/>
                <w:noProof/>
                <w:sz w:val="14"/>
              </w:rPr>
              <w:t xml:space="preserve"> —</w:t>
            </w:r>
          </w:p>
        </w:tc>
        <w:tc>
          <w:tcPr>
            <w:tcW w:w="518" w:type="pct"/>
            <w:tcBorders>
              <w:top w:val="nil"/>
              <w:left w:val="single" w:sz="4" w:space="0" w:color="auto"/>
              <w:bottom w:val="single" w:sz="4" w:space="0" w:color="auto"/>
              <w:right w:val="single" w:sz="4" w:space="0" w:color="auto"/>
            </w:tcBorders>
            <w:shd w:val="clear" w:color="auto" w:fill="auto"/>
            <w:vAlign w:val="center"/>
          </w:tcPr>
          <w:p>
            <w:pPr>
              <w:spacing w:after="0" w:line="240" w:lineRule="auto"/>
              <w:contextualSpacing/>
              <w:jc w:val="right"/>
              <w:rPr>
                <w:rFonts w:ascii="Verdana" w:eastAsia="Times New Roman" w:hAnsi="Verdana"/>
                <w:iCs/>
                <w:noProof/>
                <w:color w:val="000000"/>
                <w:sz w:val="12"/>
                <w:szCs w:val="12"/>
              </w:rPr>
            </w:pPr>
            <w:r>
              <w:rPr>
                <w:rFonts w:ascii="Verdana" w:hAnsi="Verdana"/>
                <w:noProof/>
                <w:sz w:val="14"/>
              </w:rPr>
              <w:t xml:space="preserve"> 23</w:t>
            </w:r>
          </w:p>
        </w:tc>
        <w:tc>
          <w:tcPr>
            <w:tcW w:w="518" w:type="pct"/>
            <w:tcBorders>
              <w:top w:val="nil"/>
              <w:left w:val="single" w:sz="4" w:space="0" w:color="auto"/>
              <w:bottom w:val="single" w:sz="4" w:space="0" w:color="auto"/>
              <w:right w:val="single" w:sz="4" w:space="0" w:color="auto"/>
            </w:tcBorders>
            <w:shd w:val="clear" w:color="000000" w:fill="FFFFFF"/>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 xml:space="preserve"> 23</w:t>
            </w:r>
          </w:p>
        </w:tc>
        <w:tc>
          <w:tcPr>
            <w:tcW w:w="407" w:type="pct"/>
            <w:gridSpan w:val="2"/>
            <w:tcBorders>
              <w:top w:val="nil"/>
              <w:left w:val="single" w:sz="4" w:space="0" w:color="auto"/>
              <w:bottom w:val="single" w:sz="4" w:space="0" w:color="auto"/>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color w:val="000000"/>
                <w:sz w:val="14"/>
              </w:rPr>
              <w:t>4,8 %</w:t>
            </w:r>
          </w:p>
        </w:tc>
      </w:tr>
      <w:tr>
        <w:trPr>
          <w:trHeight w:val="329"/>
        </w:trPr>
        <w:tc>
          <w:tcPr>
            <w:tcW w:w="728" w:type="pct"/>
            <w:tcBorders>
              <w:top w:val="single" w:sz="4" w:space="0" w:color="auto"/>
              <w:left w:val="single" w:sz="8" w:space="0" w:color="auto"/>
              <w:bottom w:val="single" w:sz="4" w:space="0" w:color="auto"/>
              <w:right w:val="single" w:sz="8" w:space="0" w:color="auto"/>
            </w:tcBorders>
            <w:shd w:val="clear" w:color="000000" w:fill="D9D9D9"/>
            <w:noWrap/>
            <w:vAlign w:val="center"/>
            <w:hideMark/>
          </w:tcPr>
          <w:p>
            <w:pPr>
              <w:spacing w:after="0" w:line="240" w:lineRule="auto"/>
              <w:contextualSpacing/>
              <w:rPr>
                <w:rFonts w:ascii="Verdana" w:eastAsia="Times New Roman" w:hAnsi="Verdana"/>
                <w:b/>
                <w:bCs/>
                <w:i/>
                <w:iCs/>
                <w:noProof/>
                <w:color w:val="000000"/>
                <w:sz w:val="12"/>
                <w:szCs w:val="12"/>
              </w:rPr>
            </w:pPr>
            <w:r>
              <w:rPr>
                <w:rFonts w:ascii="Verdana" w:hAnsi="Verdana"/>
                <w:b/>
                <w:i/>
                <w:noProof/>
                <w:color w:val="000000"/>
                <w:sz w:val="12"/>
              </w:rPr>
              <w:t>Sécurité et citoyenneté</w:t>
            </w:r>
          </w:p>
        </w:tc>
        <w:tc>
          <w:tcPr>
            <w:tcW w:w="528" w:type="pct"/>
            <w:tcBorders>
              <w:top w:val="single" w:sz="4" w:space="0" w:color="auto"/>
              <w:left w:val="nil"/>
              <w:bottom w:val="single" w:sz="4" w:space="0" w:color="auto"/>
              <w:right w:val="single" w:sz="8"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color w:val="000000"/>
                <w:sz w:val="14"/>
              </w:rPr>
              <w:t>2 019</w:t>
            </w:r>
          </w:p>
        </w:tc>
        <w:tc>
          <w:tcPr>
            <w:tcW w:w="444" w:type="pct"/>
            <w:tcBorders>
              <w:top w:val="single" w:sz="4" w:space="0" w:color="auto"/>
              <w:left w:val="nil"/>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color w:val="000000"/>
                <w:sz w:val="14"/>
              </w:rPr>
              <w:t>23</w:t>
            </w:r>
          </w:p>
        </w:tc>
        <w:tc>
          <w:tcPr>
            <w:tcW w:w="444" w:type="pct"/>
            <w:tcBorders>
              <w:top w:val="single" w:sz="4"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28</w:t>
            </w:r>
          </w:p>
        </w:tc>
        <w:tc>
          <w:tcPr>
            <w:tcW w:w="444" w:type="pct"/>
            <w:tcBorders>
              <w:top w:val="single" w:sz="4"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51</w:t>
            </w:r>
          </w:p>
        </w:tc>
        <w:tc>
          <w:tcPr>
            <w:tcW w:w="443" w:type="pct"/>
            <w:tcBorders>
              <w:top w:val="single" w:sz="4" w:space="0" w:color="auto"/>
              <w:left w:val="single" w:sz="4" w:space="0" w:color="auto"/>
              <w:bottom w:val="single" w:sz="4" w:space="0" w:color="auto"/>
              <w:right w:val="single" w:sz="8"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2,5 %</w:t>
            </w:r>
          </w:p>
        </w:tc>
        <w:tc>
          <w:tcPr>
            <w:tcW w:w="527" w:type="pct"/>
            <w:tcBorders>
              <w:top w:val="single" w:sz="4" w:space="0" w:color="auto"/>
              <w:left w:val="single" w:sz="8"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23</w:t>
            </w:r>
          </w:p>
        </w:tc>
        <w:tc>
          <w:tcPr>
            <w:tcW w:w="518" w:type="pct"/>
            <w:tcBorders>
              <w:top w:val="single" w:sz="4"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Cs/>
                <w:noProof/>
                <w:color w:val="000000"/>
                <w:sz w:val="12"/>
                <w:szCs w:val="12"/>
              </w:rPr>
            </w:pPr>
            <w:r>
              <w:rPr>
                <w:rFonts w:ascii="Verdana" w:hAnsi="Verdana"/>
                <w:b/>
                <w:i/>
                <w:noProof/>
                <w:sz w:val="14"/>
              </w:rPr>
              <w:t>24</w:t>
            </w:r>
          </w:p>
        </w:tc>
        <w:tc>
          <w:tcPr>
            <w:tcW w:w="518" w:type="pct"/>
            <w:tcBorders>
              <w:top w:val="single" w:sz="4"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48</w:t>
            </w:r>
          </w:p>
        </w:tc>
        <w:tc>
          <w:tcPr>
            <w:tcW w:w="407" w:type="pct"/>
            <w:gridSpan w:val="2"/>
            <w:tcBorders>
              <w:top w:val="single" w:sz="4" w:space="0" w:color="auto"/>
              <w:left w:val="single" w:sz="4" w:space="0" w:color="auto"/>
              <w:bottom w:val="single" w:sz="4" w:space="0" w:color="auto"/>
              <w:right w:val="single" w:sz="8"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color w:val="000000"/>
                <w:sz w:val="14"/>
              </w:rPr>
              <w:t>2,4 %</w:t>
            </w:r>
          </w:p>
        </w:tc>
      </w:tr>
      <w:tr>
        <w:trPr>
          <w:trHeight w:val="95"/>
        </w:trPr>
        <w:tc>
          <w:tcPr>
            <w:tcW w:w="728" w:type="pct"/>
            <w:tcBorders>
              <w:top w:val="nil"/>
              <w:left w:val="single" w:sz="8" w:space="0" w:color="auto"/>
              <w:bottom w:val="nil"/>
              <w:right w:val="single" w:sz="8" w:space="0" w:color="auto"/>
            </w:tcBorders>
            <w:shd w:val="clear" w:color="auto" w:fill="auto"/>
            <w:noWrap/>
            <w:vAlign w:val="center"/>
            <w:hideMark/>
          </w:tcPr>
          <w:p>
            <w:pPr>
              <w:spacing w:after="0" w:line="240" w:lineRule="auto"/>
              <w:contextualSpacing/>
              <w:rPr>
                <w:rFonts w:ascii="Verdana" w:eastAsia="Times New Roman" w:hAnsi="Verdana"/>
                <w:noProof/>
                <w:color w:val="000000"/>
                <w:sz w:val="12"/>
                <w:szCs w:val="12"/>
              </w:rPr>
            </w:pPr>
            <w:r>
              <w:rPr>
                <w:rFonts w:ascii="Verdana" w:hAnsi="Verdana"/>
                <w:noProof/>
                <w:color w:val="000000"/>
                <w:sz w:val="12"/>
              </w:rPr>
              <w:t>Migration et affaires intérieures</w:t>
            </w:r>
          </w:p>
        </w:tc>
        <w:tc>
          <w:tcPr>
            <w:tcW w:w="528" w:type="pct"/>
            <w:tcBorders>
              <w:top w:val="nil"/>
              <w:left w:val="nil"/>
              <w:bottom w:val="nil"/>
              <w:right w:val="single" w:sz="8" w:space="0" w:color="auto"/>
            </w:tcBorders>
            <w:shd w:val="clear" w:color="auto" w:fill="auto"/>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779</w:t>
            </w:r>
          </w:p>
        </w:tc>
        <w:tc>
          <w:tcPr>
            <w:tcW w:w="444" w:type="pct"/>
            <w:tcBorders>
              <w:top w:val="nil"/>
              <w:left w:val="nil"/>
              <w:bottom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23</w:t>
            </w:r>
          </w:p>
        </w:tc>
        <w:tc>
          <w:tcPr>
            <w:tcW w:w="444" w:type="pct"/>
            <w:tcBorders>
              <w:top w:val="nil"/>
              <w:left w:val="single" w:sz="4" w:space="0" w:color="auto"/>
              <w:bottom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sz w:val="14"/>
              </w:rPr>
              <w:t>—</w:t>
            </w:r>
          </w:p>
        </w:tc>
        <w:tc>
          <w:tcPr>
            <w:tcW w:w="444" w:type="pct"/>
            <w:tcBorders>
              <w:top w:val="nil"/>
              <w:left w:val="single" w:sz="4" w:space="0" w:color="auto"/>
              <w:bottom w:val="nil"/>
              <w:right w:val="single" w:sz="4" w:space="0" w:color="auto"/>
            </w:tcBorders>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 xml:space="preserve"> 23</w:t>
            </w:r>
          </w:p>
        </w:tc>
        <w:tc>
          <w:tcPr>
            <w:tcW w:w="443" w:type="pct"/>
            <w:tcBorders>
              <w:top w:val="nil"/>
              <w:left w:val="single" w:sz="4" w:space="0" w:color="auto"/>
              <w:bottom w:val="nil"/>
              <w:right w:val="single" w:sz="8" w:space="0" w:color="auto"/>
            </w:tcBorders>
            <w:shd w:val="clear" w:color="auto" w:fill="auto"/>
            <w:noWrap/>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sz w:val="14"/>
              </w:rPr>
              <w:t>3,0 %</w:t>
            </w:r>
          </w:p>
        </w:tc>
        <w:tc>
          <w:tcPr>
            <w:tcW w:w="527" w:type="pct"/>
            <w:tcBorders>
              <w:top w:val="single" w:sz="4" w:space="0" w:color="auto"/>
              <w:left w:val="single" w:sz="8" w:space="0" w:color="auto"/>
              <w:right w:val="single" w:sz="4" w:space="0" w:color="auto"/>
            </w:tcBorders>
            <w:shd w:val="clear" w:color="000000" w:fill="FFFFFF"/>
            <w:noWrap/>
            <w:vAlign w:val="center"/>
          </w:tcPr>
          <w:p>
            <w:pPr>
              <w:spacing w:after="0" w:line="240" w:lineRule="auto"/>
              <w:contextualSpacing/>
              <w:jc w:val="right"/>
              <w:rPr>
                <w:rFonts w:ascii="Verdana" w:eastAsia="Times New Roman" w:hAnsi="Verdana"/>
                <w:bCs/>
                <w:noProof/>
                <w:color w:val="000000"/>
                <w:sz w:val="12"/>
                <w:szCs w:val="12"/>
              </w:rPr>
            </w:pPr>
            <w:r>
              <w:rPr>
                <w:rFonts w:ascii="Verdana" w:hAnsi="Verdana"/>
                <w:noProof/>
                <w:sz w:val="14"/>
              </w:rPr>
              <w:t xml:space="preserve"> 23</w:t>
            </w:r>
          </w:p>
        </w:tc>
        <w:tc>
          <w:tcPr>
            <w:tcW w:w="518" w:type="pct"/>
            <w:tcBorders>
              <w:top w:val="nil"/>
              <w:left w:val="single" w:sz="4" w:space="0" w:color="auto"/>
              <w:bottom w:val="nil"/>
              <w:right w:val="single" w:sz="4" w:space="0" w:color="auto"/>
            </w:tcBorders>
            <w:shd w:val="clear" w:color="auto" w:fill="auto"/>
            <w:noWrap/>
            <w:vAlign w:val="center"/>
          </w:tcPr>
          <w:p>
            <w:pPr>
              <w:spacing w:after="0" w:line="240" w:lineRule="auto"/>
              <w:contextualSpacing/>
              <w:jc w:val="right"/>
              <w:rPr>
                <w:rFonts w:ascii="Verdana" w:eastAsia="Times New Roman" w:hAnsi="Verdana"/>
                <w:iCs/>
                <w:noProof/>
                <w:color w:val="000000"/>
                <w:sz w:val="12"/>
                <w:szCs w:val="12"/>
              </w:rPr>
            </w:pPr>
            <w:r>
              <w:rPr>
                <w:rFonts w:ascii="Verdana" w:hAnsi="Verdana"/>
                <w:noProof/>
                <w:sz w:val="14"/>
              </w:rPr>
              <w:t xml:space="preserve"> —</w:t>
            </w:r>
          </w:p>
        </w:tc>
        <w:tc>
          <w:tcPr>
            <w:tcW w:w="518" w:type="pct"/>
            <w:tcBorders>
              <w:top w:val="single" w:sz="4" w:space="0" w:color="auto"/>
              <w:left w:val="single" w:sz="4" w:space="0" w:color="auto"/>
              <w:right w:val="single" w:sz="4" w:space="0" w:color="auto"/>
            </w:tcBorders>
            <w:shd w:val="clear" w:color="000000" w:fill="FFFFFF"/>
            <w:noWrap/>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 xml:space="preserve"> 23</w:t>
            </w:r>
          </w:p>
        </w:tc>
        <w:tc>
          <w:tcPr>
            <w:tcW w:w="407" w:type="pct"/>
            <w:gridSpan w:val="2"/>
            <w:tcBorders>
              <w:top w:val="nil"/>
              <w:left w:val="single" w:sz="4" w:space="0" w:color="auto"/>
              <w:bottom w:val="nil"/>
              <w:right w:val="single" w:sz="8" w:space="0" w:color="auto"/>
            </w:tcBorders>
            <w:shd w:val="clear" w:color="auto" w:fill="auto"/>
            <w:noWrap/>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color w:val="000000"/>
                <w:sz w:val="14"/>
              </w:rPr>
              <w:t>3,0 %</w:t>
            </w:r>
          </w:p>
        </w:tc>
      </w:tr>
      <w:tr>
        <w:trPr>
          <w:trHeight w:val="159"/>
        </w:trPr>
        <w:tc>
          <w:tcPr>
            <w:tcW w:w="728" w:type="pct"/>
            <w:tcBorders>
              <w:top w:val="nil"/>
              <w:left w:val="single" w:sz="8" w:space="0" w:color="auto"/>
              <w:bottom w:val="nil"/>
              <w:right w:val="single" w:sz="8" w:space="0" w:color="auto"/>
            </w:tcBorders>
            <w:shd w:val="clear" w:color="auto" w:fill="auto"/>
            <w:noWrap/>
            <w:vAlign w:val="center"/>
          </w:tcPr>
          <w:p>
            <w:pPr>
              <w:spacing w:after="0" w:line="240" w:lineRule="auto"/>
              <w:contextualSpacing/>
              <w:rPr>
                <w:rFonts w:ascii="Verdana" w:eastAsia="Times New Roman" w:hAnsi="Verdana"/>
                <w:noProof/>
                <w:color w:val="000000"/>
                <w:sz w:val="12"/>
                <w:szCs w:val="12"/>
              </w:rPr>
            </w:pPr>
            <w:r>
              <w:rPr>
                <w:rFonts w:ascii="Verdana" w:hAnsi="Verdana"/>
                <w:noProof/>
                <w:color w:val="000000"/>
                <w:sz w:val="12"/>
              </w:rPr>
              <w:t>Politiques internes</w:t>
            </w:r>
          </w:p>
        </w:tc>
        <w:tc>
          <w:tcPr>
            <w:tcW w:w="528" w:type="pct"/>
            <w:tcBorders>
              <w:top w:val="nil"/>
              <w:left w:val="nil"/>
              <w:bottom w:val="nil"/>
              <w:right w:val="single" w:sz="8" w:space="0" w:color="auto"/>
            </w:tcBorders>
            <w:shd w:val="clear" w:color="auto" w:fill="auto"/>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1 239</w:t>
            </w:r>
          </w:p>
        </w:tc>
        <w:tc>
          <w:tcPr>
            <w:tcW w:w="444" w:type="pct"/>
            <w:tcBorders>
              <w:top w:val="nil"/>
              <w:left w:val="nil"/>
              <w:bottom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w:t>
            </w:r>
          </w:p>
        </w:tc>
        <w:tc>
          <w:tcPr>
            <w:tcW w:w="444" w:type="pct"/>
            <w:tcBorders>
              <w:top w:val="nil"/>
              <w:left w:val="single" w:sz="4" w:space="0" w:color="auto"/>
              <w:bottom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sz w:val="14"/>
              </w:rPr>
              <w:t xml:space="preserve"> 28</w:t>
            </w:r>
          </w:p>
        </w:tc>
        <w:tc>
          <w:tcPr>
            <w:tcW w:w="444" w:type="pct"/>
            <w:tcBorders>
              <w:top w:val="nil"/>
              <w:left w:val="single" w:sz="4" w:space="0" w:color="auto"/>
              <w:bottom w:val="nil"/>
              <w:right w:val="single" w:sz="4" w:space="0" w:color="auto"/>
            </w:tcBorders>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 xml:space="preserve"> 28</w:t>
            </w:r>
          </w:p>
        </w:tc>
        <w:tc>
          <w:tcPr>
            <w:tcW w:w="443" w:type="pct"/>
            <w:tcBorders>
              <w:top w:val="nil"/>
              <w:left w:val="single" w:sz="4" w:space="0" w:color="auto"/>
              <w:bottom w:val="nil"/>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sz w:val="14"/>
              </w:rPr>
              <w:t>2,2 %</w:t>
            </w:r>
          </w:p>
        </w:tc>
        <w:tc>
          <w:tcPr>
            <w:tcW w:w="527" w:type="pct"/>
            <w:tcBorders>
              <w:top w:val="nil"/>
              <w:left w:val="single" w:sz="8" w:space="0" w:color="auto"/>
              <w:bottom w:val="single" w:sz="4" w:space="0" w:color="auto"/>
              <w:right w:val="single" w:sz="4" w:space="0" w:color="auto"/>
            </w:tcBorders>
            <w:shd w:val="clear" w:color="000000" w:fill="FFFFFF"/>
            <w:vAlign w:val="center"/>
          </w:tcPr>
          <w:p>
            <w:pPr>
              <w:spacing w:after="0" w:line="240" w:lineRule="auto"/>
              <w:contextualSpacing/>
              <w:jc w:val="right"/>
              <w:rPr>
                <w:rFonts w:ascii="Verdana" w:eastAsia="Times New Roman" w:hAnsi="Verdana"/>
                <w:bCs/>
                <w:noProof/>
                <w:color w:val="000000"/>
                <w:sz w:val="12"/>
                <w:szCs w:val="12"/>
              </w:rPr>
            </w:pPr>
            <w:r>
              <w:rPr>
                <w:rFonts w:ascii="Verdana" w:hAnsi="Verdana"/>
                <w:noProof/>
                <w:sz w:val="14"/>
              </w:rPr>
              <w:t xml:space="preserve"> —</w:t>
            </w:r>
          </w:p>
        </w:tc>
        <w:tc>
          <w:tcPr>
            <w:tcW w:w="518" w:type="pct"/>
            <w:tcBorders>
              <w:top w:val="nil"/>
              <w:left w:val="single" w:sz="4" w:space="0" w:color="auto"/>
              <w:bottom w:val="nil"/>
              <w:right w:val="single" w:sz="4" w:space="0" w:color="auto"/>
            </w:tcBorders>
            <w:shd w:val="clear" w:color="auto" w:fill="auto"/>
            <w:vAlign w:val="center"/>
          </w:tcPr>
          <w:p>
            <w:pPr>
              <w:spacing w:after="0" w:line="240" w:lineRule="auto"/>
              <w:contextualSpacing/>
              <w:jc w:val="right"/>
              <w:rPr>
                <w:rFonts w:ascii="Verdana" w:eastAsia="Times New Roman" w:hAnsi="Verdana"/>
                <w:iCs/>
                <w:noProof/>
                <w:color w:val="000000"/>
                <w:sz w:val="12"/>
                <w:szCs w:val="12"/>
              </w:rPr>
            </w:pPr>
            <w:r>
              <w:rPr>
                <w:rFonts w:ascii="Verdana" w:hAnsi="Verdana"/>
                <w:noProof/>
                <w:sz w:val="14"/>
              </w:rPr>
              <w:t xml:space="preserve"> 24</w:t>
            </w:r>
          </w:p>
        </w:tc>
        <w:tc>
          <w:tcPr>
            <w:tcW w:w="518" w:type="pct"/>
            <w:tcBorders>
              <w:top w:val="nil"/>
              <w:left w:val="single" w:sz="4" w:space="0" w:color="auto"/>
              <w:bottom w:val="single" w:sz="4" w:space="0" w:color="auto"/>
              <w:right w:val="single" w:sz="4" w:space="0" w:color="auto"/>
            </w:tcBorders>
            <w:shd w:val="clear" w:color="000000" w:fill="FFFFFF"/>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 xml:space="preserve"> 24</w:t>
            </w:r>
          </w:p>
        </w:tc>
        <w:tc>
          <w:tcPr>
            <w:tcW w:w="407" w:type="pct"/>
            <w:gridSpan w:val="2"/>
            <w:tcBorders>
              <w:top w:val="nil"/>
              <w:left w:val="single" w:sz="4" w:space="0" w:color="auto"/>
              <w:bottom w:val="nil"/>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color w:val="000000"/>
                <w:sz w:val="14"/>
              </w:rPr>
              <w:t>2,0 %</w:t>
            </w:r>
          </w:p>
        </w:tc>
      </w:tr>
      <w:tr>
        <w:trPr>
          <w:trHeight w:val="329"/>
        </w:trPr>
        <w:tc>
          <w:tcPr>
            <w:tcW w:w="728" w:type="pct"/>
            <w:tcBorders>
              <w:top w:val="single" w:sz="4" w:space="0" w:color="auto"/>
              <w:left w:val="single" w:sz="8" w:space="0" w:color="auto"/>
              <w:bottom w:val="single" w:sz="4" w:space="0" w:color="auto"/>
              <w:right w:val="single" w:sz="8" w:space="0" w:color="auto"/>
            </w:tcBorders>
            <w:shd w:val="clear" w:color="000000" w:fill="D9D9D9"/>
            <w:noWrap/>
            <w:vAlign w:val="center"/>
            <w:hideMark/>
          </w:tcPr>
          <w:p>
            <w:pPr>
              <w:spacing w:after="0" w:line="240" w:lineRule="auto"/>
              <w:contextualSpacing/>
              <w:rPr>
                <w:rFonts w:ascii="Verdana" w:eastAsia="Times New Roman" w:hAnsi="Verdana"/>
                <w:b/>
                <w:bCs/>
                <w:i/>
                <w:iCs/>
                <w:noProof/>
                <w:color w:val="000000"/>
                <w:sz w:val="12"/>
                <w:szCs w:val="12"/>
              </w:rPr>
            </w:pPr>
            <w:r>
              <w:rPr>
                <w:rFonts w:ascii="Verdana" w:hAnsi="Verdana"/>
                <w:b/>
                <w:i/>
                <w:noProof/>
                <w:color w:val="000000"/>
                <w:sz w:val="12"/>
              </w:rPr>
              <w:t>L'Europe dans le monde</w:t>
            </w:r>
          </w:p>
        </w:tc>
        <w:tc>
          <w:tcPr>
            <w:tcW w:w="528" w:type="pct"/>
            <w:tcBorders>
              <w:top w:val="single" w:sz="4" w:space="0" w:color="auto"/>
              <w:left w:val="nil"/>
              <w:bottom w:val="single" w:sz="4" w:space="0" w:color="auto"/>
              <w:right w:val="single" w:sz="8"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color w:val="000000"/>
                <w:sz w:val="14"/>
              </w:rPr>
              <w:t>7 884</w:t>
            </w:r>
          </w:p>
        </w:tc>
        <w:tc>
          <w:tcPr>
            <w:tcW w:w="444" w:type="pct"/>
            <w:tcBorders>
              <w:top w:val="single" w:sz="4" w:space="0" w:color="auto"/>
              <w:left w:val="nil"/>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color w:val="000000"/>
                <w:sz w:val="14"/>
              </w:rPr>
              <w:t>—</w:t>
            </w:r>
          </w:p>
        </w:tc>
        <w:tc>
          <w:tcPr>
            <w:tcW w:w="444" w:type="pct"/>
            <w:tcBorders>
              <w:top w:val="single" w:sz="4"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 xml:space="preserve"> 132</w:t>
            </w:r>
          </w:p>
        </w:tc>
        <w:tc>
          <w:tcPr>
            <w:tcW w:w="444" w:type="pct"/>
            <w:tcBorders>
              <w:top w:val="single" w:sz="4"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 xml:space="preserve"> 132</w:t>
            </w:r>
          </w:p>
        </w:tc>
        <w:tc>
          <w:tcPr>
            <w:tcW w:w="443" w:type="pct"/>
            <w:tcBorders>
              <w:top w:val="single" w:sz="4" w:space="0" w:color="auto"/>
              <w:left w:val="single" w:sz="4" w:space="0" w:color="auto"/>
              <w:bottom w:val="single" w:sz="4" w:space="0" w:color="auto"/>
              <w:right w:val="single" w:sz="8"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1,7 %</w:t>
            </w:r>
          </w:p>
        </w:tc>
        <w:tc>
          <w:tcPr>
            <w:tcW w:w="527" w:type="pct"/>
            <w:tcBorders>
              <w:top w:val="single" w:sz="4" w:space="0" w:color="auto"/>
              <w:left w:val="single" w:sz="8"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w:t>
            </w:r>
          </w:p>
        </w:tc>
        <w:tc>
          <w:tcPr>
            <w:tcW w:w="518" w:type="pct"/>
            <w:tcBorders>
              <w:top w:val="single" w:sz="4"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Cs/>
                <w:noProof/>
                <w:color w:val="000000"/>
                <w:sz w:val="12"/>
                <w:szCs w:val="12"/>
              </w:rPr>
            </w:pPr>
            <w:r>
              <w:rPr>
                <w:rFonts w:ascii="Verdana" w:hAnsi="Verdana"/>
                <w:b/>
                <w:i/>
                <w:noProof/>
                <w:sz w:val="14"/>
              </w:rPr>
              <w:t xml:space="preserve"> 136</w:t>
            </w:r>
          </w:p>
        </w:tc>
        <w:tc>
          <w:tcPr>
            <w:tcW w:w="518" w:type="pct"/>
            <w:tcBorders>
              <w:top w:val="single" w:sz="4"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 xml:space="preserve"> 136</w:t>
            </w:r>
          </w:p>
        </w:tc>
        <w:tc>
          <w:tcPr>
            <w:tcW w:w="407" w:type="pct"/>
            <w:gridSpan w:val="2"/>
            <w:tcBorders>
              <w:top w:val="single" w:sz="4" w:space="0" w:color="auto"/>
              <w:left w:val="single" w:sz="4" w:space="0" w:color="auto"/>
              <w:bottom w:val="single" w:sz="4" w:space="0" w:color="auto"/>
              <w:right w:val="single" w:sz="8"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color w:val="000000"/>
                <w:sz w:val="14"/>
              </w:rPr>
              <w:t>1,7 %</w:t>
            </w:r>
          </w:p>
        </w:tc>
      </w:tr>
      <w:tr>
        <w:trPr>
          <w:trHeight w:val="159"/>
        </w:trPr>
        <w:tc>
          <w:tcPr>
            <w:tcW w:w="728" w:type="pct"/>
            <w:tcBorders>
              <w:top w:val="nil"/>
              <w:left w:val="single" w:sz="8" w:space="0" w:color="auto"/>
              <w:bottom w:val="nil"/>
              <w:right w:val="single" w:sz="8" w:space="0" w:color="auto"/>
            </w:tcBorders>
            <w:shd w:val="clear" w:color="auto" w:fill="auto"/>
            <w:noWrap/>
            <w:vAlign w:val="center"/>
          </w:tcPr>
          <w:p>
            <w:pPr>
              <w:spacing w:after="0" w:line="240" w:lineRule="auto"/>
              <w:contextualSpacing/>
              <w:rPr>
                <w:rFonts w:ascii="Verdana" w:eastAsia="Times New Roman" w:hAnsi="Verdana"/>
                <w:noProof/>
                <w:color w:val="000000"/>
                <w:sz w:val="12"/>
                <w:szCs w:val="12"/>
              </w:rPr>
            </w:pPr>
            <w:r>
              <w:rPr>
                <w:rFonts w:ascii="Verdana" w:hAnsi="Verdana"/>
                <w:noProof/>
                <w:color w:val="000000"/>
                <w:sz w:val="12"/>
              </w:rPr>
              <w:t>Politiques extérieures</w:t>
            </w:r>
          </w:p>
        </w:tc>
        <w:tc>
          <w:tcPr>
            <w:tcW w:w="528" w:type="pct"/>
            <w:tcBorders>
              <w:top w:val="nil"/>
              <w:left w:val="nil"/>
              <w:bottom w:val="nil"/>
              <w:right w:val="single" w:sz="8" w:space="0" w:color="auto"/>
            </w:tcBorders>
            <w:shd w:val="clear" w:color="auto" w:fill="auto"/>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7 884</w:t>
            </w:r>
          </w:p>
        </w:tc>
        <w:tc>
          <w:tcPr>
            <w:tcW w:w="444" w:type="pct"/>
            <w:tcBorders>
              <w:top w:val="nil"/>
              <w:left w:val="nil"/>
              <w:bottom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w:t>
            </w:r>
          </w:p>
        </w:tc>
        <w:tc>
          <w:tcPr>
            <w:tcW w:w="444" w:type="pct"/>
            <w:tcBorders>
              <w:top w:val="nil"/>
              <w:left w:val="single" w:sz="4" w:space="0" w:color="auto"/>
              <w:bottom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sz w:val="14"/>
              </w:rPr>
              <w:t xml:space="preserve"> 132</w:t>
            </w:r>
          </w:p>
        </w:tc>
        <w:tc>
          <w:tcPr>
            <w:tcW w:w="444" w:type="pct"/>
            <w:tcBorders>
              <w:top w:val="nil"/>
              <w:left w:val="single" w:sz="4" w:space="0" w:color="auto"/>
              <w:bottom w:val="nil"/>
              <w:right w:val="single" w:sz="4" w:space="0" w:color="auto"/>
            </w:tcBorders>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 xml:space="preserve"> 132</w:t>
            </w:r>
          </w:p>
        </w:tc>
        <w:tc>
          <w:tcPr>
            <w:tcW w:w="443" w:type="pct"/>
            <w:tcBorders>
              <w:top w:val="nil"/>
              <w:left w:val="single" w:sz="4" w:space="0" w:color="auto"/>
              <w:bottom w:val="nil"/>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sz w:val="14"/>
              </w:rPr>
              <w:t>1,7 %</w:t>
            </w:r>
          </w:p>
        </w:tc>
        <w:tc>
          <w:tcPr>
            <w:tcW w:w="527" w:type="pct"/>
            <w:tcBorders>
              <w:top w:val="single" w:sz="4" w:space="0" w:color="auto"/>
              <w:left w:val="single" w:sz="8" w:space="0" w:color="auto"/>
              <w:right w:val="single" w:sz="4" w:space="0" w:color="auto"/>
            </w:tcBorders>
            <w:shd w:val="clear" w:color="000000" w:fill="FFFFFF"/>
            <w:vAlign w:val="center"/>
          </w:tcPr>
          <w:p>
            <w:pPr>
              <w:spacing w:after="0" w:line="240" w:lineRule="auto"/>
              <w:contextualSpacing/>
              <w:jc w:val="right"/>
              <w:rPr>
                <w:rFonts w:ascii="Verdana" w:eastAsia="Times New Roman" w:hAnsi="Verdana"/>
                <w:bCs/>
                <w:noProof/>
                <w:color w:val="000000"/>
                <w:sz w:val="12"/>
                <w:szCs w:val="12"/>
              </w:rPr>
            </w:pPr>
            <w:r>
              <w:rPr>
                <w:rFonts w:ascii="Verdana" w:hAnsi="Verdana"/>
                <w:noProof/>
                <w:sz w:val="14"/>
              </w:rPr>
              <w:t xml:space="preserve"> —</w:t>
            </w:r>
          </w:p>
        </w:tc>
        <w:tc>
          <w:tcPr>
            <w:tcW w:w="518" w:type="pct"/>
            <w:tcBorders>
              <w:top w:val="nil"/>
              <w:left w:val="single" w:sz="4" w:space="0" w:color="auto"/>
              <w:bottom w:val="nil"/>
              <w:right w:val="single" w:sz="4" w:space="0" w:color="auto"/>
            </w:tcBorders>
            <w:shd w:val="clear" w:color="auto" w:fill="auto"/>
            <w:vAlign w:val="center"/>
          </w:tcPr>
          <w:p>
            <w:pPr>
              <w:spacing w:after="0" w:line="240" w:lineRule="auto"/>
              <w:contextualSpacing/>
              <w:jc w:val="right"/>
              <w:rPr>
                <w:rFonts w:ascii="Verdana" w:eastAsia="Times New Roman" w:hAnsi="Verdana"/>
                <w:iCs/>
                <w:noProof/>
                <w:color w:val="000000"/>
                <w:sz w:val="12"/>
                <w:szCs w:val="12"/>
              </w:rPr>
            </w:pPr>
            <w:r>
              <w:rPr>
                <w:rFonts w:ascii="Verdana" w:hAnsi="Verdana"/>
                <w:noProof/>
                <w:sz w:val="14"/>
              </w:rPr>
              <w:t xml:space="preserve"> 136</w:t>
            </w:r>
          </w:p>
        </w:tc>
        <w:tc>
          <w:tcPr>
            <w:tcW w:w="518" w:type="pct"/>
            <w:tcBorders>
              <w:top w:val="single" w:sz="4" w:space="0" w:color="auto"/>
              <w:left w:val="single" w:sz="4" w:space="0" w:color="auto"/>
              <w:right w:val="single" w:sz="4" w:space="0" w:color="auto"/>
            </w:tcBorders>
            <w:shd w:val="clear" w:color="000000" w:fill="FFFFFF"/>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 xml:space="preserve"> 136</w:t>
            </w:r>
          </w:p>
        </w:tc>
        <w:tc>
          <w:tcPr>
            <w:tcW w:w="407" w:type="pct"/>
            <w:gridSpan w:val="2"/>
            <w:tcBorders>
              <w:top w:val="nil"/>
              <w:left w:val="single" w:sz="4" w:space="0" w:color="auto"/>
              <w:bottom w:val="nil"/>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color w:val="000000"/>
                <w:sz w:val="14"/>
              </w:rPr>
              <w:t>1,7 %</w:t>
            </w:r>
          </w:p>
        </w:tc>
      </w:tr>
      <w:tr>
        <w:trPr>
          <w:trHeight w:val="329"/>
        </w:trPr>
        <w:tc>
          <w:tcPr>
            <w:tcW w:w="728" w:type="pct"/>
            <w:tcBorders>
              <w:top w:val="single" w:sz="4" w:space="0" w:color="auto"/>
              <w:left w:val="single" w:sz="8" w:space="0" w:color="auto"/>
              <w:bottom w:val="single" w:sz="4" w:space="0" w:color="auto"/>
              <w:right w:val="single" w:sz="8" w:space="0" w:color="auto"/>
            </w:tcBorders>
            <w:shd w:val="clear" w:color="000000" w:fill="D9D9D9"/>
            <w:noWrap/>
            <w:vAlign w:val="center"/>
            <w:hideMark/>
          </w:tcPr>
          <w:p>
            <w:pPr>
              <w:spacing w:after="0" w:line="240" w:lineRule="auto"/>
              <w:contextualSpacing/>
              <w:rPr>
                <w:rFonts w:ascii="Verdana" w:eastAsia="Times New Roman" w:hAnsi="Verdana"/>
                <w:b/>
                <w:bCs/>
                <w:i/>
                <w:iCs/>
                <w:noProof/>
                <w:color w:val="000000"/>
                <w:sz w:val="12"/>
                <w:szCs w:val="12"/>
              </w:rPr>
            </w:pPr>
            <w:r>
              <w:rPr>
                <w:rFonts w:ascii="Verdana" w:hAnsi="Verdana"/>
                <w:b/>
                <w:i/>
                <w:noProof/>
                <w:color w:val="000000"/>
                <w:sz w:val="12"/>
              </w:rPr>
              <w:t>Administration</w:t>
            </w:r>
          </w:p>
        </w:tc>
        <w:tc>
          <w:tcPr>
            <w:tcW w:w="528" w:type="pct"/>
            <w:tcBorders>
              <w:top w:val="single" w:sz="4" w:space="0" w:color="auto"/>
              <w:left w:val="nil"/>
              <w:bottom w:val="single" w:sz="4" w:space="0" w:color="auto"/>
              <w:right w:val="single" w:sz="8"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color w:val="000000"/>
                <w:sz w:val="14"/>
              </w:rPr>
              <w:t>8 978</w:t>
            </w:r>
          </w:p>
        </w:tc>
        <w:tc>
          <w:tcPr>
            <w:tcW w:w="444" w:type="pct"/>
            <w:tcBorders>
              <w:top w:val="single" w:sz="4" w:space="0" w:color="auto"/>
              <w:left w:val="nil"/>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color w:val="000000"/>
                <w:sz w:val="14"/>
              </w:rPr>
              <w:t>—</w:t>
            </w:r>
          </w:p>
        </w:tc>
        <w:tc>
          <w:tcPr>
            <w:tcW w:w="444" w:type="pct"/>
            <w:tcBorders>
              <w:top w:val="single" w:sz="4"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 xml:space="preserve"> 5</w:t>
            </w:r>
          </w:p>
        </w:tc>
        <w:tc>
          <w:tcPr>
            <w:tcW w:w="444" w:type="pct"/>
            <w:tcBorders>
              <w:top w:val="single" w:sz="4"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 xml:space="preserve"> 5</w:t>
            </w:r>
          </w:p>
        </w:tc>
        <w:tc>
          <w:tcPr>
            <w:tcW w:w="443" w:type="pct"/>
            <w:tcBorders>
              <w:top w:val="single" w:sz="4" w:space="0" w:color="auto"/>
              <w:left w:val="single" w:sz="4" w:space="0" w:color="auto"/>
              <w:bottom w:val="single" w:sz="4" w:space="0" w:color="auto"/>
              <w:right w:val="single" w:sz="8"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0,1 %</w:t>
            </w:r>
          </w:p>
        </w:tc>
        <w:tc>
          <w:tcPr>
            <w:tcW w:w="527" w:type="pct"/>
            <w:tcBorders>
              <w:top w:val="single" w:sz="4" w:space="0" w:color="auto"/>
              <w:left w:val="single" w:sz="8"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w:t>
            </w:r>
          </w:p>
        </w:tc>
        <w:tc>
          <w:tcPr>
            <w:tcW w:w="518" w:type="pct"/>
            <w:tcBorders>
              <w:top w:val="single" w:sz="4"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Cs/>
                <w:noProof/>
                <w:color w:val="000000"/>
                <w:sz w:val="12"/>
                <w:szCs w:val="12"/>
              </w:rPr>
            </w:pPr>
            <w:r>
              <w:rPr>
                <w:rFonts w:ascii="Verdana" w:hAnsi="Verdana"/>
                <w:b/>
                <w:i/>
                <w:noProof/>
                <w:sz w:val="14"/>
              </w:rPr>
              <w:t xml:space="preserve"> 5</w:t>
            </w:r>
          </w:p>
        </w:tc>
        <w:tc>
          <w:tcPr>
            <w:tcW w:w="518" w:type="pct"/>
            <w:tcBorders>
              <w:top w:val="single" w:sz="4" w:space="0" w:color="auto"/>
              <w:left w:val="single" w:sz="4" w:space="0" w:color="auto"/>
              <w:bottom w:val="single" w:sz="4"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 xml:space="preserve"> 5</w:t>
            </w:r>
          </w:p>
        </w:tc>
        <w:tc>
          <w:tcPr>
            <w:tcW w:w="407" w:type="pct"/>
            <w:gridSpan w:val="2"/>
            <w:tcBorders>
              <w:top w:val="single" w:sz="4" w:space="0" w:color="auto"/>
              <w:left w:val="single" w:sz="4" w:space="0" w:color="auto"/>
              <w:bottom w:val="single" w:sz="4" w:space="0" w:color="auto"/>
              <w:right w:val="single" w:sz="8"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color w:val="000000"/>
                <w:sz w:val="14"/>
              </w:rPr>
              <w:t>0,1 %</w:t>
            </w:r>
          </w:p>
        </w:tc>
      </w:tr>
      <w:tr>
        <w:trPr>
          <w:trHeight w:val="159"/>
        </w:trPr>
        <w:tc>
          <w:tcPr>
            <w:tcW w:w="728" w:type="pct"/>
            <w:tcBorders>
              <w:top w:val="single" w:sz="4" w:space="0" w:color="auto"/>
              <w:left w:val="single" w:sz="8" w:space="0" w:color="auto"/>
              <w:bottom w:val="single" w:sz="4" w:space="0" w:color="auto"/>
              <w:right w:val="single" w:sz="8" w:space="0" w:color="auto"/>
            </w:tcBorders>
            <w:shd w:val="clear" w:color="auto" w:fill="auto"/>
            <w:noWrap/>
            <w:vAlign w:val="center"/>
          </w:tcPr>
          <w:p>
            <w:pPr>
              <w:spacing w:after="0" w:line="240" w:lineRule="auto"/>
              <w:contextualSpacing/>
              <w:rPr>
                <w:rFonts w:ascii="Verdana" w:eastAsia="Times New Roman" w:hAnsi="Verdana"/>
                <w:noProof/>
                <w:color w:val="000000"/>
                <w:sz w:val="12"/>
                <w:szCs w:val="12"/>
              </w:rPr>
            </w:pPr>
            <w:r>
              <w:rPr>
                <w:rFonts w:ascii="Verdana" w:hAnsi="Verdana"/>
                <w:noProof/>
                <w:color w:val="000000"/>
                <w:sz w:val="12"/>
              </w:rPr>
              <w:t>Administration</w:t>
            </w:r>
          </w:p>
        </w:tc>
        <w:tc>
          <w:tcPr>
            <w:tcW w:w="528" w:type="pct"/>
            <w:tcBorders>
              <w:top w:val="single" w:sz="4" w:space="0" w:color="auto"/>
              <w:left w:val="nil"/>
              <w:bottom w:val="single" w:sz="4" w:space="0" w:color="auto"/>
              <w:right w:val="single" w:sz="8" w:space="0" w:color="auto"/>
            </w:tcBorders>
            <w:shd w:val="clear" w:color="auto" w:fill="auto"/>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8 978</w:t>
            </w:r>
          </w:p>
        </w:tc>
        <w:tc>
          <w:tcPr>
            <w:tcW w:w="444" w:type="pct"/>
            <w:tcBorders>
              <w:top w:val="nil"/>
              <w:left w:val="nil"/>
              <w:bottom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color w:val="000000"/>
                <w:sz w:val="14"/>
              </w:rPr>
              <w:t>—</w:t>
            </w:r>
          </w:p>
        </w:tc>
        <w:tc>
          <w:tcPr>
            <w:tcW w:w="444" w:type="pct"/>
            <w:tcBorders>
              <w:top w:val="nil"/>
              <w:left w:val="single" w:sz="4" w:space="0" w:color="auto"/>
              <w:bottom w:val="nil"/>
              <w:right w:val="single" w:sz="4" w:space="0" w:color="auto"/>
            </w:tcBorders>
            <w:vAlign w:val="center"/>
          </w:tcPr>
          <w:p>
            <w:pPr>
              <w:spacing w:after="0" w:line="240" w:lineRule="auto"/>
              <w:contextualSpacing/>
              <w:jc w:val="right"/>
              <w:rPr>
                <w:rFonts w:ascii="Verdana" w:eastAsia="Times New Roman" w:hAnsi="Verdana"/>
                <w:noProof/>
                <w:color w:val="000000"/>
                <w:sz w:val="12"/>
                <w:szCs w:val="12"/>
              </w:rPr>
            </w:pPr>
            <w:r>
              <w:rPr>
                <w:rFonts w:ascii="Verdana" w:hAnsi="Verdana"/>
                <w:noProof/>
                <w:sz w:val="14"/>
              </w:rPr>
              <w:t xml:space="preserve"> 5</w:t>
            </w:r>
          </w:p>
        </w:tc>
        <w:tc>
          <w:tcPr>
            <w:tcW w:w="444" w:type="pct"/>
            <w:tcBorders>
              <w:top w:val="nil"/>
              <w:left w:val="single" w:sz="4" w:space="0" w:color="auto"/>
              <w:bottom w:val="nil"/>
              <w:right w:val="single" w:sz="4" w:space="0" w:color="auto"/>
            </w:tcBorders>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 xml:space="preserve"> 5</w:t>
            </w:r>
          </w:p>
        </w:tc>
        <w:tc>
          <w:tcPr>
            <w:tcW w:w="443" w:type="pct"/>
            <w:tcBorders>
              <w:top w:val="nil"/>
              <w:left w:val="single" w:sz="4" w:space="0" w:color="auto"/>
              <w:bottom w:val="nil"/>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sz w:val="14"/>
              </w:rPr>
              <w:t>0,1 %</w:t>
            </w:r>
          </w:p>
        </w:tc>
        <w:tc>
          <w:tcPr>
            <w:tcW w:w="527" w:type="pct"/>
            <w:tcBorders>
              <w:top w:val="single" w:sz="4" w:space="0" w:color="auto"/>
              <w:left w:val="single" w:sz="8" w:space="0" w:color="auto"/>
              <w:bottom w:val="nil"/>
              <w:right w:val="single" w:sz="4" w:space="0" w:color="auto"/>
            </w:tcBorders>
            <w:shd w:val="clear" w:color="000000" w:fill="FFFFFF"/>
            <w:vAlign w:val="center"/>
          </w:tcPr>
          <w:p>
            <w:pPr>
              <w:spacing w:after="0" w:line="240" w:lineRule="auto"/>
              <w:contextualSpacing/>
              <w:jc w:val="right"/>
              <w:rPr>
                <w:rFonts w:ascii="Verdana" w:eastAsia="Times New Roman" w:hAnsi="Verdana"/>
                <w:bCs/>
                <w:noProof/>
                <w:color w:val="000000"/>
                <w:sz w:val="12"/>
                <w:szCs w:val="12"/>
              </w:rPr>
            </w:pPr>
            <w:r>
              <w:rPr>
                <w:rFonts w:ascii="Verdana" w:hAnsi="Verdana"/>
                <w:noProof/>
                <w:sz w:val="14"/>
              </w:rPr>
              <w:t xml:space="preserve"> —</w:t>
            </w:r>
          </w:p>
        </w:tc>
        <w:tc>
          <w:tcPr>
            <w:tcW w:w="518" w:type="pct"/>
            <w:tcBorders>
              <w:top w:val="nil"/>
              <w:left w:val="single" w:sz="4" w:space="0" w:color="auto"/>
              <w:bottom w:val="nil"/>
              <w:right w:val="single" w:sz="4" w:space="0" w:color="auto"/>
            </w:tcBorders>
            <w:shd w:val="clear" w:color="auto" w:fill="auto"/>
            <w:vAlign w:val="center"/>
          </w:tcPr>
          <w:p>
            <w:pPr>
              <w:spacing w:after="0" w:line="240" w:lineRule="auto"/>
              <w:contextualSpacing/>
              <w:jc w:val="right"/>
              <w:rPr>
                <w:rFonts w:ascii="Verdana" w:eastAsia="Times New Roman" w:hAnsi="Verdana"/>
                <w:iCs/>
                <w:noProof/>
                <w:color w:val="000000"/>
                <w:sz w:val="12"/>
                <w:szCs w:val="12"/>
              </w:rPr>
            </w:pPr>
            <w:r>
              <w:rPr>
                <w:rFonts w:ascii="Verdana" w:hAnsi="Verdana"/>
                <w:noProof/>
                <w:sz w:val="14"/>
              </w:rPr>
              <w:t xml:space="preserve"> 5</w:t>
            </w:r>
          </w:p>
        </w:tc>
        <w:tc>
          <w:tcPr>
            <w:tcW w:w="518" w:type="pct"/>
            <w:tcBorders>
              <w:top w:val="single" w:sz="4" w:space="0" w:color="auto"/>
              <w:left w:val="single" w:sz="4" w:space="0" w:color="auto"/>
              <w:bottom w:val="nil"/>
              <w:right w:val="single" w:sz="4" w:space="0" w:color="auto"/>
            </w:tcBorders>
            <w:shd w:val="clear" w:color="000000" w:fill="FFFFFF"/>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 xml:space="preserve"> 5</w:t>
            </w:r>
          </w:p>
        </w:tc>
        <w:tc>
          <w:tcPr>
            <w:tcW w:w="407" w:type="pct"/>
            <w:gridSpan w:val="2"/>
            <w:tcBorders>
              <w:top w:val="nil"/>
              <w:left w:val="single" w:sz="4" w:space="0" w:color="auto"/>
              <w:bottom w:val="nil"/>
              <w:right w:val="single" w:sz="8" w:space="0" w:color="auto"/>
            </w:tcBorders>
            <w:shd w:val="clear" w:color="auto" w:fill="auto"/>
            <w:vAlign w:val="center"/>
          </w:tcPr>
          <w:p>
            <w:pPr>
              <w:spacing w:after="0" w:line="240" w:lineRule="auto"/>
              <w:contextualSpacing/>
              <w:jc w:val="right"/>
              <w:rPr>
                <w:rFonts w:ascii="Verdana" w:eastAsia="Times New Roman" w:hAnsi="Verdana"/>
                <w:i/>
                <w:iCs/>
                <w:noProof/>
                <w:color w:val="000000"/>
                <w:sz w:val="12"/>
                <w:szCs w:val="12"/>
              </w:rPr>
            </w:pPr>
            <w:r>
              <w:rPr>
                <w:rFonts w:ascii="Verdana" w:hAnsi="Verdana"/>
                <w:i/>
                <w:noProof/>
                <w:color w:val="000000"/>
                <w:sz w:val="14"/>
              </w:rPr>
              <w:t>0,1 %</w:t>
            </w:r>
          </w:p>
        </w:tc>
      </w:tr>
      <w:tr>
        <w:trPr>
          <w:trHeight w:val="347"/>
        </w:trPr>
        <w:tc>
          <w:tcPr>
            <w:tcW w:w="728" w:type="pct"/>
            <w:tcBorders>
              <w:top w:val="single" w:sz="4" w:space="0" w:color="auto"/>
              <w:left w:val="single" w:sz="8" w:space="0" w:color="auto"/>
              <w:bottom w:val="single" w:sz="8" w:space="0" w:color="auto"/>
              <w:right w:val="single" w:sz="8" w:space="0" w:color="auto"/>
            </w:tcBorders>
            <w:shd w:val="clear" w:color="000000" w:fill="D9D9D9"/>
            <w:noWrap/>
            <w:vAlign w:val="center"/>
            <w:hideMark/>
          </w:tcPr>
          <w:p>
            <w:pPr>
              <w:spacing w:after="0" w:line="240" w:lineRule="auto"/>
              <w:contextualSpacing/>
              <w:jc w:val="both"/>
              <w:rPr>
                <w:rFonts w:ascii="Verdana" w:eastAsia="Times New Roman" w:hAnsi="Verdana"/>
                <w:b/>
                <w:bCs/>
                <w:noProof/>
                <w:color w:val="000000"/>
                <w:sz w:val="12"/>
                <w:szCs w:val="12"/>
              </w:rPr>
            </w:pPr>
            <w:r>
              <w:rPr>
                <w:rFonts w:ascii="Verdana" w:hAnsi="Verdana"/>
                <w:b/>
                <w:noProof/>
                <w:color w:val="000000"/>
                <w:sz w:val="12"/>
              </w:rPr>
              <w:t>TOTAL</w:t>
            </w:r>
          </w:p>
        </w:tc>
        <w:tc>
          <w:tcPr>
            <w:tcW w:w="528" w:type="pct"/>
            <w:tcBorders>
              <w:top w:val="single" w:sz="4" w:space="0" w:color="auto"/>
              <w:left w:val="nil"/>
              <w:bottom w:val="single" w:sz="8" w:space="0" w:color="auto"/>
              <w:right w:val="single" w:sz="8" w:space="0" w:color="auto"/>
            </w:tcBorders>
            <w:shd w:val="clear" w:color="000000" w:fill="D9D9D9"/>
            <w:noWrap/>
            <w:vAlign w:val="center"/>
          </w:tcPr>
          <w:p>
            <w:pPr>
              <w:spacing w:after="0" w:line="240" w:lineRule="auto"/>
              <w:ind w:left="-14"/>
              <w:contextualSpacing/>
              <w:jc w:val="right"/>
              <w:rPr>
                <w:rFonts w:ascii="Verdana" w:eastAsia="Times New Roman" w:hAnsi="Verdana"/>
                <w:b/>
                <w:bCs/>
                <w:noProof/>
                <w:color w:val="000000"/>
                <w:sz w:val="12"/>
                <w:szCs w:val="12"/>
              </w:rPr>
            </w:pPr>
            <w:r>
              <w:rPr>
                <w:rFonts w:ascii="Verdana" w:hAnsi="Verdana"/>
                <w:b/>
                <w:noProof/>
                <w:color w:val="000000"/>
                <w:sz w:val="14"/>
              </w:rPr>
              <w:t>144 955*</w:t>
            </w:r>
          </w:p>
        </w:tc>
        <w:tc>
          <w:tcPr>
            <w:tcW w:w="444" w:type="pct"/>
            <w:tcBorders>
              <w:top w:val="single" w:sz="8" w:space="0" w:color="auto"/>
              <w:left w:val="nil"/>
              <w:bottom w:val="single" w:sz="8"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noProof/>
                <w:color w:val="000000"/>
                <w:sz w:val="14"/>
              </w:rPr>
              <w:t>2 732</w:t>
            </w:r>
          </w:p>
        </w:tc>
        <w:tc>
          <w:tcPr>
            <w:tcW w:w="444" w:type="pct"/>
            <w:tcBorders>
              <w:top w:val="single" w:sz="8" w:space="0" w:color="auto"/>
              <w:left w:val="single" w:sz="4" w:space="0" w:color="auto"/>
              <w:bottom w:val="single" w:sz="8"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noProof/>
                <w:sz w:val="14"/>
              </w:rPr>
              <w:t>767</w:t>
            </w:r>
          </w:p>
        </w:tc>
        <w:tc>
          <w:tcPr>
            <w:tcW w:w="444" w:type="pct"/>
            <w:tcBorders>
              <w:top w:val="single" w:sz="8" w:space="0" w:color="auto"/>
              <w:left w:val="single" w:sz="4" w:space="0" w:color="auto"/>
              <w:bottom w:val="single" w:sz="8" w:space="0" w:color="auto"/>
              <w:right w:val="single" w:sz="4" w:space="0" w:color="auto"/>
            </w:tcBorders>
            <w:shd w:val="clear" w:color="000000" w:fill="D9D9D9"/>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3 499</w:t>
            </w:r>
          </w:p>
        </w:tc>
        <w:tc>
          <w:tcPr>
            <w:tcW w:w="443" w:type="pct"/>
            <w:tcBorders>
              <w:top w:val="single" w:sz="8" w:space="0" w:color="auto"/>
              <w:left w:val="single" w:sz="4" w:space="0" w:color="auto"/>
              <w:bottom w:val="single" w:sz="8" w:space="0" w:color="auto"/>
              <w:right w:val="single" w:sz="8" w:space="0" w:color="auto"/>
            </w:tcBorders>
            <w:shd w:val="clear" w:color="000000" w:fill="D9D9D9"/>
            <w:noWrap/>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sz w:val="14"/>
              </w:rPr>
              <w:t>2,4 %</w:t>
            </w:r>
          </w:p>
        </w:tc>
        <w:tc>
          <w:tcPr>
            <w:tcW w:w="527" w:type="pct"/>
            <w:tcBorders>
              <w:top w:val="single" w:sz="8" w:space="0" w:color="auto"/>
              <w:left w:val="single" w:sz="8" w:space="0" w:color="auto"/>
              <w:bottom w:val="single" w:sz="8" w:space="0" w:color="auto"/>
              <w:right w:val="single" w:sz="4" w:space="0" w:color="auto"/>
            </w:tcBorders>
            <w:shd w:val="clear" w:color="000000" w:fill="D9D9D9"/>
            <w:noWrap/>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noProof/>
                <w:sz w:val="14"/>
              </w:rPr>
              <w:t>3 104</w:t>
            </w:r>
          </w:p>
        </w:tc>
        <w:tc>
          <w:tcPr>
            <w:tcW w:w="518" w:type="pct"/>
            <w:tcBorders>
              <w:top w:val="single" w:sz="8" w:space="0" w:color="auto"/>
              <w:left w:val="single" w:sz="4" w:space="0" w:color="auto"/>
              <w:bottom w:val="single" w:sz="8" w:space="0" w:color="auto"/>
              <w:right w:val="single" w:sz="4" w:space="0" w:color="auto"/>
            </w:tcBorders>
            <w:shd w:val="clear" w:color="000000" w:fill="D9D9D9"/>
            <w:noWrap/>
            <w:vAlign w:val="center"/>
          </w:tcPr>
          <w:p>
            <w:pPr>
              <w:spacing w:after="0" w:line="240" w:lineRule="auto"/>
              <w:contextualSpacing/>
              <w:jc w:val="right"/>
              <w:rPr>
                <w:rFonts w:ascii="Verdana" w:eastAsia="Times New Roman" w:hAnsi="Verdana"/>
                <w:b/>
                <w:bCs/>
                <w:iCs/>
                <w:noProof/>
                <w:color w:val="000000"/>
                <w:sz w:val="12"/>
                <w:szCs w:val="12"/>
              </w:rPr>
            </w:pPr>
            <w:r>
              <w:rPr>
                <w:rFonts w:ascii="Verdana" w:hAnsi="Verdana"/>
                <w:b/>
                <w:noProof/>
                <w:sz w:val="14"/>
              </w:rPr>
              <w:t>749</w:t>
            </w:r>
          </w:p>
        </w:tc>
        <w:tc>
          <w:tcPr>
            <w:tcW w:w="518" w:type="pct"/>
            <w:tcBorders>
              <w:top w:val="single" w:sz="8" w:space="0" w:color="auto"/>
              <w:left w:val="single" w:sz="4" w:space="0" w:color="auto"/>
              <w:bottom w:val="single" w:sz="8" w:space="0" w:color="auto"/>
              <w:right w:val="single" w:sz="4" w:space="0" w:color="auto"/>
            </w:tcBorders>
            <w:shd w:val="clear" w:color="000000" w:fill="D9D9D9"/>
            <w:noWrap/>
            <w:vAlign w:val="center"/>
          </w:tcPr>
          <w:p>
            <w:pPr>
              <w:spacing w:after="0" w:line="240" w:lineRule="auto"/>
              <w:contextualSpacing/>
              <w:jc w:val="right"/>
              <w:rPr>
                <w:rFonts w:ascii="Verdana" w:eastAsia="Times New Roman" w:hAnsi="Verdana"/>
                <w:b/>
                <w:bCs/>
                <w:noProof/>
                <w:color w:val="000000"/>
                <w:sz w:val="12"/>
                <w:szCs w:val="12"/>
              </w:rPr>
            </w:pPr>
            <w:r>
              <w:rPr>
                <w:rFonts w:ascii="Verdana" w:hAnsi="Verdana"/>
                <w:b/>
                <w:noProof/>
                <w:sz w:val="14"/>
              </w:rPr>
              <w:t>3 853</w:t>
            </w:r>
          </w:p>
        </w:tc>
        <w:tc>
          <w:tcPr>
            <w:tcW w:w="407" w:type="pct"/>
            <w:gridSpan w:val="2"/>
            <w:tcBorders>
              <w:top w:val="single" w:sz="8" w:space="0" w:color="auto"/>
              <w:left w:val="single" w:sz="4" w:space="0" w:color="auto"/>
              <w:bottom w:val="single" w:sz="8" w:space="0" w:color="auto"/>
              <w:right w:val="single" w:sz="8" w:space="0" w:color="auto"/>
            </w:tcBorders>
            <w:shd w:val="clear" w:color="000000" w:fill="D9D9D9"/>
            <w:noWrap/>
            <w:vAlign w:val="center"/>
          </w:tcPr>
          <w:p>
            <w:pPr>
              <w:spacing w:after="0" w:line="240" w:lineRule="auto"/>
              <w:contextualSpacing/>
              <w:jc w:val="right"/>
              <w:rPr>
                <w:rFonts w:ascii="Verdana" w:eastAsia="Times New Roman" w:hAnsi="Verdana"/>
                <w:b/>
                <w:bCs/>
                <w:i/>
                <w:iCs/>
                <w:noProof/>
                <w:color w:val="000000"/>
                <w:sz w:val="12"/>
                <w:szCs w:val="12"/>
              </w:rPr>
            </w:pPr>
            <w:r>
              <w:rPr>
                <w:rFonts w:ascii="Verdana" w:hAnsi="Verdana"/>
                <w:b/>
                <w:i/>
                <w:noProof/>
                <w:color w:val="000000"/>
                <w:sz w:val="14"/>
              </w:rPr>
              <w:t>2,7 %</w:t>
            </w:r>
          </w:p>
        </w:tc>
      </w:tr>
    </w:tbl>
    <w:p>
      <w:pPr>
        <w:tabs>
          <w:tab w:val="left" w:pos="284"/>
        </w:tabs>
        <w:spacing w:after="0" w:line="240" w:lineRule="auto"/>
        <w:ind w:left="720" w:hanging="720"/>
        <w:jc w:val="both"/>
        <w:rPr>
          <w:rFonts w:ascii="Verdana" w:hAnsi="Verdana"/>
          <w:i/>
          <w:noProof/>
          <w:sz w:val="14"/>
          <w:szCs w:val="16"/>
        </w:rPr>
      </w:pPr>
      <w:r>
        <w:rPr>
          <w:noProof/>
        </w:rPr>
        <w:tab/>
      </w:r>
      <w:r>
        <w:rPr>
          <w:rFonts w:ascii="Verdana" w:hAnsi="Verdana"/>
          <w:i/>
          <w:noProof/>
          <w:sz w:val="14"/>
        </w:rPr>
        <w:t>*</w:t>
      </w:r>
      <w:r>
        <w:rPr>
          <w:noProof/>
        </w:rPr>
        <w:tab/>
      </w:r>
      <w:r>
        <w:rPr>
          <w:rFonts w:ascii="Verdana" w:hAnsi="Verdana"/>
          <w:i/>
          <w:noProof/>
          <w:sz w:val="14"/>
        </w:rPr>
        <w:t>À l'exclusion d'un montant de 288 millions d’EUR payé au titre de la rubrique Instruments spéciaux.</w:t>
      </w:r>
    </w:p>
    <w:p>
      <w:pPr>
        <w:tabs>
          <w:tab w:val="left" w:pos="284"/>
        </w:tabs>
        <w:spacing w:line="240" w:lineRule="auto"/>
        <w:ind w:left="720" w:hanging="720"/>
        <w:jc w:val="both"/>
        <w:rPr>
          <w:rFonts w:ascii="Verdana" w:hAnsi="Verdana"/>
          <w:i/>
          <w:noProof/>
          <w:sz w:val="14"/>
          <w:szCs w:val="16"/>
        </w:rPr>
      </w:pPr>
      <w:r>
        <w:rPr>
          <w:noProof/>
        </w:rPr>
        <w:tab/>
      </w:r>
      <w:r>
        <w:rPr>
          <w:noProof/>
        </w:rPr>
        <w:tab/>
      </w:r>
      <w:r>
        <w:rPr>
          <w:rFonts w:ascii="Verdana" w:hAnsi="Verdana"/>
          <w:i/>
          <w:noProof/>
          <w:sz w:val="14"/>
        </w:rPr>
        <w:t>Il convient de noter que les chiffres ci-dessus peuvent légèrement différer de ceux figurant dans le rapport annuel sur la protection des intérêts financiers de l’UE et la lutte contre la fraude et les documents de travail y afférents, étant donné que ce rapport a été publié avant la présente communication, à un stade où seuls des chiffres provisoires étaient disponibles.</w:t>
      </w:r>
    </w:p>
    <w:p>
      <w:pPr>
        <w:spacing w:before="360" w:line="240" w:lineRule="auto"/>
        <w:jc w:val="both"/>
        <w:rPr>
          <w:rFonts w:ascii="Verdana" w:hAnsi="Verdana"/>
          <w:i/>
          <w:noProof/>
          <w:sz w:val="20"/>
        </w:rPr>
      </w:pPr>
      <w:r>
        <w:rPr>
          <w:rFonts w:ascii="Verdana" w:hAnsi="Verdana"/>
          <w:i/>
          <w:noProof/>
          <w:sz w:val="20"/>
        </w:rPr>
        <w:t>3.1.1 Agriculture et développement rural</w:t>
      </w:r>
    </w:p>
    <w:p>
      <w:pPr>
        <w:spacing w:line="240" w:lineRule="auto"/>
        <w:jc w:val="both"/>
        <w:rPr>
          <w:rFonts w:ascii="Verdana" w:hAnsi="Verdana" w:cs="Calibri"/>
          <w:noProof/>
          <w:sz w:val="20"/>
          <w:szCs w:val="20"/>
        </w:rPr>
      </w:pPr>
      <w:r>
        <w:rPr>
          <w:rFonts w:ascii="Verdana" w:hAnsi="Verdana"/>
          <w:i/>
          <w:noProof/>
          <w:sz w:val="20"/>
          <w:u w:val="single"/>
        </w:rPr>
        <w:t>Corrections financières:</w:t>
      </w:r>
    </w:p>
    <w:p>
      <w:pPr>
        <w:spacing w:after="120" w:line="240" w:lineRule="auto"/>
        <w:jc w:val="both"/>
        <w:rPr>
          <w:rFonts w:ascii="Verdana" w:hAnsi="Verdana" w:cs="Calibri"/>
          <w:noProof/>
          <w:sz w:val="18"/>
          <w:szCs w:val="20"/>
        </w:rPr>
      </w:pPr>
      <w:r>
        <w:rPr>
          <w:rFonts w:ascii="Verdana" w:hAnsi="Verdana"/>
          <w:noProof/>
          <w:sz w:val="18"/>
        </w:rPr>
        <w:t>Le niveau élevé de corrections financières confirmées en 2015 par la Commission témoigne des efforts considérables fournis par la direction générale de l’agriculture et du développement rural (DG AGRI) depuis 2013 pour accélérer les procédures d’apurement de conformité, notamment en traitant les procédures en suspens les plus anciennes. De ce fait, un grand nombre de corrections portant sur plusieurs exercices ont été confirmées en 2015. Dans l’avenir, une fois en vitesse de croisière, le montant annuel des corrections financières devrait se stabiliser autour de la moyenne des trois dernières années.</w:t>
      </w:r>
    </w:p>
    <w:p>
      <w:pPr>
        <w:spacing w:line="240" w:lineRule="auto"/>
        <w:jc w:val="both"/>
        <w:rPr>
          <w:rFonts w:ascii="Verdana" w:hAnsi="Verdana"/>
          <w:i/>
          <w:noProof/>
          <w:sz w:val="20"/>
          <w:u w:val="single"/>
        </w:rPr>
      </w:pPr>
      <w:r>
        <w:rPr>
          <w:rFonts w:ascii="Verdana" w:hAnsi="Verdana"/>
          <w:noProof/>
          <w:sz w:val="18"/>
        </w:rPr>
        <w:t>En outre, l’augmentation du nombre de tranches et de reports accordés aux États membres explique qu'au cours des trois dernières années (de 2012 à 2014), les montants exécutés pour l’agriculture et le développement rural aient été inférieurs aux montants arrêtés par la Commission. La différence devrait disparaître une fois la vitesse de croisière atteinte</w:t>
      </w:r>
      <w:r>
        <w:rPr>
          <w:rStyle w:val="FootnoteReference"/>
          <w:rFonts w:ascii="Verdana" w:hAnsi="Verdana"/>
          <w:noProof/>
          <w:sz w:val="18"/>
        </w:rPr>
        <w:footnoteReference w:id="8"/>
      </w:r>
      <w:r>
        <w:rPr>
          <w:rFonts w:ascii="Verdana" w:hAnsi="Verdana"/>
          <w:noProof/>
          <w:sz w:val="18"/>
        </w:rPr>
        <w:t>.</w:t>
      </w:r>
      <w:r>
        <w:rPr>
          <w:noProof/>
        </w:rPr>
        <w:br w:type="page"/>
      </w:r>
    </w:p>
    <w:p>
      <w:pPr>
        <w:spacing w:after="240" w:line="240" w:lineRule="auto"/>
        <w:jc w:val="both"/>
        <w:rPr>
          <w:rFonts w:ascii="Verdana" w:hAnsi="Verdana"/>
          <w:b/>
          <w:i/>
          <w:noProof/>
          <w:sz w:val="20"/>
        </w:rPr>
      </w:pPr>
      <w:r>
        <w:rPr>
          <w:rFonts w:ascii="Verdana" w:hAnsi="Verdana"/>
          <w:i/>
          <w:noProof/>
          <w:sz w:val="20"/>
          <w:u w:val="single"/>
        </w:rPr>
        <w:t>Recouvrements:</w:t>
      </w:r>
    </w:p>
    <w:tbl>
      <w:tblPr>
        <w:tblStyle w:val="TableGrid"/>
        <w:tblW w:w="0" w:type="auto"/>
        <w:tblLook w:val="04A0" w:firstRow="1" w:lastRow="0" w:firstColumn="1" w:lastColumn="0" w:noHBand="0" w:noVBand="1"/>
      </w:tblPr>
      <w:tblGrid>
        <w:gridCol w:w="3510"/>
        <w:gridCol w:w="5812"/>
      </w:tblGrid>
      <w:tr>
        <w:tc>
          <w:tcPr>
            <w:tcW w:w="351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after="120" w:line="240" w:lineRule="auto"/>
              <w:rPr>
                <w:rFonts w:ascii="Verdana" w:hAnsi="Verdana"/>
                <w:b/>
                <w:i/>
                <w:noProof/>
                <w:sz w:val="20"/>
              </w:rPr>
            </w:pPr>
            <w:r>
              <w:rPr>
                <w:rFonts w:ascii="Verdana" w:hAnsi="Verdana"/>
                <w:b/>
                <w:noProof/>
                <w:sz w:val="18"/>
              </w:rPr>
              <w:t>En 2015, les États membres ont recouvré auprès des bénéficiaires 155 millions d’EUR pour le FEAGA et 153 millions d’EUR pour le Feader.</w:t>
            </w:r>
          </w:p>
        </w:tc>
        <w:tc>
          <w:tcPr>
            <w:tcW w:w="5812" w:type="dxa"/>
            <w:tcBorders>
              <w:top w:val="nil"/>
              <w:left w:val="single" w:sz="12" w:space="0" w:color="auto"/>
              <w:bottom w:val="nil"/>
              <w:right w:val="nil"/>
            </w:tcBorders>
          </w:tcPr>
          <w:p>
            <w:pPr>
              <w:spacing w:after="120" w:line="240" w:lineRule="auto"/>
              <w:jc w:val="both"/>
              <w:rPr>
                <w:rFonts w:ascii="Verdana" w:hAnsi="Verdana"/>
                <w:b/>
                <w:i/>
                <w:noProof/>
                <w:sz w:val="20"/>
              </w:rPr>
            </w:pPr>
            <w:r>
              <w:rPr>
                <w:rFonts w:ascii="Verdana" w:hAnsi="Verdana"/>
                <w:noProof/>
                <w:sz w:val="18"/>
              </w:rPr>
              <w:t>En ce qui concerne la correction d'irrégularités commises par des bénéficiaires, les États membres doivent enregistrer et signaler, lors de l’exercice annuel d’apurement des comptes, le recouvrement des montants irréguliers dépensés.</w:t>
            </w:r>
          </w:p>
        </w:tc>
      </w:tr>
    </w:tbl>
    <w:p>
      <w:pPr>
        <w:spacing w:before="120" w:line="240" w:lineRule="auto"/>
        <w:jc w:val="both"/>
        <w:rPr>
          <w:rFonts w:ascii="Verdana" w:hAnsi="Verdana"/>
          <w:noProof/>
          <w:sz w:val="18"/>
        </w:rPr>
      </w:pPr>
      <w:r>
        <w:rPr>
          <w:rFonts w:ascii="Verdana" w:hAnsi="Verdana"/>
          <w:noProof/>
          <w:sz w:val="18"/>
        </w:rPr>
        <w:t>La responsabilité de recouvrer les paiements irréguliers directement auprès des bénéficiaires finals incombe aux seuls États membres. L’</w:t>
      </w:r>
      <w:r>
        <w:rPr>
          <w:rFonts w:ascii="Verdana" w:hAnsi="Verdana"/>
          <w:b/>
          <w:noProof/>
          <w:sz w:val="18"/>
        </w:rPr>
        <w:t>annexe 5</w:t>
      </w:r>
      <w:r>
        <w:rPr>
          <w:rFonts w:ascii="Verdana" w:hAnsi="Verdana"/>
          <w:noProof/>
          <w:sz w:val="18"/>
        </w:rPr>
        <w:t xml:space="preserve"> récapitule les montants recouvrés par les États membres en 2015 auprès des bénéficiaires (tels qu'indiqués par les États membres dans leur grand livre des débiteurs) et remboursés à la Commission. Ces montants sont traités comme des </w:t>
      </w:r>
      <w:r>
        <w:rPr>
          <w:rFonts w:ascii="Verdana" w:hAnsi="Verdana"/>
          <w:b/>
          <w:noProof/>
          <w:sz w:val="18"/>
        </w:rPr>
        <w:t>recettes affectées</w:t>
      </w:r>
      <w:r>
        <w:rPr>
          <w:rFonts w:ascii="Verdana" w:hAnsi="Verdana"/>
          <w:noProof/>
          <w:sz w:val="18"/>
        </w:rPr>
        <w:t xml:space="preserve"> pour le </w:t>
      </w:r>
      <w:r>
        <w:rPr>
          <w:rFonts w:ascii="Verdana" w:hAnsi="Verdana"/>
          <w:b/>
          <w:noProof/>
          <w:sz w:val="18"/>
        </w:rPr>
        <w:t>FEAGA</w:t>
      </w:r>
      <w:r>
        <w:rPr>
          <w:rFonts w:ascii="Verdana" w:hAnsi="Verdana"/>
          <w:noProof/>
          <w:sz w:val="18"/>
        </w:rPr>
        <w:t xml:space="preserve">, tandis que les montants recouvrés pour le </w:t>
      </w:r>
      <w:r>
        <w:rPr>
          <w:rFonts w:ascii="Verdana" w:hAnsi="Verdana"/>
          <w:b/>
          <w:noProof/>
          <w:sz w:val="18"/>
        </w:rPr>
        <w:t>Feader peuvent être réaffectés au programme concerné</w:t>
      </w:r>
      <w:r>
        <w:rPr>
          <w:rFonts w:ascii="Verdana" w:hAnsi="Verdana"/>
          <w:noProof/>
          <w:sz w:val="18"/>
        </w:rPr>
        <w:t>.</w:t>
      </w:r>
    </w:p>
    <w:p>
      <w:pPr>
        <w:widowControl w:val="0"/>
        <w:autoSpaceDE w:val="0"/>
        <w:autoSpaceDN w:val="0"/>
        <w:adjustRightInd w:val="0"/>
        <w:spacing w:line="240" w:lineRule="auto"/>
        <w:jc w:val="both"/>
        <w:rPr>
          <w:rFonts w:ascii="Verdana" w:hAnsi="Verdana"/>
          <w:i/>
          <w:noProof/>
          <w:sz w:val="20"/>
        </w:rPr>
      </w:pPr>
      <w:r>
        <w:rPr>
          <w:rFonts w:ascii="Verdana" w:hAnsi="Verdana"/>
          <w:i/>
          <w:noProof/>
          <w:sz w:val="20"/>
        </w:rPr>
        <w:t>3.1.2 Période de programmation 2000-2006 du Fonds de cohésion</w:t>
      </w:r>
    </w:p>
    <w:p>
      <w:pPr>
        <w:widowControl w:val="0"/>
        <w:tabs>
          <w:tab w:val="left" w:pos="1280"/>
        </w:tabs>
        <w:autoSpaceDE w:val="0"/>
        <w:autoSpaceDN w:val="0"/>
        <w:adjustRightInd w:val="0"/>
        <w:spacing w:line="240" w:lineRule="auto"/>
        <w:ind w:right="57"/>
        <w:jc w:val="both"/>
        <w:rPr>
          <w:rFonts w:ascii="Verdana" w:eastAsia="Times New Roman" w:hAnsi="Verdana"/>
          <w:noProof/>
          <w:sz w:val="18"/>
          <w:szCs w:val="20"/>
        </w:rPr>
      </w:pPr>
      <w:r>
        <w:rPr>
          <w:rFonts w:ascii="Verdana" w:hAnsi="Verdana"/>
          <w:noProof/>
          <w:sz w:val="18"/>
        </w:rPr>
        <w:t xml:space="preserve">La phase avancée du processus de clôture des programmes du </w:t>
      </w:r>
      <w:r>
        <w:rPr>
          <w:rFonts w:ascii="Verdana" w:hAnsi="Verdana"/>
          <w:b/>
          <w:noProof/>
          <w:sz w:val="18"/>
        </w:rPr>
        <w:t>FEDER</w:t>
      </w:r>
      <w:r>
        <w:rPr>
          <w:rFonts w:ascii="Verdana" w:hAnsi="Verdana"/>
          <w:noProof/>
          <w:sz w:val="18"/>
        </w:rPr>
        <w:t xml:space="preserve"> et des projets du </w:t>
      </w:r>
      <w:r>
        <w:rPr>
          <w:rFonts w:ascii="Verdana" w:hAnsi="Verdana"/>
          <w:b/>
          <w:noProof/>
          <w:sz w:val="18"/>
        </w:rPr>
        <w:t>Fonds de cohésion</w:t>
      </w:r>
      <w:r>
        <w:rPr>
          <w:rFonts w:ascii="Verdana" w:hAnsi="Verdana"/>
          <w:noProof/>
          <w:sz w:val="18"/>
        </w:rPr>
        <w:t xml:space="preserve"> ont entraîné les corrections financières suivantes, imposées aux États membres en 2015 et acceptées par eux:</w:t>
      </w:r>
    </w:p>
    <w:tbl>
      <w:tblPr>
        <w:tblStyle w:val="TableGrid"/>
        <w:tblW w:w="9322" w:type="dxa"/>
        <w:tblLook w:val="04A0" w:firstRow="1" w:lastRow="0" w:firstColumn="1" w:lastColumn="0" w:noHBand="0" w:noVBand="1"/>
      </w:tblPr>
      <w:tblGrid>
        <w:gridCol w:w="5353"/>
        <w:gridCol w:w="3969"/>
      </w:tblGrid>
      <w:tr>
        <w:trPr>
          <w:trHeight w:val="743"/>
        </w:trPr>
        <w:tc>
          <w:tcPr>
            <w:tcW w:w="5353" w:type="dxa"/>
            <w:vMerge w:val="restart"/>
            <w:tcBorders>
              <w:top w:val="nil"/>
              <w:left w:val="nil"/>
              <w:bottom w:val="nil"/>
              <w:right w:val="single" w:sz="12" w:space="0" w:color="auto"/>
            </w:tcBorders>
          </w:tcPr>
          <w:p>
            <w:pPr>
              <w:widowControl w:val="0"/>
              <w:tabs>
                <w:tab w:val="left" w:pos="284"/>
              </w:tabs>
              <w:autoSpaceDE w:val="0"/>
              <w:autoSpaceDN w:val="0"/>
              <w:adjustRightInd w:val="0"/>
              <w:spacing w:line="240" w:lineRule="auto"/>
              <w:ind w:right="57"/>
              <w:jc w:val="both"/>
              <w:rPr>
                <w:rFonts w:ascii="Verdana" w:hAnsi="Verdana"/>
                <w:noProof/>
                <w:sz w:val="18"/>
                <w:szCs w:val="20"/>
              </w:rPr>
            </w:pPr>
            <w:r>
              <w:rPr>
                <w:rFonts w:ascii="Verdana" w:hAnsi="Verdana"/>
                <w:noProof/>
                <w:sz w:val="18"/>
              </w:rPr>
              <w:t xml:space="preserve">— </w:t>
            </w:r>
            <w:r>
              <w:rPr>
                <w:noProof/>
              </w:rPr>
              <w:tab/>
            </w:r>
            <w:r>
              <w:rPr>
                <w:rFonts w:ascii="Verdana" w:hAnsi="Verdana"/>
                <w:noProof/>
                <w:sz w:val="18"/>
              </w:rPr>
              <w:t xml:space="preserve">des corrections à hauteur de 155 millions d’EUR pour la clôture de programmes du </w:t>
            </w:r>
            <w:r>
              <w:rPr>
                <w:rFonts w:ascii="Verdana" w:hAnsi="Verdana"/>
                <w:b/>
                <w:noProof/>
                <w:sz w:val="18"/>
              </w:rPr>
              <w:t>FEDER</w:t>
            </w:r>
            <w:r>
              <w:rPr>
                <w:rFonts w:ascii="Verdana" w:hAnsi="Verdana"/>
                <w:noProof/>
                <w:sz w:val="18"/>
              </w:rPr>
              <w:t xml:space="preserve"> dans sept États membres, dont les montants les plus significatifs concernent l’Italie (108 millions d’EUR) et la Grèce (34 millions d’EUR);</w:t>
            </w:r>
          </w:p>
          <w:p>
            <w:pPr>
              <w:widowControl w:val="0"/>
              <w:tabs>
                <w:tab w:val="left" w:pos="284"/>
              </w:tabs>
              <w:autoSpaceDE w:val="0"/>
              <w:autoSpaceDN w:val="0"/>
              <w:adjustRightInd w:val="0"/>
              <w:spacing w:line="240" w:lineRule="auto"/>
              <w:ind w:right="57"/>
              <w:jc w:val="both"/>
              <w:rPr>
                <w:rFonts w:ascii="Verdana" w:hAnsi="Verdana"/>
                <w:noProof/>
                <w:sz w:val="18"/>
                <w:szCs w:val="20"/>
              </w:rPr>
            </w:pPr>
            <w:r>
              <w:rPr>
                <w:rFonts w:ascii="Verdana" w:hAnsi="Verdana"/>
                <w:noProof/>
                <w:sz w:val="18"/>
              </w:rPr>
              <w:t xml:space="preserve">— </w:t>
            </w:r>
            <w:r>
              <w:rPr>
                <w:noProof/>
              </w:rPr>
              <w:tab/>
            </w:r>
            <w:r>
              <w:rPr>
                <w:rFonts w:ascii="Verdana" w:hAnsi="Verdana"/>
                <w:noProof/>
                <w:sz w:val="18"/>
              </w:rPr>
              <w:t xml:space="preserve">des corrections à hauteur de 53 millions d’EUR acceptées par treize États membres pour des projets du </w:t>
            </w:r>
            <w:r>
              <w:rPr>
                <w:rFonts w:ascii="Verdana" w:hAnsi="Verdana"/>
                <w:b/>
                <w:noProof/>
                <w:sz w:val="18"/>
              </w:rPr>
              <w:t>Fonds de cohésion</w:t>
            </w:r>
            <w:r>
              <w:rPr>
                <w:rFonts w:ascii="Verdana" w:hAnsi="Verdana"/>
                <w:noProof/>
                <w:sz w:val="18"/>
              </w:rPr>
              <w:t>, dont le montant le plus important concerne la République tchèque (16 millions d’EUR).</w:t>
            </w:r>
          </w:p>
        </w:tc>
        <w:tc>
          <w:tcPr>
            <w:tcW w:w="3969"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pPr>
              <w:spacing w:after="120"/>
              <w:rPr>
                <w:rFonts w:ascii="Verdana" w:hAnsi="Verdana" w:cs="Calibri"/>
                <w:b/>
                <w:noProof/>
                <w:sz w:val="18"/>
                <w:szCs w:val="20"/>
              </w:rPr>
            </w:pPr>
            <w:r>
              <w:rPr>
                <w:rFonts w:ascii="Verdana" w:hAnsi="Verdana"/>
                <w:b/>
                <w:noProof/>
                <w:sz w:val="18"/>
              </w:rPr>
              <w:t>Corrections financières confirmées:</w:t>
            </w:r>
          </w:p>
          <w:p>
            <w:pPr>
              <w:spacing w:after="120"/>
              <w:rPr>
                <w:rFonts w:ascii="Verdana" w:hAnsi="Verdana" w:cs="Calibri"/>
                <w:b/>
                <w:noProof/>
                <w:sz w:val="18"/>
                <w:szCs w:val="20"/>
              </w:rPr>
            </w:pPr>
            <w:r>
              <w:rPr>
                <w:rFonts w:ascii="Verdana" w:hAnsi="Verdana"/>
                <w:b/>
                <w:noProof/>
                <w:sz w:val="18"/>
              </w:rPr>
              <w:t>FEDER/FC — 208 millions d’EUR</w:t>
            </w:r>
          </w:p>
          <w:p>
            <w:pPr>
              <w:widowControl w:val="0"/>
              <w:tabs>
                <w:tab w:val="left" w:pos="1280"/>
              </w:tabs>
              <w:autoSpaceDE w:val="0"/>
              <w:autoSpaceDN w:val="0"/>
              <w:adjustRightInd w:val="0"/>
              <w:spacing w:line="240" w:lineRule="auto"/>
              <w:ind w:right="57"/>
              <w:jc w:val="both"/>
              <w:rPr>
                <w:rFonts w:ascii="Verdana" w:hAnsi="Verdana"/>
                <w:noProof/>
                <w:sz w:val="18"/>
                <w:szCs w:val="20"/>
              </w:rPr>
            </w:pPr>
            <w:r>
              <w:rPr>
                <w:rFonts w:ascii="Verdana" w:hAnsi="Verdana"/>
                <w:b/>
                <w:noProof/>
                <w:sz w:val="18"/>
              </w:rPr>
              <w:t>FSE — 179 millions d’EUR</w:t>
            </w:r>
          </w:p>
        </w:tc>
      </w:tr>
      <w:tr>
        <w:trPr>
          <w:trHeight w:val="700"/>
        </w:trPr>
        <w:tc>
          <w:tcPr>
            <w:tcW w:w="5353" w:type="dxa"/>
            <w:vMerge/>
            <w:tcBorders>
              <w:top w:val="nil"/>
              <w:left w:val="nil"/>
              <w:bottom w:val="nil"/>
              <w:right w:val="nil"/>
            </w:tcBorders>
          </w:tcPr>
          <w:p>
            <w:pPr>
              <w:widowControl w:val="0"/>
              <w:tabs>
                <w:tab w:val="left" w:pos="284"/>
              </w:tabs>
              <w:autoSpaceDE w:val="0"/>
              <w:autoSpaceDN w:val="0"/>
              <w:adjustRightInd w:val="0"/>
              <w:spacing w:line="240" w:lineRule="auto"/>
              <w:ind w:right="57"/>
              <w:jc w:val="both"/>
              <w:rPr>
                <w:rFonts w:ascii="Verdana" w:hAnsi="Verdana"/>
                <w:noProof/>
                <w:sz w:val="18"/>
                <w:szCs w:val="20"/>
              </w:rPr>
            </w:pPr>
          </w:p>
        </w:tc>
        <w:tc>
          <w:tcPr>
            <w:tcW w:w="3969" w:type="dxa"/>
            <w:tcBorders>
              <w:top w:val="single" w:sz="12" w:space="0" w:color="auto"/>
              <w:left w:val="nil"/>
              <w:bottom w:val="nil"/>
              <w:right w:val="nil"/>
            </w:tcBorders>
            <w:shd w:val="clear" w:color="auto" w:fill="FFFFFF" w:themeFill="background1"/>
          </w:tcPr>
          <w:p>
            <w:pPr>
              <w:spacing w:after="120"/>
              <w:rPr>
                <w:rFonts w:ascii="Verdana" w:hAnsi="Verdana" w:cs="Calibri"/>
                <w:b/>
                <w:noProof/>
                <w:sz w:val="18"/>
                <w:szCs w:val="20"/>
              </w:rPr>
            </w:pPr>
          </w:p>
        </w:tc>
      </w:tr>
    </w:tbl>
    <w:p>
      <w:pPr>
        <w:widowControl w:val="0"/>
        <w:tabs>
          <w:tab w:val="left" w:pos="1280"/>
        </w:tabs>
        <w:autoSpaceDE w:val="0"/>
        <w:autoSpaceDN w:val="0"/>
        <w:adjustRightInd w:val="0"/>
        <w:spacing w:after="120" w:line="240" w:lineRule="auto"/>
        <w:ind w:right="59"/>
        <w:jc w:val="both"/>
        <w:rPr>
          <w:rFonts w:ascii="Verdana" w:hAnsi="Verdana"/>
          <w:noProof/>
          <w:sz w:val="18"/>
        </w:rPr>
      </w:pPr>
      <w:r>
        <w:rPr>
          <w:rFonts w:ascii="Verdana" w:hAnsi="Verdana"/>
          <w:noProof/>
          <w:sz w:val="18"/>
        </w:rPr>
        <w:t xml:space="preserve">Pour le </w:t>
      </w:r>
      <w:r>
        <w:rPr>
          <w:rFonts w:ascii="Verdana" w:hAnsi="Verdana"/>
          <w:b/>
          <w:noProof/>
          <w:sz w:val="18"/>
        </w:rPr>
        <w:t>FSE</w:t>
      </w:r>
      <w:r>
        <w:rPr>
          <w:rFonts w:ascii="Verdana" w:hAnsi="Verdana"/>
          <w:noProof/>
          <w:sz w:val="18"/>
        </w:rPr>
        <w:t>, dans le contexte du processus de clôture, les 239 programmes ont tous été clôturés (209 intégralement et 30 partiellement). Les États membres présentant les niveaux les plus élevés de corrections financières confirmées et exécutées en 2015 étaient respectivement la France (149 millions d’EUR) et l’Espagne (30 millions d’EUR). En outre, le processus de clôture a également été mené à terme en Suède.</w:t>
      </w:r>
    </w:p>
    <w:p>
      <w:pPr>
        <w:spacing w:line="240" w:lineRule="auto"/>
        <w:jc w:val="both"/>
        <w:rPr>
          <w:rFonts w:ascii="Verdana" w:hAnsi="Verdana"/>
          <w:noProof/>
          <w:sz w:val="18"/>
        </w:rPr>
      </w:pPr>
      <w:r>
        <w:rPr>
          <w:rFonts w:ascii="Verdana" w:hAnsi="Verdana"/>
          <w:noProof/>
          <w:sz w:val="18"/>
        </w:rPr>
        <w:t>Des progrès considérables ont été enregistrés en 2015 en rapport avec la clôture de l’Instrument financier d’orientation de la pêche (</w:t>
      </w:r>
      <w:r>
        <w:rPr>
          <w:rFonts w:ascii="Verdana" w:hAnsi="Verdana"/>
          <w:b/>
          <w:noProof/>
          <w:sz w:val="18"/>
        </w:rPr>
        <w:t>IFOP</w:t>
      </w:r>
      <w:r>
        <w:rPr>
          <w:rFonts w:ascii="Verdana" w:hAnsi="Verdana"/>
          <w:noProof/>
          <w:sz w:val="18"/>
        </w:rPr>
        <w:t>). À la fin de 2015, 57 programmes sur 60 étaient clôturés. La plupart des corrections financières concernées ont été exécutées par ordre de recouvrement.</w:t>
      </w:r>
    </w:p>
    <w:p>
      <w:pPr>
        <w:spacing w:line="240" w:lineRule="auto"/>
        <w:jc w:val="both"/>
        <w:rPr>
          <w:rFonts w:ascii="Verdana" w:hAnsi="Verdana"/>
          <w:i/>
          <w:noProof/>
          <w:sz w:val="20"/>
        </w:rPr>
      </w:pPr>
      <w:r>
        <w:rPr>
          <w:rFonts w:ascii="Verdana" w:hAnsi="Verdana"/>
          <w:i/>
          <w:noProof/>
          <w:sz w:val="20"/>
        </w:rPr>
        <w:t>3.1.3 Période de programmation 2007-2013 du Fonds de cohésion</w:t>
      </w:r>
    </w:p>
    <w:p>
      <w:pPr>
        <w:spacing w:line="240" w:lineRule="auto"/>
        <w:jc w:val="both"/>
        <w:rPr>
          <w:rFonts w:ascii="Verdana" w:eastAsia="Times New Roman" w:hAnsi="Verdana"/>
          <w:noProof/>
          <w:sz w:val="18"/>
        </w:rPr>
      </w:pPr>
      <w:r>
        <w:rPr>
          <w:rFonts w:ascii="Verdana" w:hAnsi="Verdana"/>
          <w:noProof/>
          <w:sz w:val="18"/>
        </w:rPr>
        <w:t xml:space="preserve">Le nombre de corrections financières au titre du </w:t>
      </w:r>
      <w:r>
        <w:rPr>
          <w:rFonts w:ascii="Verdana" w:hAnsi="Verdana"/>
          <w:b/>
          <w:noProof/>
          <w:sz w:val="18"/>
        </w:rPr>
        <w:t>FEDER/FC</w:t>
      </w:r>
      <w:r>
        <w:rPr>
          <w:rFonts w:ascii="Verdana" w:hAnsi="Verdana"/>
          <w:noProof/>
          <w:sz w:val="18"/>
        </w:rPr>
        <w:t xml:space="preserve"> en 2015 a sensiblement augmenté par rapport aux années précédentes, ce qui confirme l’efficacité des contrôles pluriannuels de la politique. Cette hausse résulte aussi de l'application rigoureuse, par la Commission, de procédures d’interruption ou de suspension depuis le début de la période de programmation et du fait qu’en 2015, certains cas anciens pour lesquels les demandes de paiement étaient bloquées depuis des mois, voire des années, ont été clôturés après exécution des corrections financières. Les corrections appliquées par les États membres dans ces cas ne pouvaient être déclarées qu'en 2015, après la levée des procédures d’interruption ou de suspension. L’augmentation des corrections financières en 2015 s'explique également par les taux d’erreur plus élevés communiqués par les autorités d’audit nationales dans leurs rapports de contrôle annuels pour 2015 par rapport aux taux communiqués par le passé. Les États membres ayant enregistré les corrections les plus importantes (à l’exclusion des corrections à la source) en 2015 sont la Slovaquie (236 millions d’EUR), l’Italie (161 millions d’EUR), l’Allemagne (143 millions d’EUR), la Grèce (120 millions d’EUR) et l’Espagne (117 millions d’EUR).</w:t>
      </w:r>
    </w:p>
    <w:tbl>
      <w:tblPr>
        <w:tblStyle w:val="TableGrid"/>
        <w:tblW w:w="0" w:type="auto"/>
        <w:tblLook w:val="04A0" w:firstRow="1" w:lastRow="0" w:firstColumn="1" w:lastColumn="0" w:noHBand="0" w:noVBand="1"/>
      </w:tblPr>
      <w:tblGrid>
        <w:gridCol w:w="3510"/>
        <w:gridCol w:w="5812"/>
      </w:tblGrid>
      <w:tr>
        <w:tc>
          <w:tcPr>
            <w:tcW w:w="351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after="120"/>
              <w:rPr>
                <w:rFonts w:ascii="Verdana" w:hAnsi="Verdana" w:cs="Calibri"/>
                <w:b/>
                <w:noProof/>
                <w:sz w:val="18"/>
                <w:szCs w:val="20"/>
              </w:rPr>
            </w:pPr>
            <w:r>
              <w:rPr>
                <w:rFonts w:ascii="Verdana" w:hAnsi="Verdana"/>
                <w:b/>
                <w:noProof/>
                <w:sz w:val="18"/>
              </w:rPr>
              <w:t>Corrections financières confirmées:</w:t>
            </w:r>
          </w:p>
          <w:p>
            <w:pPr>
              <w:spacing w:after="120"/>
              <w:rPr>
                <w:rFonts w:ascii="Verdana" w:hAnsi="Verdana" w:cs="Calibri"/>
                <w:b/>
                <w:noProof/>
                <w:sz w:val="18"/>
                <w:szCs w:val="20"/>
              </w:rPr>
            </w:pPr>
            <w:r>
              <w:rPr>
                <w:rFonts w:ascii="Verdana" w:hAnsi="Verdana"/>
                <w:b/>
                <w:noProof/>
                <w:sz w:val="18"/>
              </w:rPr>
              <w:t>FEDER/FC — 1 532 millions d’EUR</w:t>
            </w:r>
          </w:p>
          <w:p>
            <w:pPr>
              <w:spacing w:after="120" w:line="240" w:lineRule="auto"/>
              <w:rPr>
                <w:rFonts w:ascii="Verdana" w:hAnsi="Verdana"/>
                <w:b/>
                <w:i/>
                <w:noProof/>
                <w:sz w:val="20"/>
              </w:rPr>
            </w:pPr>
            <w:r>
              <w:rPr>
                <w:rFonts w:ascii="Verdana" w:hAnsi="Verdana"/>
                <w:b/>
                <w:noProof/>
                <w:sz w:val="18"/>
              </w:rPr>
              <w:t>FSE — 169 millions d’EUR</w:t>
            </w:r>
          </w:p>
        </w:tc>
        <w:tc>
          <w:tcPr>
            <w:tcW w:w="5812" w:type="dxa"/>
            <w:tcBorders>
              <w:top w:val="nil"/>
              <w:left w:val="single" w:sz="12" w:space="0" w:color="auto"/>
              <w:bottom w:val="nil"/>
              <w:right w:val="nil"/>
            </w:tcBorders>
          </w:tcPr>
          <w:p>
            <w:pPr>
              <w:spacing w:after="120" w:line="240" w:lineRule="auto"/>
              <w:jc w:val="both"/>
              <w:rPr>
                <w:rFonts w:ascii="Verdana" w:hAnsi="Verdana"/>
                <w:b/>
                <w:i/>
                <w:noProof/>
                <w:sz w:val="20"/>
              </w:rPr>
            </w:pPr>
            <w:r>
              <w:rPr>
                <w:rFonts w:ascii="Verdana" w:hAnsi="Verdana"/>
                <w:noProof/>
                <w:sz w:val="18"/>
              </w:rPr>
              <w:t>Par conséquent, à la fin de 2015, le montant cumulé des corrections financières pour la période 2007-2013 confirmées par les États membres à la suite de l'exercice, par la Commission, de sa fonction de surveillance était supérieur à 2,3 milliards d’EUR.</w:t>
            </w:r>
          </w:p>
        </w:tc>
      </w:tr>
    </w:tbl>
    <w:p>
      <w:pPr>
        <w:spacing w:before="120" w:after="120" w:line="240" w:lineRule="auto"/>
        <w:jc w:val="both"/>
        <w:rPr>
          <w:rFonts w:ascii="Verdana" w:hAnsi="Verdana"/>
          <w:noProof/>
          <w:sz w:val="18"/>
        </w:rPr>
      </w:pPr>
      <w:r>
        <w:rPr>
          <w:rFonts w:ascii="Verdana" w:hAnsi="Verdana"/>
          <w:noProof/>
          <w:sz w:val="18"/>
        </w:rPr>
        <w:t xml:space="preserve">Dans le cadre du </w:t>
      </w:r>
      <w:r>
        <w:rPr>
          <w:rFonts w:ascii="Verdana" w:hAnsi="Verdana"/>
          <w:b/>
          <w:noProof/>
          <w:sz w:val="18"/>
        </w:rPr>
        <w:t>FSE</w:t>
      </w:r>
      <w:r>
        <w:rPr>
          <w:rFonts w:ascii="Verdana" w:hAnsi="Verdana"/>
          <w:noProof/>
          <w:sz w:val="18"/>
        </w:rPr>
        <w:t>, des corrections financières à hauteur de 169 millions d’EUR ont été confirmées et d'autres, à hauteur de 227 millions d’EUR, ont été exécutées, dont 142 millions d’EUR confirmés en 2015 et 85 millions d’EUR au cours des années précédentes. Au total, 95 % des corrections financières confirmées en 2015 et au cours des années précédentes ont été exécutées, laissant un montant (cumulé) de 60 millions d'EUR non encore exécuté à la fin de l'année. Les États membres qui ont présenté les niveaux les plus élevés de corrections appliquées en 2015 sont la Roumanie (133 millions d’EUR) et l’Espagne (29 millions d’EUR), correspondant à la levée de la suspension des paiements.</w:t>
      </w:r>
    </w:p>
    <w:p>
      <w:pPr>
        <w:spacing w:after="360" w:line="240" w:lineRule="auto"/>
        <w:jc w:val="both"/>
        <w:rPr>
          <w:noProof/>
          <w:sz w:val="20"/>
        </w:rPr>
      </w:pPr>
      <w:r>
        <w:rPr>
          <w:rFonts w:ascii="Verdana" w:hAnsi="Verdana"/>
          <w:noProof/>
          <w:sz w:val="18"/>
        </w:rPr>
        <w:t xml:space="preserve">Les corrections financières confirmées pour le </w:t>
      </w:r>
      <w:r>
        <w:rPr>
          <w:rFonts w:ascii="Verdana" w:hAnsi="Verdana"/>
          <w:b/>
          <w:noProof/>
          <w:sz w:val="18"/>
        </w:rPr>
        <w:t>Fonds européen pour la pêche</w:t>
      </w:r>
      <w:r>
        <w:rPr>
          <w:rFonts w:ascii="Verdana" w:hAnsi="Verdana"/>
          <w:noProof/>
          <w:sz w:val="18"/>
        </w:rPr>
        <w:t xml:space="preserve"> (</w:t>
      </w:r>
      <w:r>
        <w:rPr>
          <w:rFonts w:ascii="Verdana" w:hAnsi="Verdana"/>
          <w:b/>
          <w:noProof/>
          <w:sz w:val="18"/>
        </w:rPr>
        <w:t>FEP</w:t>
      </w:r>
      <w:r>
        <w:rPr>
          <w:rFonts w:ascii="Verdana" w:hAnsi="Verdana"/>
          <w:noProof/>
          <w:sz w:val="18"/>
        </w:rPr>
        <w:t>) ont diminué d'environ 70 % depuis 2014. Le fait de retrancher les dépenses inéligibles de la demande de paiement ultérieure à la suite des audits et examens documentaires de la Commission permet d’exécuter rapidement de telles corrections financières.</w:t>
      </w:r>
    </w:p>
    <w:p>
      <w:pPr>
        <w:keepNext/>
        <w:spacing w:line="240" w:lineRule="auto"/>
        <w:jc w:val="both"/>
        <w:rPr>
          <w:rFonts w:ascii="Verdana" w:hAnsi="Verdana"/>
          <w:i/>
          <w:noProof/>
          <w:sz w:val="20"/>
        </w:rPr>
      </w:pPr>
      <w:r>
        <w:rPr>
          <w:rFonts w:ascii="Verdana" w:hAnsi="Verdana"/>
          <w:i/>
          <w:noProof/>
          <w:sz w:val="20"/>
        </w:rPr>
        <w:t>3.1.4 Période de programmation 2014-2020 du Fonds de cohésion</w:t>
      </w:r>
    </w:p>
    <w:p>
      <w:pPr>
        <w:spacing w:after="360" w:line="240" w:lineRule="auto"/>
        <w:jc w:val="both"/>
        <w:rPr>
          <w:rFonts w:ascii="Verdana" w:hAnsi="Verdana" w:cs="Verdana"/>
          <w:noProof/>
          <w:sz w:val="20"/>
          <w:szCs w:val="20"/>
        </w:rPr>
      </w:pPr>
      <w:r>
        <w:rPr>
          <w:rFonts w:ascii="Verdana" w:hAnsi="Verdana"/>
          <w:noProof/>
          <w:sz w:val="18"/>
        </w:rPr>
        <w:t>Le deuxième exercice comptable était en cours en 2015 et la désignation des autorités n’avait pas encore eu lieu pour la plupart des programmes opérationnels. Dès lors, aucune activité d’audit relative à la déclaration des dépenses n’a encore été traitée. Par conséquent, aucune correction financière ne peut être signalée.</w:t>
      </w:r>
    </w:p>
    <w:p>
      <w:pPr>
        <w:rPr>
          <w:rFonts w:ascii="Verdana" w:hAnsi="Verdana"/>
          <w:b/>
          <w:i/>
          <w:noProof/>
          <w:sz w:val="20"/>
          <w:szCs w:val="20"/>
        </w:rPr>
      </w:pPr>
      <w:bookmarkStart w:id="28" w:name="_Toc422840096"/>
      <w:bookmarkStart w:id="29" w:name="_Toc423524329"/>
      <w:r>
        <w:rPr>
          <w:rFonts w:ascii="Verdana" w:hAnsi="Verdana"/>
          <w:i/>
          <w:noProof/>
          <w:sz w:val="20"/>
        </w:rPr>
        <w:t>3.1.5 Corrections financières et recouvrements en 2015: informations complémentaires</w:t>
      </w:r>
    </w:p>
    <w:p>
      <w:pPr>
        <w:spacing w:after="120" w:line="240" w:lineRule="auto"/>
        <w:jc w:val="both"/>
        <w:rPr>
          <w:rFonts w:ascii="Verdana" w:hAnsi="Verdana"/>
          <w:noProof/>
          <w:sz w:val="18"/>
        </w:rPr>
      </w:pPr>
      <w:r>
        <w:rPr>
          <w:rFonts w:ascii="Verdana" w:hAnsi="Verdana"/>
          <w:noProof/>
          <w:sz w:val="18"/>
        </w:rPr>
        <w:t>Différents aperçus des montants des corrections financières en 2015 sont fournis dans les annexes. Il est à noter que les données présentées ci-dessous ne concernent que la seule année 2015. Le niveau des corrections globales et la répartition par État membre peuvent varier considérablement selon les années. Par conséquent, une évaluation pertinente de l'efficacité des systèmes de surveillance et de contrôle doit se fonder, selon la nature de ces dépenses, sur une perspective pluriannuelle (voir la section </w:t>
      </w:r>
      <w:r>
        <w:rPr>
          <w:rFonts w:ascii="Verdana" w:hAnsi="Verdana"/>
          <w:b/>
          <w:noProof/>
          <w:sz w:val="18"/>
        </w:rPr>
        <w:t>3.2</w:t>
      </w:r>
      <w:r>
        <w:rPr>
          <w:rFonts w:ascii="Verdana" w:hAnsi="Verdana"/>
          <w:noProof/>
          <w:sz w:val="18"/>
        </w:rPr>
        <w:t>).</w:t>
      </w:r>
    </w:p>
    <w:p>
      <w:pPr>
        <w:spacing w:after="240" w:line="240" w:lineRule="auto"/>
        <w:jc w:val="both"/>
        <w:rPr>
          <w:rFonts w:ascii="Verdana" w:hAnsi="Verdana"/>
          <w:noProof/>
          <w:sz w:val="18"/>
        </w:rPr>
      </w:pPr>
      <w:r>
        <w:rPr>
          <w:rFonts w:ascii="Verdana" w:hAnsi="Verdana"/>
          <w:noProof/>
          <w:sz w:val="18"/>
        </w:rPr>
        <w:t>Les informations fournies dans les annexes peuvent être résumées comme suit:</w:t>
      </w:r>
    </w:p>
    <w:p>
      <w:pPr>
        <w:rPr>
          <w:rFonts w:ascii="Verdana" w:hAnsi="Verdana"/>
          <w:i/>
          <w:noProof/>
          <w:sz w:val="20"/>
          <w:szCs w:val="20"/>
        </w:rPr>
      </w:pPr>
      <w:bookmarkStart w:id="30" w:name="_Toc424121116"/>
      <w:bookmarkStart w:id="31" w:name="_Toc425855831"/>
      <w:bookmarkStart w:id="32" w:name="_Toc427677008"/>
      <w:bookmarkStart w:id="33" w:name="_Toc427850284"/>
      <w:bookmarkStart w:id="34" w:name="_Toc429388538"/>
      <w:bookmarkStart w:id="35" w:name="_Toc429556435"/>
      <w:bookmarkStart w:id="36" w:name="_Toc430008695"/>
      <w:bookmarkStart w:id="37" w:name="_Toc430008842"/>
      <w:r>
        <w:rPr>
          <w:rFonts w:ascii="Verdana" w:hAnsi="Verdana"/>
          <w:i/>
          <w:noProof/>
          <w:sz w:val="20"/>
        </w:rPr>
        <w:t xml:space="preserve">1. </w:t>
      </w:r>
      <w:r>
        <w:rPr>
          <w:noProof/>
        </w:rPr>
        <w:tab/>
      </w:r>
      <w:r>
        <w:rPr>
          <w:rFonts w:ascii="Verdana" w:hAnsi="Verdana"/>
          <w:i/>
          <w:noProof/>
          <w:sz w:val="20"/>
        </w:rPr>
        <w:t>Ventilation par État membre</w:t>
      </w:r>
      <w:bookmarkEnd w:id="28"/>
      <w:bookmarkEnd w:id="29"/>
      <w:bookmarkEnd w:id="30"/>
      <w:bookmarkEnd w:id="31"/>
      <w:bookmarkEnd w:id="32"/>
      <w:bookmarkEnd w:id="33"/>
      <w:bookmarkEnd w:id="34"/>
      <w:bookmarkEnd w:id="35"/>
      <w:bookmarkEnd w:id="36"/>
      <w:bookmarkEnd w:id="37"/>
    </w:p>
    <w:p>
      <w:pPr>
        <w:ind w:left="720"/>
        <w:rPr>
          <w:rFonts w:ascii="Verdana" w:hAnsi="Verdana"/>
          <w:noProof/>
          <w:sz w:val="18"/>
          <w:szCs w:val="20"/>
        </w:rPr>
      </w:pPr>
      <w:r>
        <w:rPr>
          <w:rFonts w:ascii="Verdana" w:hAnsi="Verdana"/>
          <w:noProof/>
          <w:sz w:val="18"/>
        </w:rPr>
        <w:t>Les États membres présentant le plus de corrections financières confirmées par rapport aux paiements reçus de l’UE sont la Grèce (9,9 %), la Roumanie (8 %) et la Slovaquie (7,3 %).</w:t>
      </w:r>
    </w:p>
    <w:p>
      <w:pPr>
        <w:spacing w:before="240" w:after="0" w:line="240" w:lineRule="auto"/>
        <w:rPr>
          <w:rFonts w:ascii="Verdana" w:hAnsi="Verdana"/>
          <w:i/>
          <w:noProof/>
          <w:sz w:val="20"/>
          <w:szCs w:val="20"/>
        </w:rPr>
      </w:pPr>
      <w:bookmarkStart w:id="38" w:name="_Toc422840097"/>
      <w:bookmarkStart w:id="39" w:name="_Toc423524330"/>
      <w:bookmarkStart w:id="40" w:name="_Toc424121117"/>
      <w:bookmarkStart w:id="41" w:name="_Toc425855832"/>
      <w:bookmarkStart w:id="42" w:name="_Toc427677009"/>
      <w:bookmarkStart w:id="43" w:name="_Toc427850285"/>
      <w:r>
        <w:rPr>
          <w:rFonts w:ascii="Verdana" w:hAnsi="Verdana"/>
          <w:i/>
          <w:noProof/>
          <w:sz w:val="20"/>
        </w:rPr>
        <w:t xml:space="preserve">2. </w:t>
      </w:r>
      <w:r>
        <w:rPr>
          <w:noProof/>
        </w:rPr>
        <w:tab/>
      </w:r>
      <w:r>
        <w:rPr>
          <w:rFonts w:ascii="Verdana" w:hAnsi="Verdana"/>
          <w:i/>
          <w:noProof/>
          <w:sz w:val="20"/>
        </w:rPr>
        <w:t>Ventilation des corrections forfaitaires</w:t>
      </w:r>
      <w:bookmarkEnd w:id="38"/>
      <w:bookmarkEnd w:id="39"/>
      <w:bookmarkEnd w:id="40"/>
      <w:bookmarkEnd w:id="41"/>
      <w:bookmarkEnd w:id="42"/>
      <w:bookmarkEnd w:id="43"/>
    </w:p>
    <w:p>
      <w:pPr>
        <w:spacing w:before="240" w:after="0" w:line="240" w:lineRule="auto"/>
        <w:ind w:left="709"/>
        <w:jc w:val="both"/>
        <w:rPr>
          <w:rFonts w:ascii="Verdana" w:hAnsi="Verdana"/>
          <w:noProof/>
          <w:sz w:val="18"/>
        </w:rPr>
      </w:pPr>
      <w:bookmarkStart w:id="44" w:name="_Toc422840098"/>
      <w:bookmarkStart w:id="45" w:name="_Toc423524331"/>
      <w:bookmarkStart w:id="46" w:name="_Toc424121118"/>
      <w:bookmarkStart w:id="47" w:name="_Toc425855833"/>
      <w:bookmarkStart w:id="48" w:name="_Toc427677010"/>
      <w:bookmarkStart w:id="49" w:name="_Toc427850286"/>
      <w:r>
        <w:rPr>
          <w:rFonts w:ascii="Verdana" w:hAnsi="Verdana"/>
          <w:noProof/>
          <w:sz w:val="18"/>
        </w:rPr>
        <w:t>Les corrections forfaitaires constituent un outil précieux lorsque le montant correspondant ne peut être déterminé sur la base d’un échantillon statistique représentatif ou que l’incidence sur les dépenses d’erreurs individuelles ne peut être quantifiée avec précision. Cependant, il en découle que l’État membre faisant l’objet d'une correction forfaitaire en supporte les conséquences financières, étant donné que les corrections ne sont pas directement liées à des irrégularités individuelles au niveau du projet, c’est-à-dire qu’il n’existe pas de bénéficiaire final individuel auprès duquel les sommes peuvent être récupérées.</w:t>
      </w:r>
    </w:p>
    <w:p>
      <w:pPr>
        <w:spacing w:after="0" w:line="240" w:lineRule="auto"/>
        <w:ind w:left="720"/>
        <w:jc w:val="both"/>
        <w:rPr>
          <w:rFonts w:ascii="Verdana" w:hAnsi="Verdana"/>
          <w:noProof/>
          <w:sz w:val="18"/>
        </w:rPr>
      </w:pPr>
    </w:p>
    <w:tbl>
      <w:tblPr>
        <w:tblStyle w:val="TableGrid"/>
        <w:tblW w:w="8646" w:type="dxa"/>
        <w:tblInd w:w="675" w:type="dxa"/>
        <w:tblLook w:val="04A0" w:firstRow="1" w:lastRow="0" w:firstColumn="1" w:lastColumn="0" w:noHBand="0" w:noVBand="1"/>
      </w:tblPr>
      <w:tblGrid>
        <w:gridCol w:w="5103"/>
        <w:gridCol w:w="3543"/>
      </w:tblGrid>
      <w:tr>
        <w:trPr>
          <w:trHeight w:val="1269"/>
        </w:trPr>
        <w:tc>
          <w:tcPr>
            <w:tcW w:w="5103" w:type="dxa"/>
            <w:tcBorders>
              <w:top w:val="nil"/>
              <w:left w:val="nil"/>
              <w:bottom w:val="nil"/>
              <w:right w:val="single" w:sz="12" w:space="0" w:color="auto"/>
            </w:tcBorders>
          </w:tcPr>
          <w:p>
            <w:pPr>
              <w:widowControl w:val="0"/>
              <w:tabs>
                <w:tab w:val="left" w:pos="284"/>
              </w:tabs>
              <w:autoSpaceDE w:val="0"/>
              <w:autoSpaceDN w:val="0"/>
              <w:adjustRightInd w:val="0"/>
              <w:spacing w:line="240" w:lineRule="auto"/>
              <w:ind w:right="57"/>
              <w:jc w:val="both"/>
              <w:rPr>
                <w:rFonts w:ascii="Verdana" w:hAnsi="Verdana"/>
                <w:noProof/>
                <w:sz w:val="18"/>
                <w:szCs w:val="20"/>
              </w:rPr>
            </w:pPr>
            <w:r>
              <w:rPr>
                <w:rFonts w:ascii="Verdana" w:hAnsi="Verdana"/>
                <w:noProof/>
                <w:sz w:val="18"/>
              </w:rPr>
              <w:t>Pour le FEDER/FC, les corrections forfaitaires sont à considérer comme une estimation des corrections financières (forfaitaires et/ou extrapolées), lesquelles ne sont pas directement liées à des opérations ou à des projets particuliers</w:t>
            </w:r>
            <w:r>
              <w:rPr>
                <w:rStyle w:val="FootnoteReference"/>
                <w:rFonts w:ascii="Verdana" w:hAnsi="Verdana"/>
                <w:noProof/>
                <w:sz w:val="18"/>
              </w:rPr>
              <w:footnoteReference w:id="9"/>
            </w:r>
            <w:r>
              <w:rPr>
                <w:rFonts w:ascii="Verdana" w:hAnsi="Verdana"/>
                <w:noProof/>
                <w:sz w:val="18"/>
              </w:rPr>
              <w:t>.</w:t>
            </w:r>
          </w:p>
        </w:tc>
        <w:tc>
          <w:tcPr>
            <w:tcW w:w="3543"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after="0"/>
              <w:rPr>
                <w:rFonts w:ascii="Verdana" w:hAnsi="Verdana" w:cs="Calibri"/>
                <w:b/>
                <w:noProof/>
                <w:sz w:val="18"/>
                <w:szCs w:val="20"/>
              </w:rPr>
            </w:pPr>
            <w:r>
              <w:rPr>
                <w:rFonts w:ascii="Verdana" w:hAnsi="Verdana"/>
                <w:b/>
                <w:noProof/>
                <w:sz w:val="18"/>
              </w:rPr>
              <w:t>Corrections forfaitaires en 2015:</w:t>
            </w:r>
          </w:p>
          <w:p>
            <w:pPr>
              <w:spacing w:before="120"/>
              <w:rPr>
                <w:noProof/>
                <w:sz w:val="24"/>
              </w:rPr>
            </w:pPr>
            <w:r>
              <w:rPr>
                <w:rFonts w:ascii="Verdana" w:hAnsi="Verdana"/>
                <w:b/>
                <w:noProof/>
                <w:sz w:val="18"/>
              </w:rPr>
              <w:t>2,2 milliards d’EUR confirmés</w:t>
            </w:r>
          </w:p>
          <w:p>
            <w:pPr>
              <w:widowControl w:val="0"/>
              <w:tabs>
                <w:tab w:val="left" w:pos="1280"/>
              </w:tabs>
              <w:autoSpaceDE w:val="0"/>
              <w:autoSpaceDN w:val="0"/>
              <w:adjustRightInd w:val="0"/>
              <w:spacing w:line="240" w:lineRule="auto"/>
              <w:ind w:right="57"/>
              <w:rPr>
                <w:rFonts w:ascii="Verdana" w:hAnsi="Verdana"/>
                <w:noProof/>
                <w:sz w:val="18"/>
                <w:szCs w:val="20"/>
              </w:rPr>
            </w:pPr>
            <w:r>
              <w:rPr>
                <w:rFonts w:ascii="Verdana" w:hAnsi="Verdana"/>
                <w:b/>
                <w:noProof/>
                <w:sz w:val="18"/>
              </w:rPr>
              <w:t>1,3 milliard d’EUR exécutés</w:t>
            </w:r>
          </w:p>
        </w:tc>
      </w:tr>
    </w:tbl>
    <w:p>
      <w:pPr>
        <w:spacing w:before="240"/>
        <w:rPr>
          <w:rFonts w:ascii="Verdana" w:hAnsi="Verdana"/>
          <w:b/>
          <w:i/>
          <w:noProof/>
          <w:sz w:val="20"/>
          <w:szCs w:val="20"/>
        </w:rPr>
      </w:pPr>
      <w:bookmarkStart w:id="50" w:name="_Toc429388539"/>
      <w:bookmarkStart w:id="51" w:name="_Toc429556436"/>
      <w:bookmarkStart w:id="52" w:name="_Toc430008696"/>
      <w:bookmarkStart w:id="53" w:name="_Toc430008843"/>
      <w:r>
        <w:rPr>
          <w:rFonts w:ascii="Verdana" w:hAnsi="Verdana"/>
          <w:i/>
          <w:noProof/>
          <w:sz w:val="20"/>
        </w:rPr>
        <w:t>3.</w:t>
      </w:r>
      <w:r>
        <w:rPr>
          <w:noProof/>
        </w:rPr>
        <w:tab/>
      </w:r>
      <w:r>
        <w:rPr>
          <w:rFonts w:ascii="Verdana" w:hAnsi="Verdana"/>
          <w:i/>
          <w:noProof/>
          <w:sz w:val="20"/>
        </w:rPr>
        <w:t>Ventilation des corrections financières effectuées à la source</w:t>
      </w:r>
      <w:bookmarkEnd w:id="44"/>
      <w:bookmarkEnd w:id="45"/>
      <w:bookmarkEnd w:id="46"/>
      <w:bookmarkEnd w:id="47"/>
      <w:bookmarkEnd w:id="48"/>
      <w:bookmarkEnd w:id="49"/>
      <w:bookmarkEnd w:id="50"/>
      <w:bookmarkEnd w:id="51"/>
      <w:bookmarkEnd w:id="52"/>
      <w:bookmarkEnd w:id="53"/>
    </w:p>
    <w:p>
      <w:pPr>
        <w:spacing w:after="120" w:line="240" w:lineRule="auto"/>
        <w:ind w:left="720"/>
        <w:jc w:val="both"/>
        <w:rPr>
          <w:rFonts w:ascii="Verdana" w:hAnsi="Verdana"/>
          <w:noProof/>
          <w:sz w:val="18"/>
        </w:rPr>
      </w:pPr>
      <w:r>
        <w:rPr>
          <w:rFonts w:ascii="Verdana" w:hAnsi="Verdana"/>
          <w:noProof/>
          <w:sz w:val="18"/>
        </w:rPr>
        <w:t>Les corrections financières à la source sont appliquées par les autorités des États membres au moment même où les dépenses sont déclarées à la Commission, comme suite aux corrections forfaitaires appliquées à la suite d'audits de la Commission.</w:t>
      </w:r>
    </w:p>
    <w:p>
      <w:pPr>
        <w:spacing w:after="120" w:line="240" w:lineRule="auto"/>
        <w:ind w:left="720"/>
        <w:jc w:val="both"/>
        <w:rPr>
          <w:rFonts w:ascii="Verdana" w:hAnsi="Verdana"/>
          <w:noProof/>
          <w:sz w:val="18"/>
        </w:rPr>
      </w:pPr>
      <w:r>
        <w:rPr>
          <w:rFonts w:ascii="Verdana" w:hAnsi="Verdana"/>
          <w:noProof/>
          <w:sz w:val="18"/>
        </w:rPr>
        <w:t xml:space="preserve">Les principales corrections financières à la source pour le </w:t>
      </w:r>
      <w:r>
        <w:rPr>
          <w:rFonts w:ascii="Verdana" w:hAnsi="Verdana"/>
          <w:b/>
          <w:noProof/>
          <w:sz w:val="18"/>
        </w:rPr>
        <w:t>FEDER/FC</w:t>
      </w:r>
      <w:r>
        <w:rPr>
          <w:rFonts w:ascii="Verdana" w:hAnsi="Verdana"/>
          <w:noProof/>
          <w:sz w:val="18"/>
        </w:rPr>
        <w:t xml:space="preserve"> concernent la Roumanie (345 millions d’EUR)</w:t>
      </w:r>
      <w:r>
        <w:rPr>
          <w:rStyle w:val="FootnoteReference"/>
          <w:rFonts w:ascii="Verdana" w:hAnsi="Verdana"/>
          <w:noProof/>
          <w:sz w:val="18"/>
        </w:rPr>
        <w:footnoteReference w:id="10"/>
      </w:r>
      <w:r>
        <w:rPr>
          <w:rFonts w:ascii="Verdana" w:hAnsi="Verdana"/>
          <w:noProof/>
          <w:sz w:val="18"/>
        </w:rPr>
        <w:t>.</w:t>
      </w:r>
    </w:p>
    <w:tbl>
      <w:tblPr>
        <w:tblStyle w:val="TableGrid"/>
        <w:tblW w:w="8647" w:type="dxa"/>
        <w:tblInd w:w="817" w:type="dxa"/>
        <w:tblLook w:val="04A0" w:firstRow="1" w:lastRow="0" w:firstColumn="1" w:lastColumn="0" w:noHBand="0" w:noVBand="1"/>
      </w:tblPr>
      <w:tblGrid>
        <w:gridCol w:w="3510"/>
        <w:gridCol w:w="5137"/>
      </w:tblGrid>
      <w:tr>
        <w:tc>
          <w:tcPr>
            <w:tcW w:w="351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after="0"/>
              <w:rPr>
                <w:rFonts w:ascii="Verdana" w:hAnsi="Verdana" w:cs="Calibri"/>
                <w:b/>
                <w:noProof/>
                <w:sz w:val="18"/>
                <w:szCs w:val="20"/>
              </w:rPr>
            </w:pPr>
            <w:r>
              <w:rPr>
                <w:rFonts w:ascii="Verdana" w:hAnsi="Verdana"/>
                <w:b/>
                <w:noProof/>
                <w:sz w:val="18"/>
              </w:rPr>
              <w:t>Corrections à la source en 2015:</w:t>
            </w:r>
          </w:p>
          <w:p>
            <w:pPr>
              <w:spacing w:before="120"/>
              <w:rPr>
                <w:noProof/>
                <w:sz w:val="24"/>
              </w:rPr>
            </w:pPr>
            <w:r>
              <w:rPr>
                <w:rFonts w:ascii="Verdana" w:hAnsi="Verdana"/>
                <w:b/>
                <w:noProof/>
                <w:sz w:val="18"/>
              </w:rPr>
              <w:t>0,5 milliard d’EUR confirmés</w:t>
            </w:r>
          </w:p>
          <w:p>
            <w:pPr>
              <w:spacing w:after="120" w:line="240" w:lineRule="auto"/>
              <w:rPr>
                <w:rFonts w:ascii="Verdana" w:hAnsi="Verdana"/>
                <w:b/>
                <w:i/>
                <w:noProof/>
                <w:sz w:val="20"/>
              </w:rPr>
            </w:pPr>
            <w:r>
              <w:rPr>
                <w:rFonts w:ascii="Verdana" w:hAnsi="Verdana"/>
                <w:b/>
                <w:noProof/>
                <w:sz w:val="18"/>
              </w:rPr>
              <w:t>0,8 milliard d’EUR exécutés</w:t>
            </w:r>
          </w:p>
        </w:tc>
        <w:tc>
          <w:tcPr>
            <w:tcW w:w="5137" w:type="dxa"/>
            <w:tcBorders>
              <w:top w:val="nil"/>
              <w:left w:val="single" w:sz="12" w:space="0" w:color="auto"/>
              <w:bottom w:val="nil"/>
              <w:right w:val="nil"/>
            </w:tcBorders>
          </w:tcPr>
          <w:p>
            <w:pPr>
              <w:spacing w:after="120" w:line="240" w:lineRule="auto"/>
              <w:jc w:val="both"/>
              <w:rPr>
                <w:rFonts w:ascii="Verdana" w:hAnsi="Verdana"/>
                <w:b/>
                <w:i/>
                <w:noProof/>
                <w:sz w:val="20"/>
              </w:rPr>
            </w:pPr>
            <w:r>
              <w:rPr>
                <w:rFonts w:ascii="Verdana" w:hAnsi="Verdana"/>
                <w:noProof/>
                <w:sz w:val="18"/>
              </w:rPr>
              <w:t xml:space="preserve">Pour le </w:t>
            </w:r>
            <w:r>
              <w:rPr>
                <w:rFonts w:ascii="Verdana" w:hAnsi="Verdana"/>
                <w:b/>
                <w:noProof/>
                <w:sz w:val="18"/>
              </w:rPr>
              <w:t>FSE</w:t>
            </w:r>
            <w:r>
              <w:rPr>
                <w:rFonts w:ascii="Verdana" w:hAnsi="Verdana"/>
                <w:noProof/>
                <w:sz w:val="18"/>
              </w:rPr>
              <w:t>, le montant des corrections financières à la source confirmées en 2015 pour la période de programmation 2007-2013 s’élève à 81 millions d’EUR. Les principaux États membres concernés par des corrections financières à la source sont la République tchèque, la France, la Pologne, la Slovaquie et la Roumanie.</w:t>
            </w:r>
          </w:p>
        </w:tc>
      </w:tr>
    </w:tbl>
    <w:p>
      <w:pPr>
        <w:spacing w:before="120" w:after="120" w:line="240" w:lineRule="auto"/>
        <w:ind w:left="720"/>
        <w:jc w:val="both"/>
        <w:rPr>
          <w:rFonts w:ascii="Verdana" w:hAnsi="Verdana"/>
          <w:noProof/>
          <w:sz w:val="18"/>
        </w:rPr>
      </w:pPr>
      <w:r>
        <w:rPr>
          <w:rFonts w:ascii="Verdana" w:hAnsi="Verdana"/>
          <w:noProof/>
          <w:sz w:val="18"/>
        </w:rPr>
        <w:t>Parmi les corrections financières exécutées pour la période de programmation 2007-2013, 115 millions d’EUR sont des corrections financières à la source, dont 66 millions confirmés en 2015 et 49 millions d’EUR confirmés au cours de l’année précédente.</w:t>
      </w:r>
    </w:p>
    <w:p>
      <w:pPr>
        <w:rPr>
          <w:rFonts w:ascii="Verdana" w:hAnsi="Verdana"/>
          <w:i/>
          <w:noProof/>
          <w:sz w:val="20"/>
          <w:szCs w:val="20"/>
        </w:rPr>
      </w:pPr>
      <w:r>
        <w:rPr>
          <w:rFonts w:ascii="Verdana" w:hAnsi="Verdana"/>
          <w:i/>
          <w:noProof/>
          <w:sz w:val="20"/>
        </w:rPr>
        <w:t>4.</w:t>
      </w:r>
      <w:r>
        <w:rPr>
          <w:noProof/>
        </w:rPr>
        <w:tab/>
      </w:r>
      <w:r>
        <w:rPr>
          <w:rFonts w:ascii="Verdana" w:hAnsi="Verdana"/>
          <w:i/>
          <w:noProof/>
          <w:sz w:val="20"/>
        </w:rPr>
        <w:t>Corrections financières nettes en 2015</w:t>
      </w:r>
    </w:p>
    <w:tbl>
      <w:tblPr>
        <w:tblStyle w:val="TableGrid"/>
        <w:tblW w:w="8789" w:type="dxa"/>
        <w:tblInd w:w="675" w:type="dxa"/>
        <w:tblLook w:val="04A0" w:firstRow="1" w:lastRow="0" w:firstColumn="1" w:lastColumn="0" w:noHBand="0" w:noVBand="1"/>
      </w:tblPr>
      <w:tblGrid>
        <w:gridCol w:w="5103"/>
        <w:gridCol w:w="3686"/>
      </w:tblGrid>
      <w:tr>
        <w:trPr>
          <w:trHeight w:val="743"/>
        </w:trPr>
        <w:tc>
          <w:tcPr>
            <w:tcW w:w="5103" w:type="dxa"/>
            <w:vMerge w:val="restart"/>
            <w:tcBorders>
              <w:top w:val="nil"/>
              <w:left w:val="nil"/>
              <w:bottom w:val="nil"/>
              <w:right w:val="single" w:sz="12" w:space="0" w:color="auto"/>
            </w:tcBorders>
          </w:tcPr>
          <w:p>
            <w:pPr>
              <w:widowControl w:val="0"/>
              <w:tabs>
                <w:tab w:val="left" w:pos="284"/>
              </w:tabs>
              <w:autoSpaceDE w:val="0"/>
              <w:autoSpaceDN w:val="0"/>
              <w:adjustRightInd w:val="0"/>
              <w:spacing w:line="240" w:lineRule="auto"/>
              <w:ind w:right="57"/>
              <w:jc w:val="both"/>
              <w:rPr>
                <w:rFonts w:ascii="Verdana" w:hAnsi="Verdana"/>
                <w:noProof/>
                <w:sz w:val="18"/>
                <w:szCs w:val="20"/>
              </w:rPr>
            </w:pPr>
            <w:r>
              <w:rPr>
                <w:rFonts w:ascii="Verdana" w:hAnsi="Verdana"/>
                <w:noProof/>
                <w:sz w:val="18"/>
              </w:rPr>
              <w:t>Le type d’exécution budgétaire, la gestion sectorielle et les règles financières du domaine politique influent sur l’incidence qu’ont les différents mécanismes de correction sur le budget de l’UE. En tout état de cause, ces mécanismes de correction ont pour résultat que le budget de l’UE est protégé contre les dépenses engagées en violation du droit.</w:t>
            </w:r>
          </w:p>
        </w:tc>
        <w:tc>
          <w:tcPr>
            <w:tcW w:w="368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after="0"/>
              <w:rPr>
                <w:rFonts w:ascii="Verdana" w:hAnsi="Verdana" w:cs="Calibri"/>
                <w:b/>
                <w:noProof/>
                <w:sz w:val="18"/>
                <w:szCs w:val="20"/>
              </w:rPr>
            </w:pPr>
            <w:r>
              <w:rPr>
                <w:rFonts w:ascii="Verdana" w:hAnsi="Verdana"/>
                <w:b/>
                <w:noProof/>
                <w:sz w:val="18"/>
              </w:rPr>
              <w:t>Corrections financières nettes en 2015:</w:t>
            </w:r>
          </w:p>
          <w:p>
            <w:pPr>
              <w:spacing w:before="120"/>
              <w:rPr>
                <w:noProof/>
                <w:sz w:val="24"/>
              </w:rPr>
            </w:pPr>
            <w:r>
              <w:rPr>
                <w:rFonts w:ascii="Verdana" w:hAnsi="Verdana"/>
                <w:b/>
                <w:noProof/>
                <w:sz w:val="18"/>
              </w:rPr>
              <w:t>0,8 milliard d’EUR confirmés</w:t>
            </w:r>
          </w:p>
          <w:p>
            <w:pPr>
              <w:widowControl w:val="0"/>
              <w:tabs>
                <w:tab w:val="left" w:pos="1280"/>
              </w:tabs>
              <w:autoSpaceDE w:val="0"/>
              <w:autoSpaceDN w:val="0"/>
              <w:adjustRightInd w:val="0"/>
              <w:spacing w:line="240" w:lineRule="auto"/>
              <w:ind w:right="57"/>
              <w:rPr>
                <w:rFonts w:ascii="Verdana" w:hAnsi="Verdana"/>
                <w:noProof/>
                <w:sz w:val="18"/>
                <w:szCs w:val="20"/>
              </w:rPr>
            </w:pPr>
            <w:r>
              <w:rPr>
                <w:rFonts w:ascii="Verdana" w:hAnsi="Verdana"/>
                <w:b/>
                <w:noProof/>
                <w:sz w:val="18"/>
              </w:rPr>
              <w:t>1,2 milliard d’EUR exécutés</w:t>
            </w:r>
          </w:p>
        </w:tc>
      </w:tr>
      <w:tr>
        <w:trPr>
          <w:trHeight w:val="700"/>
        </w:trPr>
        <w:tc>
          <w:tcPr>
            <w:tcW w:w="5103" w:type="dxa"/>
            <w:vMerge/>
            <w:tcBorders>
              <w:top w:val="nil"/>
              <w:left w:val="nil"/>
              <w:bottom w:val="nil"/>
              <w:right w:val="nil"/>
            </w:tcBorders>
          </w:tcPr>
          <w:p>
            <w:pPr>
              <w:widowControl w:val="0"/>
              <w:tabs>
                <w:tab w:val="left" w:pos="284"/>
              </w:tabs>
              <w:autoSpaceDE w:val="0"/>
              <w:autoSpaceDN w:val="0"/>
              <w:adjustRightInd w:val="0"/>
              <w:spacing w:line="240" w:lineRule="auto"/>
              <w:ind w:right="57"/>
              <w:jc w:val="both"/>
              <w:rPr>
                <w:rFonts w:ascii="Verdana" w:hAnsi="Verdana"/>
                <w:noProof/>
                <w:sz w:val="18"/>
                <w:szCs w:val="20"/>
              </w:rPr>
            </w:pPr>
          </w:p>
        </w:tc>
        <w:tc>
          <w:tcPr>
            <w:tcW w:w="3686" w:type="dxa"/>
            <w:tcBorders>
              <w:top w:val="single" w:sz="12" w:space="0" w:color="auto"/>
              <w:left w:val="nil"/>
              <w:bottom w:val="nil"/>
              <w:right w:val="nil"/>
            </w:tcBorders>
            <w:shd w:val="clear" w:color="auto" w:fill="FFFFFF" w:themeFill="background1"/>
          </w:tcPr>
          <w:p>
            <w:pPr>
              <w:spacing w:after="120"/>
              <w:rPr>
                <w:rFonts w:ascii="Verdana" w:hAnsi="Verdana" w:cs="Calibri"/>
                <w:b/>
                <w:noProof/>
                <w:sz w:val="18"/>
                <w:szCs w:val="20"/>
              </w:rPr>
            </w:pPr>
          </w:p>
        </w:tc>
      </w:tr>
    </w:tbl>
    <w:p>
      <w:pPr>
        <w:pStyle w:val="ListParagraph"/>
        <w:spacing w:after="480"/>
        <w:contextualSpacing w:val="0"/>
        <w:rPr>
          <w:rFonts w:ascii="Verdana" w:hAnsi="Verdana"/>
          <w:noProof/>
          <w:sz w:val="18"/>
        </w:rPr>
      </w:pPr>
    </w:p>
    <w:p>
      <w:pPr>
        <w:spacing w:after="0" w:line="240" w:lineRule="auto"/>
        <w:rPr>
          <w:rFonts w:ascii="Verdana" w:eastAsia="Times New Roman" w:hAnsi="Verdana"/>
          <w:b/>
          <w:bCs/>
          <w:iCs/>
          <w:noProof/>
        </w:rPr>
      </w:pPr>
      <w:r>
        <w:rPr>
          <w:noProof/>
        </w:rPr>
        <w:br w:type="page"/>
      </w:r>
    </w:p>
    <w:p>
      <w:pPr>
        <w:pStyle w:val="ManualHeading2"/>
        <w:rPr>
          <w:i/>
          <w:noProof/>
          <w:szCs w:val="22"/>
        </w:rPr>
      </w:pPr>
      <w:bookmarkStart w:id="54" w:name="_Toc456258162"/>
      <w:bookmarkStart w:id="55" w:name="_Toc461437487"/>
      <w:r>
        <w:t>3.2.</w:t>
      </w:r>
      <w:r>
        <w:tab/>
      </w:r>
      <w:r>
        <w:rPr>
          <w:noProof/>
        </w:rPr>
        <w:t>Corrections financières et recouvrements cumulés jusqu'à la fin de 2015</w:t>
      </w:r>
      <w:bookmarkEnd w:id="54"/>
      <w:bookmarkEnd w:id="55"/>
    </w:p>
    <w:p>
      <w:pPr>
        <w:spacing w:before="240" w:after="360" w:line="240" w:lineRule="auto"/>
        <w:jc w:val="both"/>
        <w:rPr>
          <w:rFonts w:ascii="Verdana" w:hAnsi="Verdana"/>
          <w:noProof/>
          <w:sz w:val="18"/>
        </w:rPr>
      </w:pPr>
      <w:r>
        <w:rPr>
          <w:rFonts w:ascii="Verdana" w:hAnsi="Verdana"/>
          <w:noProof/>
          <w:sz w:val="18"/>
        </w:rPr>
        <w:t>Les chiffres cumulés fournissent des informations utiles sur l’importance des mécanismes de correction auxquels la Commission a recours, notamment parce qu’ils prennent en considération le caractère pluriannuel des programmes et des projets et neutralisent l’incidence d’événements ponctuels.</w:t>
      </w:r>
    </w:p>
    <w:p>
      <w:pPr>
        <w:spacing w:after="120"/>
        <w:jc w:val="both"/>
        <w:rPr>
          <w:rFonts w:ascii="Verdana" w:hAnsi="Verdana"/>
          <w:i/>
          <w:noProof/>
          <w:sz w:val="20"/>
        </w:rPr>
      </w:pPr>
      <w:r>
        <w:rPr>
          <w:rFonts w:ascii="Verdana" w:hAnsi="Verdana"/>
          <w:i/>
          <w:noProof/>
          <w:sz w:val="20"/>
        </w:rPr>
        <w:t>3.2.1</w:t>
      </w:r>
      <w:r>
        <w:rPr>
          <w:noProof/>
        </w:rPr>
        <w:tab/>
      </w:r>
      <w:r>
        <w:rPr>
          <w:rFonts w:ascii="Verdana" w:hAnsi="Verdana"/>
          <w:i/>
          <w:noProof/>
          <w:sz w:val="20"/>
        </w:rPr>
        <w:t>Période 2009-2015</w:t>
      </w:r>
    </w:p>
    <w:p>
      <w:pPr>
        <w:spacing w:before="240" w:after="360" w:line="240" w:lineRule="auto"/>
        <w:jc w:val="both"/>
        <w:rPr>
          <w:rFonts w:ascii="Verdana" w:hAnsi="Verdana"/>
          <w:noProof/>
          <w:sz w:val="18"/>
        </w:rPr>
      </w:pPr>
      <w:r>
        <w:rPr>
          <w:rFonts w:ascii="Verdana" w:hAnsi="Verdana"/>
          <w:noProof/>
          <w:sz w:val="18"/>
        </w:rPr>
        <w:t>Les graphiques ci-dessous illustrent l’évolution des corrections financières et recouvrements confirmés et exécutés au cours des sept dernières années:</w:t>
      </w:r>
    </w:p>
    <w:p>
      <w:pPr>
        <w:spacing w:after="0" w:line="240" w:lineRule="auto"/>
        <w:rPr>
          <w:rFonts w:ascii="Verdana" w:hAnsi="Verdana" w:cs="Arial"/>
          <w:b/>
          <w:bCs/>
          <w:i/>
          <w:noProof/>
          <w:sz w:val="18"/>
        </w:rPr>
      </w:pPr>
      <w:r>
        <w:rPr>
          <w:rFonts w:ascii="Verdana" w:hAnsi="Verdana"/>
          <w:b/>
          <w:i/>
          <w:noProof/>
          <w:sz w:val="18"/>
        </w:rPr>
        <w:t>Graphiques 3.2.1:</w:t>
      </w:r>
      <w:r>
        <w:rPr>
          <w:rFonts w:ascii="Verdana" w:hAnsi="Verdana"/>
          <w:i/>
          <w:noProof/>
          <w:sz w:val="18"/>
        </w:rPr>
        <w:t xml:space="preserve"> </w:t>
      </w:r>
      <w:r>
        <w:rPr>
          <w:rFonts w:ascii="Verdana" w:hAnsi="Verdana"/>
          <w:b/>
          <w:i/>
          <w:noProof/>
          <w:sz w:val="18"/>
        </w:rPr>
        <w:t>Corrections financières et recouvrements 2009-2015</w:t>
      </w:r>
    </w:p>
    <w:p>
      <w:pPr>
        <w:spacing w:after="120"/>
        <w:jc w:val="both"/>
        <w:rPr>
          <w:rFonts w:ascii="Verdana" w:hAnsi="Verdana"/>
          <w:i/>
          <w:noProof/>
          <w:sz w:val="16"/>
        </w:rPr>
      </w:pPr>
      <w:r>
        <w:rPr>
          <w:rFonts w:ascii="Verdana" w:hAnsi="Verdana"/>
          <w:i/>
          <w:noProof/>
          <w:sz w:val="16"/>
        </w:rPr>
        <w:t xml:space="preserve">Corrections financières et recouvrements </w:t>
      </w:r>
      <w:r>
        <w:rPr>
          <w:rFonts w:ascii="Verdana" w:hAnsi="Verdana"/>
          <w:b/>
          <w:i/>
          <w:noProof/>
          <w:sz w:val="16"/>
        </w:rPr>
        <w:t>confirmés</w:t>
      </w:r>
      <w:r>
        <w:rPr>
          <w:rFonts w:ascii="Verdana" w:hAnsi="Verdana"/>
          <w:i/>
          <w:noProof/>
          <w:sz w:val="16"/>
        </w:rPr>
        <w:t> 2009-2015 (en Mrd EUR)</w:t>
      </w:r>
    </w:p>
    <w:p>
      <w:pPr>
        <w:spacing w:after="120"/>
        <w:jc w:val="both"/>
        <w:rPr>
          <w:rFonts w:ascii="Verdana" w:hAnsi="Verdana" w:cs="Arial"/>
          <w:b/>
          <w:bCs/>
          <w:i/>
          <w:noProof/>
          <w:sz w:val="20"/>
        </w:rPr>
      </w:pPr>
      <w:r>
        <w:rPr>
          <w:rFonts w:ascii="Verdana" w:hAnsi="Verdana" w:cs="Arial"/>
          <w:b/>
          <w:bCs/>
          <w:i/>
          <w:noProof/>
          <w:sz w:val="20"/>
          <w:lang w:val="en-US" w:eastAsia="en-US" w:bidi="ar-SA"/>
        </w:rPr>
        <w:drawing>
          <wp:inline distT="0" distB="0" distL="0" distR="0">
            <wp:extent cx="5231130" cy="316992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31130" cy="3169920"/>
                    </a:xfrm>
                    <a:prstGeom prst="rect">
                      <a:avLst/>
                    </a:prstGeom>
                    <a:noFill/>
                  </pic:spPr>
                </pic:pic>
              </a:graphicData>
            </a:graphic>
          </wp:inline>
        </w:drawing>
      </w:r>
    </w:p>
    <w:p>
      <w:pPr>
        <w:spacing w:after="0" w:line="240" w:lineRule="auto"/>
        <w:rPr>
          <w:rFonts w:ascii="Verdana" w:hAnsi="Verdana"/>
          <w:noProof/>
          <w:sz w:val="18"/>
        </w:rPr>
      </w:pPr>
    </w:p>
    <w:p>
      <w:pPr>
        <w:spacing w:after="0" w:line="240" w:lineRule="auto"/>
        <w:rPr>
          <w:rFonts w:ascii="Verdana" w:hAnsi="Verdana"/>
          <w:i/>
          <w:noProof/>
          <w:sz w:val="16"/>
        </w:rPr>
      </w:pPr>
    </w:p>
    <w:tbl>
      <w:tblPr>
        <w:tblStyle w:val="TableGrid"/>
        <w:tblW w:w="9748" w:type="dxa"/>
        <w:tblLook w:val="04A0" w:firstRow="1" w:lastRow="0" w:firstColumn="1" w:lastColumn="0" w:noHBand="0" w:noVBand="1"/>
      </w:tblPr>
      <w:tblGrid>
        <w:gridCol w:w="3936"/>
        <w:gridCol w:w="5812"/>
      </w:tblGrid>
      <w:tr>
        <w:tc>
          <w:tcPr>
            <w:tcW w:w="393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after="0"/>
              <w:rPr>
                <w:rFonts w:ascii="Verdana" w:hAnsi="Verdana" w:cs="Calibri"/>
                <w:b/>
                <w:noProof/>
                <w:sz w:val="18"/>
                <w:szCs w:val="20"/>
              </w:rPr>
            </w:pPr>
            <w:r>
              <w:rPr>
                <w:rFonts w:ascii="Verdana" w:hAnsi="Verdana"/>
                <w:b/>
                <w:noProof/>
                <w:sz w:val="18"/>
              </w:rPr>
              <w:t>Moyenne des corrections financières confirmées pour 2009-2015:</w:t>
            </w:r>
          </w:p>
          <w:p>
            <w:pPr>
              <w:spacing w:before="120" w:after="120"/>
              <w:rPr>
                <w:noProof/>
                <w:sz w:val="24"/>
              </w:rPr>
            </w:pPr>
            <w:r>
              <w:rPr>
                <w:rFonts w:ascii="Verdana" w:hAnsi="Verdana"/>
                <w:b/>
                <w:noProof/>
                <w:sz w:val="18"/>
              </w:rPr>
              <w:t>3,3 milliards d’EUR</w:t>
            </w:r>
          </w:p>
          <w:p>
            <w:pPr>
              <w:spacing w:after="120" w:line="240" w:lineRule="auto"/>
              <w:rPr>
                <w:rFonts w:ascii="Verdana" w:hAnsi="Verdana"/>
                <w:b/>
                <w:i/>
                <w:noProof/>
                <w:sz w:val="20"/>
              </w:rPr>
            </w:pPr>
            <w:r>
              <w:rPr>
                <w:rFonts w:ascii="Verdana" w:hAnsi="Verdana"/>
                <w:b/>
                <w:noProof/>
                <w:sz w:val="18"/>
              </w:rPr>
              <w:t>2,4 % de la moyenne des paiements du budget</w:t>
            </w:r>
          </w:p>
        </w:tc>
        <w:tc>
          <w:tcPr>
            <w:tcW w:w="5812" w:type="dxa"/>
            <w:tcBorders>
              <w:top w:val="nil"/>
              <w:left w:val="single" w:sz="12" w:space="0" w:color="auto"/>
              <w:bottom w:val="nil"/>
              <w:right w:val="nil"/>
            </w:tcBorders>
          </w:tcPr>
          <w:p>
            <w:pPr>
              <w:spacing w:after="120" w:line="240" w:lineRule="auto"/>
              <w:jc w:val="both"/>
              <w:rPr>
                <w:rFonts w:ascii="Verdana" w:hAnsi="Verdana"/>
                <w:b/>
                <w:i/>
                <w:noProof/>
                <w:sz w:val="20"/>
              </w:rPr>
            </w:pPr>
            <w:r>
              <w:rPr>
                <w:rFonts w:ascii="Verdana" w:hAnsi="Verdana"/>
                <w:noProof/>
                <w:sz w:val="18"/>
              </w:rPr>
              <w:t>La tendance légèrement haussière pour les montants confirmés prouve que le cadre de contrôle pluriannuel protège efficacement le budget de l’UE sur la durée.</w:t>
            </w:r>
          </w:p>
        </w:tc>
      </w:tr>
    </w:tbl>
    <w:p>
      <w:pPr>
        <w:spacing w:after="120"/>
        <w:jc w:val="both"/>
        <w:rPr>
          <w:rFonts w:ascii="Verdana" w:hAnsi="Verdana"/>
          <w:noProof/>
          <w:sz w:val="16"/>
        </w:rPr>
      </w:pPr>
    </w:p>
    <w:p>
      <w:pPr>
        <w:spacing w:after="120"/>
        <w:jc w:val="both"/>
        <w:rPr>
          <w:rFonts w:ascii="Verdana" w:hAnsi="Verdana"/>
          <w:i/>
          <w:noProof/>
          <w:sz w:val="16"/>
        </w:rPr>
      </w:pPr>
    </w:p>
    <w:p>
      <w:pPr>
        <w:spacing w:after="0" w:line="240" w:lineRule="auto"/>
        <w:rPr>
          <w:rFonts w:ascii="Verdana" w:hAnsi="Verdana"/>
          <w:i/>
          <w:noProof/>
          <w:sz w:val="16"/>
        </w:rPr>
      </w:pPr>
      <w:r>
        <w:rPr>
          <w:noProof/>
        </w:rPr>
        <w:br w:type="page"/>
      </w:r>
    </w:p>
    <w:p>
      <w:pPr>
        <w:spacing w:after="120"/>
        <w:rPr>
          <w:rFonts w:ascii="Verdana" w:hAnsi="Verdana"/>
          <w:i/>
          <w:noProof/>
          <w:sz w:val="16"/>
        </w:rPr>
      </w:pPr>
      <w:r>
        <w:rPr>
          <w:rFonts w:ascii="Verdana" w:hAnsi="Verdana"/>
          <w:i/>
          <w:noProof/>
          <w:sz w:val="16"/>
        </w:rPr>
        <w:t xml:space="preserve">Corrections financières et recouvrements </w:t>
      </w:r>
      <w:r>
        <w:rPr>
          <w:rFonts w:ascii="Verdana" w:hAnsi="Verdana"/>
          <w:b/>
          <w:i/>
          <w:noProof/>
          <w:sz w:val="16"/>
        </w:rPr>
        <w:t>exécutés</w:t>
      </w:r>
      <w:r>
        <w:rPr>
          <w:rFonts w:ascii="Verdana" w:hAnsi="Verdana"/>
          <w:i/>
          <w:noProof/>
          <w:sz w:val="16"/>
        </w:rPr>
        <w:t> 2009-2015 (en Mrd EUR)</w:t>
      </w:r>
    </w:p>
    <w:p>
      <w:pPr>
        <w:spacing w:after="120"/>
        <w:rPr>
          <w:rFonts w:ascii="Verdana" w:hAnsi="Verdana" w:cs="Arial"/>
          <w:b/>
          <w:bCs/>
          <w:i/>
          <w:noProof/>
          <w:sz w:val="20"/>
        </w:rPr>
      </w:pPr>
      <w:r>
        <w:rPr>
          <w:rFonts w:ascii="Verdana" w:hAnsi="Verdana" w:cs="Arial"/>
          <w:b/>
          <w:bCs/>
          <w:i/>
          <w:noProof/>
          <w:sz w:val="20"/>
          <w:lang w:val="en-US" w:eastAsia="en-US" w:bidi="ar-SA"/>
        </w:rPr>
        <w:drawing>
          <wp:inline distT="0" distB="0" distL="0" distR="0">
            <wp:extent cx="5285740" cy="3395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85740" cy="3395980"/>
                    </a:xfrm>
                    <a:prstGeom prst="rect">
                      <a:avLst/>
                    </a:prstGeom>
                    <a:noFill/>
                  </pic:spPr>
                </pic:pic>
              </a:graphicData>
            </a:graphic>
          </wp:inline>
        </w:drawing>
      </w:r>
    </w:p>
    <w:p>
      <w:pPr>
        <w:spacing w:after="240" w:line="240" w:lineRule="auto"/>
        <w:jc w:val="both"/>
        <w:rPr>
          <w:rFonts w:ascii="Verdana" w:hAnsi="Verdana"/>
          <w:noProof/>
          <w:sz w:val="18"/>
        </w:rPr>
      </w:pPr>
      <w:r>
        <w:rPr>
          <w:rFonts w:ascii="Verdana" w:hAnsi="Verdana"/>
          <w:noProof/>
          <w:sz w:val="18"/>
        </w:rPr>
        <w:t xml:space="preserve">Le montant des corrections financières et recouvrements </w:t>
      </w:r>
      <w:r>
        <w:rPr>
          <w:rFonts w:ascii="Verdana" w:hAnsi="Verdana"/>
          <w:b/>
          <w:noProof/>
          <w:sz w:val="18"/>
        </w:rPr>
        <w:t>exécutés</w:t>
      </w:r>
      <w:r>
        <w:rPr>
          <w:rFonts w:ascii="Verdana" w:hAnsi="Verdana"/>
          <w:noProof/>
          <w:sz w:val="18"/>
        </w:rPr>
        <w:t xml:space="preserve"> pour 2009-2015 s'est élevé en moyenne à 3 milliards d'EUR, ce qui représente 2,2 % du montant moyen des paiements au titre du budget de l'UE durant cette période.</w:t>
      </w:r>
    </w:p>
    <w:p>
      <w:pPr>
        <w:spacing w:after="120"/>
        <w:jc w:val="both"/>
        <w:rPr>
          <w:rFonts w:ascii="Verdana" w:hAnsi="Verdana"/>
          <w:i/>
          <w:noProof/>
          <w:sz w:val="20"/>
        </w:rPr>
      </w:pPr>
    </w:p>
    <w:p>
      <w:pPr>
        <w:spacing w:after="120"/>
        <w:jc w:val="both"/>
        <w:rPr>
          <w:rFonts w:ascii="Verdana" w:hAnsi="Verdana"/>
          <w:i/>
          <w:noProof/>
          <w:sz w:val="20"/>
        </w:rPr>
      </w:pPr>
      <w:r>
        <w:rPr>
          <w:rFonts w:ascii="Verdana" w:hAnsi="Verdana"/>
          <w:i/>
          <w:noProof/>
          <w:sz w:val="20"/>
        </w:rPr>
        <w:t>3.2.2</w:t>
      </w:r>
      <w:r>
        <w:rPr>
          <w:noProof/>
        </w:rPr>
        <w:tab/>
      </w:r>
      <w:r>
        <w:rPr>
          <w:rFonts w:ascii="Verdana" w:hAnsi="Verdana"/>
          <w:i/>
          <w:noProof/>
          <w:sz w:val="20"/>
        </w:rPr>
        <w:t>Arrêts de la Cour de justice concernant les corrections financières au titre de la politique régionale</w:t>
      </w:r>
    </w:p>
    <w:p>
      <w:pPr>
        <w:spacing w:after="240" w:line="240" w:lineRule="auto"/>
        <w:jc w:val="both"/>
        <w:rPr>
          <w:rFonts w:ascii="Verdana" w:hAnsi="Verdana"/>
          <w:noProof/>
          <w:sz w:val="18"/>
        </w:rPr>
      </w:pPr>
      <w:r>
        <w:rPr>
          <w:rFonts w:ascii="Verdana" w:hAnsi="Verdana"/>
          <w:noProof/>
          <w:sz w:val="18"/>
        </w:rPr>
        <w:t>Au cours de l’année 2015, des arrêts de la Cour de justice ont annulé plusieurs décisions de correction financière au titre de la politique régionale prises entre 2008 et 2010 (représentant des corrections d'un montant total de 457 millions d’EUR pour la période de programmation 1994-1999). Ces annulations étaient fondées sur une nouvelle interprétation juridique des règles fixées par le règlement nº 1083/2006 et marquent un changement par rapport à de précédents arrêts rendus par la Cour de justice. Les corrections annulées ont été déduites des montants tant confirmés qu'exécutés de l’exercice 2015, ainsi que des montants cumulés présentés dans le tableau ci</w:t>
      </w:r>
      <w:r>
        <w:rPr>
          <w:noProof/>
        </w:rPr>
        <w:noBreakHyphen/>
      </w:r>
      <w:r>
        <w:rPr>
          <w:rFonts w:ascii="Verdana" w:hAnsi="Verdana"/>
          <w:noProof/>
          <w:sz w:val="18"/>
        </w:rPr>
        <w:t>dessous.</w:t>
      </w:r>
    </w:p>
    <w:p>
      <w:pPr>
        <w:spacing w:after="0" w:line="240" w:lineRule="auto"/>
        <w:rPr>
          <w:rFonts w:ascii="Verdana" w:hAnsi="Verdana"/>
          <w:i/>
          <w:noProof/>
          <w:sz w:val="20"/>
        </w:rPr>
      </w:pPr>
      <w:r>
        <w:rPr>
          <w:noProof/>
        </w:rPr>
        <w:br w:type="page"/>
      </w:r>
    </w:p>
    <w:p>
      <w:pPr>
        <w:spacing w:after="120"/>
        <w:jc w:val="both"/>
        <w:rPr>
          <w:rFonts w:ascii="Verdana" w:hAnsi="Verdana"/>
          <w:i/>
          <w:noProof/>
          <w:sz w:val="20"/>
        </w:rPr>
      </w:pPr>
      <w:r>
        <w:rPr>
          <w:rFonts w:ascii="Verdana" w:hAnsi="Verdana"/>
          <w:i/>
          <w:noProof/>
          <w:sz w:val="20"/>
        </w:rPr>
        <w:t>3.2.3</w:t>
      </w:r>
      <w:r>
        <w:rPr>
          <w:noProof/>
        </w:rPr>
        <w:tab/>
      </w:r>
      <w:r>
        <w:rPr>
          <w:rFonts w:ascii="Verdana" w:hAnsi="Verdana"/>
          <w:i/>
          <w:noProof/>
          <w:sz w:val="20"/>
        </w:rPr>
        <w:t>Taux d'exécution des corrections financières à la fin de 2015</w:t>
      </w:r>
    </w:p>
    <w:p>
      <w:pPr>
        <w:spacing w:after="0" w:line="240" w:lineRule="auto"/>
        <w:jc w:val="both"/>
        <w:rPr>
          <w:rFonts w:ascii="Verdana" w:hAnsi="Verdana" w:cs="Arial"/>
          <w:b/>
          <w:bCs/>
          <w:i/>
          <w:noProof/>
          <w:sz w:val="20"/>
        </w:rPr>
      </w:pPr>
      <w:r>
        <w:rPr>
          <w:rFonts w:ascii="Verdana" w:hAnsi="Verdana"/>
          <w:b/>
          <w:i/>
          <w:noProof/>
          <w:sz w:val="18"/>
        </w:rPr>
        <w:t>Tableau 3.2.3: Corrections financières confirmées cumulées et pourcentage d’exécution jusqu’à la fin de 2015</w:t>
      </w:r>
    </w:p>
    <w:tbl>
      <w:tblPr>
        <w:tblW w:w="5261" w:type="pct"/>
        <w:tblInd w:w="-176" w:type="dxa"/>
        <w:tblLayout w:type="fixed"/>
        <w:tblLook w:val="04A0" w:firstRow="1" w:lastRow="0" w:firstColumn="1" w:lastColumn="0" w:noHBand="0" w:noVBand="1"/>
      </w:tblPr>
      <w:tblGrid>
        <w:gridCol w:w="1800"/>
        <w:gridCol w:w="816"/>
        <w:gridCol w:w="818"/>
        <w:gridCol w:w="829"/>
        <w:gridCol w:w="1095"/>
        <w:gridCol w:w="1163"/>
        <w:gridCol w:w="1087"/>
        <w:gridCol w:w="1179"/>
        <w:gridCol w:w="1135"/>
      </w:tblGrid>
      <w:tr>
        <w:trPr>
          <w:trHeight w:val="270"/>
        </w:trPr>
        <w:tc>
          <w:tcPr>
            <w:tcW w:w="5000" w:type="pct"/>
            <w:gridSpan w:val="9"/>
            <w:tcBorders>
              <w:top w:val="nil"/>
              <w:left w:val="nil"/>
              <w:bottom w:val="single" w:sz="8" w:space="0" w:color="auto"/>
              <w:right w:val="nil"/>
            </w:tcBorders>
            <w:shd w:val="clear" w:color="auto" w:fill="auto"/>
            <w:noWrap/>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En Mio EUR</w:t>
            </w:r>
          </w:p>
        </w:tc>
      </w:tr>
      <w:tr>
        <w:trPr>
          <w:trHeight w:val="270"/>
        </w:trPr>
        <w:tc>
          <w:tcPr>
            <w:tcW w:w="907" w:type="pct"/>
            <w:vMerge w:val="restart"/>
            <w:tcBorders>
              <w:top w:val="single" w:sz="8" w:space="0" w:color="auto"/>
              <w:left w:val="single" w:sz="8" w:space="0" w:color="auto"/>
              <w:bottom w:val="single" w:sz="8" w:space="0" w:color="000000"/>
              <w:right w:val="single" w:sz="8" w:space="0" w:color="000000"/>
            </w:tcBorders>
            <w:shd w:val="clear" w:color="000000" w:fill="99CCFF"/>
            <w:noWrap/>
            <w:vAlign w:val="center"/>
            <w:hideMark/>
          </w:tcPr>
          <w:p>
            <w:pPr>
              <w:spacing w:after="0" w:line="240" w:lineRule="auto"/>
              <w:jc w:val="center"/>
              <w:rPr>
                <w:rFonts w:ascii="Verdana" w:eastAsia="Times New Roman" w:hAnsi="Verdana"/>
                <w:b/>
                <w:bCs/>
                <w:noProof/>
                <w:color w:val="000000"/>
                <w:sz w:val="14"/>
                <w:szCs w:val="14"/>
              </w:rPr>
            </w:pPr>
          </w:p>
        </w:tc>
        <w:tc>
          <w:tcPr>
            <w:tcW w:w="1241" w:type="pct"/>
            <w:gridSpan w:val="3"/>
            <w:vMerge w:val="restart"/>
            <w:tcBorders>
              <w:top w:val="single" w:sz="8" w:space="0" w:color="auto"/>
              <w:left w:val="single" w:sz="8" w:space="0" w:color="auto"/>
              <w:bottom w:val="single" w:sz="8" w:space="0" w:color="000000"/>
              <w:right w:val="nil"/>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Période de programmation</w:t>
            </w:r>
          </w:p>
        </w:tc>
        <w:tc>
          <w:tcPr>
            <w:tcW w:w="552" w:type="pct"/>
            <w:vMerge w:val="restart"/>
            <w:tcBorders>
              <w:top w:val="nil"/>
              <w:left w:val="single" w:sz="8" w:space="0" w:color="auto"/>
              <w:bottom w:val="single" w:sz="8" w:space="0" w:color="000000"/>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Décisions FEAGA cumulées</w:t>
            </w:r>
          </w:p>
        </w:tc>
        <w:tc>
          <w:tcPr>
            <w:tcW w:w="586" w:type="pct"/>
            <w:vMerge w:val="restart"/>
            <w:tcBorders>
              <w:top w:val="nil"/>
              <w:left w:val="single" w:sz="8" w:space="0" w:color="auto"/>
              <w:bottom w:val="single" w:sz="8" w:space="0" w:color="000000"/>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Total des corrections financières confirmées à la fin de 2015</w:t>
            </w:r>
          </w:p>
        </w:tc>
        <w:tc>
          <w:tcPr>
            <w:tcW w:w="548" w:type="pct"/>
            <w:vMerge w:val="restart"/>
            <w:tcBorders>
              <w:top w:val="nil"/>
              <w:left w:val="single" w:sz="8" w:space="0" w:color="auto"/>
              <w:bottom w:val="single" w:sz="8" w:space="0" w:color="000000"/>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Exécution fin 2015 (en %)</w:t>
            </w:r>
          </w:p>
        </w:tc>
        <w:tc>
          <w:tcPr>
            <w:tcW w:w="594" w:type="pct"/>
            <w:vMerge w:val="restart"/>
            <w:tcBorders>
              <w:top w:val="nil"/>
              <w:left w:val="single" w:sz="8" w:space="0" w:color="auto"/>
              <w:bottom w:val="single" w:sz="8" w:space="0" w:color="000000"/>
              <w:right w:val="single" w:sz="8" w:space="0" w:color="auto"/>
            </w:tcBorders>
            <w:shd w:val="clear" w:color="000000" w:fill="99CCFF"/>
            <w:vAlign w:val="center"/>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Corrections financières confirmées à la fin de 2014</w:t>
            </w:r>
          </w:p>
        </w:tc>
        <w:tc>
          <w:tcPr>
            <w:tcW w:w="572" w:type="pct"/>
            <w:vMerge w:val="restart"/>
            <w:tcBorders>
              <w:top w:val="nil"/>
              <w:left w:val="single" w:sz="8" w:space="0" w:color="auto"/>
              <w:bottom w:val="single" w:sz="8" w:space="0" w:color="000000"/>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Exécution fin 2014 (en %)</w:t>
            </w:r>
          </w:p>
        </w:tc>
      </w:tr>
      <w:tr>
        <w:trPr>
          <w:trHeight w:val="180"/>
        </w:trPr>
        <w:tc>
          <w:tcPr>
            <w:tcW w:w="907" w:type="pct"/>
            <w:vMerge/>
            <w:tcBorders>
              <w:top w:val="single" w:sz="8" w:space="0" w:color="auto"/>
              <w:left w:val="single" w:sz="8" w:space="0" w:color="auto"/>
              <w:bottom w:val="single" w:sz="8" w:space="0" w:color="000000"/>
              <w:right w:val="single" w:sz="8" w:space="0" w:color="000000"/>
            </w:tcBorders>
            <w:vAlign w:val="center"/>
            <w:hideMark/>
          </w:tcPr>
          <w:p>
            <w:pPr>
              <w:spacing w:after="0" w:line="240" w:lineRule="auto"/>
              <w:rPr>
                <w:rFonts w:ascii="Verdana" w:eastAsia="Times New Roman" w:hAnsi="Verdana"/>
                <w:b/>
                <w:bCs/>
                <w:noProof/>
                <w:color w:val="000000"/>
                <w:sz w:val="14"/>
                <w:szCs w:val="14"/>
              </w:rPr>
            </w:pPr>
          </w:p>
        </w:tc>
        <w:tc>
          <w:tcPr>
            <w:tcW w:w="1241" w:type="pct"/>
            <w:gridSpan w:val="3"/>
            <w:vMerge/>
            <w:tcBorders>
              <w:top w:val="single" w:sz="8" w:space="0" w:color="auto"/>
              <w:left w:val="single" w:sz="8" w:space="0" w:color="auto"/>
              <w:bottom w:val="single" w:sz="8" w:space="0" w:color="000000"/>
              <w:right w:val="nil"/>
            </w:tcBorders>
            <w:vAlign w:val="center"/>
            <w:hideMark/>
          </w:tcPr>
          <w:p>
            <w:pPr>
              <w:spacing w:after="0" w:line="240" w:lineRule="auto"/>
              <w:rPr>
                <w:rFonts w:ascii="Verdana" w:eastAsia="Times New Roman" w:hAnsi="Verdana"/>
                <w:b/>
                <w:bCs/>
                <w:noProof/>
                <w:color w:val="000000"/>
                <w:sz w:val="14"/>
                <w:szCs w:val="14"/>
              </w:rPr>
            </w:pPr>
          </w:p>
        </w:tc>
        <w:tc>
          <w:tcPr>
            <w:tcW w:w="552" w:type="pct"/>
            <w:vMerge/>
            <w:tcBorders>
              <w:top w:val="nil"/>
              <w:left w:val="single" w:sz="8" w:space="0" w:color="auto"/>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z w:val="16"/>
                <w:szCs w:val="16"/>
              </w:rPr>
            </w:pPr>
          </w:p>
        </w:tc>
        <w:tc>
          <w:tcPr>
            <w:tcW w:w="586" w:type="pct"/>
            <w:vMerge/>
            <w:tcBorders>
              <w:top w:val="nil"/>
              <w:left w:val="single" w:sz="8" w:space="0" w:color="auto"/>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z w:val="16"/>
                <w:szCs w:val="16"/>
              </w:rPr>
            </w:pPr>
          </w:p>
        </w:tc>
        <w:tc>
          <w:tcPr>
            <w:tcW w:w="548" w:type="pct"/>
            <w:vMerge/>
            <w:tcBorders>
              <w:top w:val="nil"/>
              <w:left w:val="single" w:sz="8" w:space="0" w:color="auto"/>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z w:val="16"/>
                <w:szCs w:val="16"/>
              </w:rPr>
            </w:pPr>
          </w:p>
        </w:tc>
        <w:tc>
          <w:tcPr>
            <w:tcW w:w="594" w:type="pct"/>
            <w:vMerge/>
            <w:tcBorders>
              <w:top w:val="nil"/>
              <w:left w:val="single" w:sz="8" w:space="0" w:color="auto"/>
              <w:bottom w:val="single" w:sz="8" w:space="0" w:color="000000"/>
              <w:right w:val="single" w:sz="8" w:space="0" w:color="auto"/>
            </w:tcBorders>
            <w:vAlign w:val="center"/>
          </w:tcPr>
          <w:p>
            <w:pPr>
              <w:spacing w:after="0" w:line="240" w:lineRule="auto"/>
              <w:rPr>
                <w:rFonts w:ascii="Verdana" w:eastAsia="Times New Roman" w:hAnsi="Verdana"/>
                <w:b/>
                <w:bCs/>
                <w:noProof/>
                <w:color w:val="000000"/>
                <w:sz w:val="16"/>
                <w:szCs w:val="16"/>
              </w:rPr>
            </w:pPr>
          </w:p>
        </w:tc>
        <w:tc>
          <w:tcPr>
            <w:tcW w:w="572" w:type="pct"/>
            <w:vMerge/>
            <w:tcBorders>
              <w:top w:val="nil"/>
              <w:left w:val="single" w:sz="8" w:space="0" w:color="auto"/>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z w:val="16"/>
                <w:szCs w:val="16"/>
              </w:rPr>
            </w:pPr>
          </w:p>
        </w:tc>
      </w:tr>
      <w:tr>
        <w:trPr>
          <w:trHeight w:val="615"/>
        </w:trPr>
        <w:tc>
          <w:tcPr>
            <w:tcW w:w="907" w:type="pct"/>
            <w:vMerge/>
            <w:tcBorders>
              <w:top w:val="single" w:sz="8" w:space="0" w:color="auto"/>
              <w:left w:val="single" w:sz="8" w:space="0" w:color="auto"/>
              <w:bottom w:val="single" w:sz="8" w:space="0" w:color="000000"/>
              <w:right w:val="single" w:sz="8" w:space="0" w:color="000000"/>
            </w:tcBorders>
            <w:vAlign w:val="center"/>
            <w:hideMark/>
          </w:tcPr>
          <w:p>
            <w:pPr>
              <w:spacing w:after="0" w:line="240" w:lineRule="auto"/>
              <w:rPr>
                <w:rFonts w:ascii="Verdana" w:eastAsia="Times New Roman" w:hAnsi="Verdana"/>
                <w:b/>
                <w:bCs/>
                <w:noProof/>
                <w:color w:val="000000"/>
                <w:sz w:val="14"/>
                <w:szCs w:val="14"/>
              </w:rPr>
            </w:pPr>
          </w:p>
        </w:tc>
        <w:tc>
          <w:tcPr>
            <w:tcW w:w="411" w:type="pct"/>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Période 1994-1999</w:t>
            </w:r>
          </w:p>
        </w:tc>
        <w:tc>
          <w:tcPr>
            <w:tcW w:w="412" w:type="pct"/>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Période 2000-2006</w:t>
            </w:r>
          </w:p>
        </w:tc>
        <w:tc>
          <w:tcPr>
            <w:tcW w:w="418" w:type="pct"/>
            <w:tcBorders>
              <w:top w:val="nil"/>
              <w:left w:val="nil"/>
              <w:bottom w:val="single" w:sz="8" w:space="0" w:color="auto"/>
              <w:right w:val="nil"/>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Période 2007-2013</w:t>
            </w:r>
          </w:p>
        </w:tc>
        <w:tc>
          <w:tcPr>
            <w:tcW w:w="552" w:type="pct"/>
            <w:vMerge/>
            <w:tcBorders>
              <w:top w:val="nil"/>
              <w:left w:val="single" w:sz="8" w:space="0" w:color="auto"/>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z w:val="16"/>
                <w:szCs w:val="16"/>
              </w:rPr>
            </w:pPr>
          </w:p>
        </w:tc>
        <w:tc>
          <w:tcPr>
            <w:tcW w:w="586" w:type="pct"/>
            <w:vMerge/>
            <w:tcBorders>
              <w:top w:val="nil"/>
              <w:left w:val="single" w:sz="8" w:space="0" w:color="auto"/>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z w:val="16"/>
                <w:szCs w:val="16"/>
              </w:rPr>
            </w:pPr>
          </w:p>
        </w:tc>
        <w:tc>
          <w:tcPr>
            <w:tcW w:w="548" w:type="pct"/>
            <w:vMerge/>
            <w:tcBorders>
              <w:top w:val="nil"/>
              <w:left w:val="single" w:sz="8" w:space="0" w:color="auto"/>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z w:val="16"/>
                <w:szCs w:val="16"/>
              </w:rPr>
            </w:pPr>
          </w:p>
        </w:tc>
        <w:tc>
          <w:tcPr>
            <w:tcW w:w="594" w:type="pct"/>
            <w:vMerge/>
            <w:tcBorders>
              <w:top w:val="nil"/>
              <w:left w:val="single" w:sz="8" w:space="0" w:color="auto"/>
              <w:bottom w:val="single" w:sz="8" w:space="0" w:color="000000"/>
              <w:right w:val="single" w:sz="8" w:space="0" w:color="auto"/>
            </w:tcBorders>
            <w:vAlign w:val="center"/>
          </w:tcPr>
          <w:p>
            <w:pPr>
              <w:spacing w:after="0" w:line="240" w:lineRule="auto"/>
              <w:rPr>
                <w:rFonts w:ascii="Verdana" w:eastAsia="Times New Roman" w:hAnsi="Verdana"/>
                <w:b/>
                <w:bCs/>
                <w:noProof/>
                <w:color w:val="000000"/>
                <w:sz w:val="16"/>
                <w:szCs w:val="16"/>
              </w:rPr>
            </w:pPr>
          </w:p>
        </w:tc>
        <w:tc>
          <w:tcPr>
            <w:tcW w:w="572" w:type="pct"/>
            <w:vMerge/>
            <w:tcBorders>
              <w:top w:val="nil"/>
              <w:left w:val="single" w:sz="8" w:space="0" w:color="auto"/>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z w:val="16"/>
                <w:szCs w:val="16"/>
              </w:rPr>
            </w:pPr>
          </w:p>
        </w:tc>
      </w:tr>
      <w:tr>
        <w:trPr>
          <w:trHeight w:val="227"/>
        </w:trPr>
        <w:tc>
          <w:tcPr>
            <w:tcW w:w="907" w:type="pct"/>
            <w:tcBorders>
              <w:top w:val="single" w:sz="8" w:space="0" w:color="auto"/>
              <w:left w:val="single" w:sz="8" w:space="0" w:color="auto"/>
              <w:bottom w:val="nil"/>
              <w:right w:val="single" w:sz="8" w:space="0" w:color="000000"/>
            </w:tcBorders>
            <w:shd w:val="clear" w:color="auto" w:fill="auto"/>
            <w:noWrap/>
            <w:vAlign w:val="center"/>
            <w:hideMark/>
          </w:tcPr>
          <w:p>
            <w:pPr>
              <w:spacing w:after="0" w:line="240" w:lineRule="auto"/>
              <w:jc w:val="both"/>
              <w:rPr>
                <w:rFonts w:ascii="Verdana" w:eastAsia="Times New Roman" w:hAnsi="Verdana"/>
                <w:b/>
                <w:bCs/>
                <w:noProof/>
                <w:color w:val="000000"/>
                <w:sz w:val="16"/>
                <w:szCs w:val="16"/>
              </w:rPr>
            </w:pPr>
            <w:r>
              <w:rPr>
                <w:rFonts w:ascii="Verdana" w:hAnsi="Verdana"/>
                <w:b/>
                <w:noProof/>
                <w:color w:val="000000"/>
                <w:sz w:val="16"/>
              </w:rPr>
              <w:t>Agriculture</w:t>
            </w:r>
          </w:p>
        </w:tc>
        <w:tc>
          <w:tcPr>
            <w:tcW w:w="411"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w:t>
            </w:r>
          </w:p>
        </w:tc>
        <w:tc>
          <w:tcPr>
            <w:tcW w:w="412"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139</w:t>
            </w:r>
          </w:p>
        </w:tc>
        <w:tc>
          <w:tcPr>
            <w:tcW w:w="418"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787</w:t>
            </w:r>
          </w:p>
        </w:tc>
        <w:tc>
          <w:tcPr>
            <w:tcW w:w="552" w:type="pct"/>
            <w:tcBorders>
              <w:top w:val="nil"/>
              <w:left w:val="nil"/>
              <w:bottom w:val="nil"/>
              <w:right w:val="single" w:sz="8" w:space="0" w:color="auto"/>
            </w:tcBorders>
            <w:shd w:val="clear" w:color="auto" w:fill="auto"/>
            <w:noWrap/>
            <w:vAlign w:val="center"/>
          </w:tcPr>
          <w:p>
            <w:pPr>
              <w:spacing w:after="0"/>
              <w:jc w:val="right"/>
              <w:rPr>
                <w:rFonts w:ascii="Verdana" w:hAnsi="Verdana"/>
                <w:b/>
                <w:bCs/>
                <w:noProof/>
                <w:color w:val="000000"/>
                <w:sz w:val="16"/>
                <w:szCs w:val="16"/>
              </w:rPr>
            </w:pPr>
            <w:r>
              <w:rPr>
                <w:rFonts w:ascii="Verdana" w:hAnsi="Verdana"/>
                <w:b/>
                <w:noProof/>
                <w:color w:val="000000"/>
                <w:sz w:val="16"/>
              </w:rPr>
              <w:t>11 766</w:t>
            </w:r>
          </w:p>
        </w:tc>
        <w:tc>
          <w:tcPr>
            <w:tcW w:w="586" w:type="pct"/>
            <w:tcBorders>
              <w:top w:val="nil"/>
              <w:left w:val="nil"/>
              <w:bottom w:val="nil"/>
              <w:right w:val="single" w:sz="8" w:space="0" w:color="auto"/>
            </w:tcBorders>
            <w:shd w:val="clear" w:color="auto" w:fill="auto"/>
            <w:noWrap/>
            <w:vAlign w:val="center"/>
          </w:tcPr>
          <w:p>
            <w:pPr>
              <w:spacing w:after="0"/>
              <w:jc w:val="right"/>
              <w:rPr>
                <w:rFonts w:ascii="Verdana" w:hAnsi="Verdana"/>
                <w:b/>
                <w:bCs/>
                <w:noProof/>
                <w:color w:val="000000"/>
                <w:sz w:val="16"/>
                <w:szCs w:val="16"/>
              </w:rPr>
            </w:pPr>
            <w:r>
              <w:rPr>
                <w:rFonts w:ascii="Verdana" w:hAnsi="Verdana"/>
                <w:b/>
                <w:noProof/>
                <w:color w:val="000000"/>
                <w:sz w:val="16"/>
              </w:rPr>
              <w:t>12 692</w:t>
            </w:r>
          </w:p>
        </w:tc>
        <w:tc>
          <w:tcPr>
            <w:tcW w:w="548" w:type="pct"/>
            <w:tcBorders>
              <w:top w:val="nil"/>
              <w:left w:val="nil"/>
              <w:bottom w:val="nil"/>
              <w:right w:val="single" w:sz="8" w:space="0" w:color="auto"/>
            </w:tcBorders>
            <w:shd w:val="clear" w:color="auto" w:fill="auto"/>
            <w:vAlign w:val="center"/>
          </w:tcPr>
          <w:p>
            <w:pPr>
              <w:spacing w:after="0"/>
              <w:jc w:val="right"/>
              <w:rPr>
                <w:rFonts w:ascii="Verdana" w:hAnsi="Verdana"/>
                <w:b/>
                <w:bCs/>
                <w:noProof/>
                <w:color w:val="000000"/>
                <w:sz w:val="16"/>
                <w:szCs w:val="16"/>
              </w:rPr>
            </w:pPr>
            <w:r>
              <w:rPr>
                <w:rFonts w:ascii="Verdana" w:hAnsi="Verdana"/>
                <w:b/>
                <w:noProof/>
                <w:color w:val="000000"/>
                <w:sz w:val="16"/>
              </w:rPr>
              <w:t>85,4 %</w:t>
            </w:r>
          </w:p>
        </w:tc>
        <w:tc>
          <w:tcPr>
            <w:tcW w:w="594" w:type="pct"/>
            <w:tcBorders>
              <w:top w:val="nil"/>
              <w:left w:val="nil"/>
              <w:bottom w:val="nil"/>
              <w:right w:val="single" w:sz="8" w:space="0" w:color="auto"/>
            </w:tcBorders>
            <w:shd w:val="clear" w:color="auto" w:fill="auto"/>
            <w:vAlign w:val="center"/>
          </w:tcPr>
          <w:p>
            <w:pPr>
              <w:spacing w:after="0"/>
              <w:jc w:val="right"/>
              <w:rPr>
                <w:rFonts w:ascii="Verdana" w:hAnsi="Verdana"/>
                <w:b/>
                <w:bCs/>
                <w:noProof/>
                <w:color w:val="000000"/>
                <w:sz w:val="16"/>
                <w:szCs w:val="16"/>
              </w:rPr>
            </w:pPr>
            <w:r>
              <w:rPr>
                <w:rFonts w:ascii="Verdana" w:hAnsi="Verdana"/>
                <w:b/>
                <w:noProof/>
                <w:color w:val="000000"/>
                <w:sz w:val="16"/>
              </w:rPr>
              <w:t>11 514</w:t>
            </w:r>
          </w:p>
        </w:tc>
        <w:tc>
          <w:tcPr>
            <w:tcW w:w="572" w:type="pct"/>
            <w:tcBorders>
              <w:top w:val="nil"/>
              <w:left w:val="nil"/>
              <w:bottom w:val="nil"/>
              <w:right w:val="single" w:sz="8" w:space="0" w:color="auto"/>
            </w:tcBorders>
            <w:shd w:val="clear" w:color="auto" w:fill="auto"/>
            <w:vAlign w:val="center"/>
          </w:tcPr>
          <w:p>
            <w:pPr>
              <w:spacing w:after="0"/>
              <w:jc w:val="right"/>
              <w:rPr>
                <w:rFonts w:ascii="Verdana" w:hAnsi="Verdana"/>
                <w:b/>
                <w:bCs/>
                <w:noProof/>
                <w:color w:val="000000"/>
                <w:sz w:val="16"/>
                <w:szCs w:val="16"/>
              </w:rPr>
            </w:pPr>
            <w:r>
              <w:rPr>
                <w:rFonts w:ascii="Verdana" w:hAnsi="Verdana"/>
                <w:b/>
                <w:noProof/>
                <w:color w:val="000000"/>
                <w:sz w:val="16"/>
              </w:rPr>
              <w:t>82,8 %</w:t>
            </w:r>
          </w:p>
        </w:tc>
      </w:tr>
      <w:tr>
        <w:trPr>
          <w:trHeight w:val="227"/>
        </w:trPr>
        <w:tc>
          <w:tcPr>
            <w:tcW w:w="907" w:type="pct"/>
            <w:tcBorders>
              <w:top w:val="nil"/>
              <w:left w:val="single" w:sz="8" w:space="0" w:color="auto"/>
              <w:bottom w:val="nil"/>
              <w:right w:val="single" w:sz="8" w:space="0" w:color="000000"/>
            </w:tcBorders>
            <w:shd w:val="clear" w:color="auto" w:fill="auto"/>
            <w:noWrap/>
            <w:vAlign w:val="center"/>
            <w:hideMark/>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FEAGA</w:t>
            </w:r>
          </w:p>
        </w:tc>
        <w:tc>
          <w:tcPr>
            <w:tcW w:w="411"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w:t>
            </w:r>
          </w:p>
        </w:tc>
        <w:tc>
          <w:tcPr>
            <w:tcW w:w="412"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w:t>
            </w:r>
          </w:p>
        </w:tc>
        <w:tc>
          <w:tcPr>
            <w:tcW w:w="418"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w:t>
            </w:r>
          </w:p>
        </w:tc>
        <w:tc>
          <w:tcPr>
            <w:tcW w:w="552" w:type="pct"/>
            <w:tcBorders>
              <w:top w:val="nil"/>
              <w:left w:val="nil"/>
              <w:bottom w:val="nil"/>
              <w:right w:val="single" w:sz="8" w:space="0" w:color="auto"/>
            </w:tcBorders>
            <w:shd w:val="clear" w:color="auto" w:fill="auto"/>
            <w:vAlign w:val="center"/>
          </w:tcPr>
          <w:p>
            <w:pPr>
              <w:spacing w:after="0"/>
              <w:jc w:val="right"/>
              <w:rPr>
                <w:rFonts w:ascii="Verdana" w:hAnsi="Verdana"/>
                <w:noProof/>
                <w:color w:val="000000"/>
                <w:sz w:val="16"/>
                <w:szCs w:val="16"/>
              </w:rPr>
            </w:pPr>
            <w:r>
              <w:rPr>
                <w:rFonts w:ascii="Verdana" w:hAnsi="Verdana"/>
                <w:noProof/>
                <w:color w:val="000000"/>
                <w:sz w:val="16"/>
              </w:rPr>
              <w:t>11 766</w:t>
            </w:r>
          </w:p>
        </w:tc>
        <w:tc>
          <w:tcPr>
            <w:tcW w:w="586" w:type="pct"/>
            <w:tcBorders>
              <w:top w:val="nil"/>
              <w:left w:val="nil"/>
              <w:bottom w:val="nil"/>
              <w:right w:val="single" w:sz="8" w:space="0" w:color="auto"/>
            </w:tcBorders>
            <w:shd w:val="clear" w:color="auto" w:fill="auto"/>
            <w:noWrap/>
            <w:vAlign w:val="center"/>
          </w:tcPr>
          <w:p>
            <w:pPr>
              <w:spacing w:after="0"/>
              <w:jc w:val="right"/>
              <w:rPr>
                <w:rFonts w:ascii="Verdana" w:hAnsi="Verdana"/>
                <w:bCs/>
                <w:noProof/>
                <w:color w:val="000000"/>
                <w:sz w:val="16"/>
                <w:szCs w:val="16"/>
              </w:rPr>
            </w:pPr>
            <w:r>
              <w:rPr>
                <w:rFonts w:ascii="Verdana" w:hAnsi="Verdana"/>
                <w:noProof/>
                <w:color w:val="000000"/>
                <w:sz w:val="16"/>
              </w:rPr>
              <w:t>11 766</w:t>
            </w:r>
          </w:p>
        </w:tc>
        <w:tc>
          <w:tcPr>
            <w:tcW w:w="548" w:type="pct"/>
            <w:tcBorders>
              <w:top w:val="nil"/>
              <w:left w:val="nil"/>
              <w:bottom w:val="nil"/>
              <w:right w:val="single" w:sz="8" w:space="0" w:color="auto"/>
            </w:tcBorders>
            <w:shd w:val="clear" w:color="auto" w:fill="auto"/>
            <w:vAlign w:val="center"/>
          </w:tcPr>
          <w:p>
            <w:pPr>
              <w:spacing w:after="0"/>
              <w:jc w:val="right"/>
              <w:rPr>
                <w:rFonts w:ascii="Verdana" w:hAnsi="Verdana"/>
                <w:noProof/>
                <w:color w:val="000000"/>
                <w:sz w:val="16"/>
                <w:szCs w:val="16"/>
              </w:rPr>
            </w:pPr>
            <w:r>
              <w:rPr>
                <w:rFonts w:ascii="Verdana" w:hAnsi="Verdana"/>
                <w:noProof/>
                <w:color w:val="000000"/>
                <w:sz w:val="16"/>
              </w:rPr>
              <w:t>85,7 %</w:t>
            </w:r>
          </w:p>
        </w:tc>
        <w:tc>
          <w:tcPr>
            <w:tcW w:w="594" w:type="pct"/>
            <w:tcBorders>
              <w:top w:val="nil"/>
              <w:left w:val="nil"/>
              <w:bottom w:val="nil"/>
              <w:right w:val="single" w:sz="8" w:space="0" w:color="auto"/>
            </w:tcBorders>
            <w:shd w:val="clear" w:color="auto" w:fill="auto"/>
            <w:vAlign w:val="center"/>
          </w:tcPr>
          <w:p>
            <w:pPr>
              <w:spacing w:after="0"/>
              <w:jc w:val="right"/>
              <w:rPr>
                <w:rFonts w:ascii="Verdana" w:hAnsi="Verdana"/>
                <w:bCs/>
                <w:noProof/>
                <w:color w:val="000000"/>
                <w:sz w:val="16"/>
                <w:szCs w:val="16"/>
              </w:rPr>
            </w:pPr>
            <w:r>
              <w:rPr>
                <w:rFonts w:ascii="Verdana" w:hAnsi="Verdana"/>
                <w:noProof/>
                <w:color w:val="000000"/>
                <w:sz w:val="16"/>
              </w:rPr>
              <w:t>10 808</w:t>
            </w:r>
          </w:p>
        </w:tc>
        <w:tc>
          <w:tcPr>
            <w:tcW w:w="572" w:type="pct"/>
            <w:tcBorders>
              <w:top w:val="nil"/>
              <w:left w:val="nil"/>
              <w:bottom w:val="nil"/>
              <w:right w:val="single" w:sz="8" w:space="0" w:color="auto"/>
            </w:tcBorders>
            <w:shd w:val="clear" w:color="auto" w:fill="auto"/>
            <w:vAlign w:val="center"/>
          </w:tcPr>
          <w:p>
            <w:pPr>
              <w:spacing w:after="0"/>
              <w:jc w:val="right"/>
              <w:rPr>
                <w:rFonts w:ascii="Verdana" w:hAnsi="Verdana"/>
                <w:noProof/>
                <w:color w:val="000000"/>
                <w:sz w:val="16"/>
                <w:szCs w:val="16"/>
              </w:rPr>
            </w:pPr>
            <w:r>
              <w:rPr>
                <w:rFonts w:ascii="Verdana" w:hAnsi="Verdana"/>
                <w:noProof/>
                <w:color w:val="000000"/>
                <w:sz w:val="16"/>
              </w:rPr>
              <w:t>83,7 %</w:t>
            </w:r>
          </w:p>
        </w:tc>
      </w:tr>
      <w:tr>
        <w:trPr>
          <w:trHeight w:val="227"/>
        </w:trPr>
        <w:tc>
          <w:tcPr>
            <w:tcW w:w="907" w:type="pct"/>
            <w:tcBorders>
              <w:top w:val="nil"/>
              <w:left w:val="single" w:sz="8" w:space="0" w:color="auto"/>
              <w:bottom w:val="nil"/>
              <w:right w:val="single" w:sz="8" w:space="0" w:color="000000"/>
            </w:tcBorders>
            <w:shd w:val="clear" w:color="auto" w:fill="auto"/>
            <w:noWrap/>
            <w:vAlign w:val="center"/>
            <w:hideMark/>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Développement rural</w:t>
            </w:r>
          </w:p>
        </w:tc>
        <w:tc>
          <w:tcPr>
            <w:tcW w:w="411"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w:t>
            </w:r>
          </w:p>
        </w:tc>
        <w:tc>
          <w:tcPr>
            <w:tcW w:w="412"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139</w:t>
            </w:r>
          </w:p>
        </w:tc>
        <w:tc>
          <w:tcPr>
            <w:tcW w:w="418"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787</w:t>
            </w:r>
          </w:p>
        </w:tc>
        <w:tc>
          <w:tcPr>
            <w:tcW w:w="552" w:type="pct"/>
            <w:tcBorders>
              <w:top w:val="nil"/>
              <w:left w:val="nil"/>
              <w:bottom w:val="nil"/>
              <w:right w:val="single" w:sz="8" w:space="0" w:color="auto"/>
            </w:tcBorders>
            <w:shd w:val="clear" w:color="auto" w:fill="auto"/>
            <w:vAlign w:val="center"/>
          </w:tcPr>
          <w:p>
            <w:pPr>
              <w:spacing w:after="0"/>
              <w:jc w:val="right"/>
              <w:rPr>
                <w:rFonts w:ascii="Verdana" w:hAnsi="Verdana"/>
                <w:noProof/>
                <w:color w:val="000000"/>
                <w:sz w:val="16"/>
                <w:szCs w:val="16"/>
              </w:rPr>
            </w:pPr>
            <w:r>
              <w:rPr>
                <w:rFonts w:ascii="Verdana" w:hAnsi="Verdana"/>
                <w:noProof/>
                <w:color w:val="000000"/>
                <w:sz w:val="16"/>
              </w:rPr>
              <w:t>Sans objet</w:t>
            </w:r>
          </w:p>
        </w:tc>
        <w:tc>
          <w:tcPr>
            <w:tcW w:w="586" w:type="pct"/>
            <w:tcBorders>
              <w:top w:val="nil"/>
              <w:left w:val="nil"/>
              <w:bottom w:val="nil"/>
              <w:right w:val="single" w:sz="8" w:space="0" w:color="auto"/>
            </w:tcBorders>
            <w:shd w:val="clear" w:color="auto" w:fill="auto"/>
            <w:noWrap/>
            <w:vAlign w:val="center"/>
          </w:tcPr>
          <w:p>
            <w:pPr>
              <w:spacing w:after="0"/>
              <w:jc w:val="right"/>
              <w:rPr>
                <w:rFonts w:ascii="Verdana" w:hAnsi="Verdana"/>
                <w:bCs/>
                <w:noProof/>
                <w:color w:val="000000"/>
                <w:sz w:val="16"/>
                <w:szCs w:val="16"/>
              </w:rPr>
            </w:pPr>
            <w:r>
              <w:rPr>
                <w:rFonts w:ascii="Verdana" w:hAnsi="Verdana"/>
                <w:noProof/>
                <w:color w:val="000000"/>
                <w:sz w:val="16"/>
              </w:rPr>
              <w:t>926</w:t>
            </w:r>
          </w:p>
        </w:tc>
        <w:tc>
          <w:tcPr>
            <w:tcW w:w="548" w:type="pct"/>
            <w:tcBorders>
              <w:top w:val="nil"/>
              <w:left w:val="nil"/>
              <w:bottom w:val="nil"/>
              <w:right w:val="single" w:sz="8" w:space="0" w:color="auto"/>
            </w:tcBorders>
            <w:shd w:val="clear" w:color="auto" w:fill="auto"/>
            <w:vAlign w:val="center"/>
          </w:tcPr>
          <w:p>
            <w:pPr>
              <w:spacing w:after="0"/>
              <w:jc w:val="right"/>
              <w:rPr>
                <w:rFonts w:ascii="Verdana" w:hAnsi="Verdana"/>
                <w:noProof/>
                <w:color w:val="000000"/>
                <w:sz w:val="16"/>
                <w:szCs w:val="16"/>
              </w:rPr>
            </w:pPr>
            <w:r>
              <w:rPr>
                <w:rFonts w:ascii="Verdana" w:hAnsi="Verdana"/>
                <w:noProof/>
                <w:color w:val="000000"/>
                <w:sz w:val="16"/>
              </w:rPr>
              <w:t>81,3 %</w:t>
            </w:r>
          </w:p>
        </w:tc>
        <w:tc>
          <w:tcPr>
            <w:tcW w:w="594" w:type="pct"/>
            <w:tcBorders>
              <w:top w:val="nil"/>
              <w:left w:val="nil"/>
              <w:bottom w:val="nil"/>
              <w:right w:val="single" w:sz="8" w:space="0" w:color="auto"/>
            </w:tcBorders>
            <w:shd w:val="clear" w:color="auto" w:fill="auto"/>
            <w:vAlign w:val="center"/>
          </w:tcPr>
          <w:p>
            <w:pPr>
              <w:spacing w:after="0"/>
              <w:jc w:val="right"/>
              <w:rPr>
                <w:rFonts w:ascii="Verdana" w:hAnsi="Verdana"/>
                <w:bCs/>
                <w:noProof/>
                <w:color w:val="000000"/>
                <w:sz w:val="16"/>
                <w:szCs w:val="16"/>
              </w:rPr>
            </w:pPr>
            <w:r>
              <w:rPr>
                <w:rFonts w:ascii="Verdana" w:hAnsi="Verdana"/>
                <w:noProof/>
                <w:color w:val="000000"/>
                <w:sz w:val="16"/>
              </w:rPr>
              <w:t>706</w:t>
            </w:r>
          </w:p>
        </w:tc>
        <w:tc>
          <w:tcPr>
            <w:tcW w:w="572" w:type="pct"/>
            <w:tcBorders>
              <w:top w:val="nil"/>
              <w:left w:val="nil"/>
              <w:bottom w:val="nil"/>
              <w:right w:val="single" w:sz="8" w:space="0" w:color="auto"/>
            </w:tcBorders>
            <w:shd w:val="clear" w:color="auto" w:fill="auto"/>
            <w:vAlign w:val="center"/>
          </w:tcPr>
          <w:p>
            <w:pPr>
              <w:spacing w:after="0"/>
              <w:jc w:val="right"/>
              <w:rPr>
                <w:rFonts w:ascii="Verdana" w:hAnsi="Verdana"/>
                <w:noProof/>
                <w:color w:val="000000"/>
                <w:sz w:val="16"/>
                <w:szCs w:val="16"/>
              </w:rPr>
            </w:pPr>
            <w:r>
              <w:rPr>
                <w:rFonts w:ascii="Verdana" w:hAnsi="Verdana"/>
                <w:noProof/>
                <w:color w:val="000000"/>
                <w:sz w:val="16"/>
              </w:rPr>
              <w:t>69,3 %</w:t>
            </w:r>
          </w:p>
        </w:tc>
      </w:tr>
      <w:tr>
        <w:trPr>
          <w:trHeight w:val="227"/>
        </w:trPr>
        <w:tc>
          <w:tcPr>
            <w:tcW w:w="907" w:type="pct"/>
            <w:tcBorders>
              <w:top w:val="nil"/>
              <w:left w:val="single" w:sz="8" w:space="0" w:color="auto"/>
              <w:bottom w:val="nil"/>
              <w:right w:val="single" w:sz="8" w:space="0" w:color="000000"/>
            </w:tcBorders>
            <w:shd w:val="clear" w:color="auto" w:fill="auto"/>
            <w:noWrap/>
            <w:vAlign w:val="center"/>
            <w:hideMark/>
          </w:tcPr>
          <w:p>
            <w:pPr>
              <w:spacing w:after="0" w:line="240" w:lineRule="auto"/>
              <w:jc w:val="both"/>
              <w:rPr>
                <w:rFonts w:ascii="Verdana" w:eastAsia="Times New Roman" w:hAnsi="Verdana"/>
                <w:b/>
                <w:bCs/>
                <w:noProof/>
                <w:color w:val="000000"/>
                <w:sz w:val="16"/>
                <w:szCs w:val="16"/>
              </w:rPr>
            </w:pPr>
            <w:r>
              <w:rPr>
                <w:rFonts w:ascii="Verdana" w:hAnsi="Verdana"/>
                <w:b/>
                <w:noProof/>
                <w:color w:val="000000"/>
                <w:sz w:val="16"/>
              </w:rPr>
              <w:t>Politique de cohésion</w:t>
            </w:r>
          </w:p>
        </w:tc>
        <w:tc>
          <w:tcPr>
            <w:tcW w:w="411"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2 273</w:t>
            </w:r>
          </w:p>
        </w:tc>
        <w:tc>
          <w:tcPr>
            <w:tcW w:w="412"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8 922</w:t>
            </w:r>
          </w:p>
        </w:tc>
        <w:tc>
          <w:tcPr>
            <w:tcW w:w="418"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4 748</w:t>
            </w:r>
          </w:p>
        </w:tc>
        <w:tc>
          <w:tcPr>
            <w:tcW w:w="552"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Sans objet</w:t>
            </w:r>
          </w:p>
        </w:tc>
        <w:tc>
          <w:tcPr>
            <w:tcW w:w="586" w:type="pct"/>
            <w:tcBorders>
              <w:top w:val="nil"/>
              <w:left w:val="nil"/>
              <w:bottom w:val="nil"/>
              <w:right w:val="single" w:sz="8" w:space="0" w:color="auto"/>
            </w:tcBorders>
            <w:shd w:val="clear" w:color="auto" w:fill="auto"/>
            <w:noWrap/>
            <w:vAlign w:val="center"/>
          </w:tcPr>
          <w:p>
            <w:pPr>
              <w:spacing w:after="0"/>
              <w:jc w:val="right"/>
              <w:rPr>
                <w:rFonts w:ascii="Verdana" w:hAnsi="Verdana"/>
                <w:b/>
                <w:bCs/>
                <w:noProof/>
                <w:color w:val="000000"/>
                <w:sz w:val="16"/>
                <w:szCs w:val="16"/>
              </w:rPr>
            </w:pPr>
            <w:r>
              <w:rPr>
                <w:rFonts w:ascii="Verdana" w:hAnsi="Verdana"/>
                <w:b/>
                <w:noProof/>
                <w:color w:val="000000"/>
                <w:sz w:val="16"/>
              </w:rPr>
              <w:t>15 943</w:t>
            </w:r>
          </w:p>
        </w:tc>
        <w:tc>
          <w:tcPr>
            <w:tcW w:w="548" w:type="pct"/>
            <w:tcBorders>
              <w:top w:val="nil"/>
              <w:left w:val="nil"/>
              <w:bottom w:val="nil"/>
              <w:right w:val="single" w:sz="8" w:space="0" w:color="auto"/>
            </w:tcBorders>
            <w:shd w:val="clear" w:color="auto" w:fill="auto"/>
            <w:vAlign w:val="center"/>
          </w:tcPr>
          <w:p>
            <w:pPr>
              <w:spacing w:after="0"/>
              <w:jc w:val="right"/>
              <w:rPr>
                <w:rFonts w:ascii="Verdana" w:hAnsi="Verdana"/>
                <w:b/>
                <w:bCs/>
                <w:noProof/>
                <w:color w:val="000000"/>
                <w:sz w:val="16"/>
                <w:szCs w:val="16"/>
              </w:rPr>
            </w:pPr>
            <w:r>
              <w:rPr>
                <w:rFonts w:ascii="Verdana" w:hAnsi="Verdana"/>
                <w:b/>
                <w:noProof/>
                <w:color w:val="000000"/>
                <w:sz w:val="16"/>
              </w:rPr>
              <w:t>93,4 %</w:t>
            </w:r>
          </w:p>
        </w:tc>
        <w:tc>
          <w:tcPr>
            <w:tcW w:w="594" w:type="pct"/>
            <w:tcBorders>
              <w:top w:val="nil"/>
              <w:left w:val="nil"/>
              <w:bottom w:val="nil"/>
              <w:right w:val="single" w:sz="8" w:space="0" w:color="auto"/>
            </w:tcBorders>
            <w:shd w:val="clear" w:color="auto" w:fill="auto"/>
            <w:vAlign w:val="center"/>
          </w:tcPr>
          <w:p>
            <w:pPr>
              <w:spacing w:after="0"/>
              <w:jc w:val="right"/>
              <w:rPr>
                <w:rFonts w:ascii="Verdana" w:hAnsi="Verdana"/>
                <w:b/>
                <w:bCs/>
                <w:noProof/>
                <w:color w:val="000000"/>
                <w:sz w:val="16"/>
                <w:szCs w:val="16"/>
              </w:rPr>
            </w:pPr>
            <w:r>
              <w:rPr>
                <w:rFonts w:ascii="Verdana" w:hAnsi="Verdana"/>
                <w:b/>
                <w:noProof/>
                <w:color w:val="000000"/>
                <w:sz w:val="16"/>
              </w:rPr>
              <w:t>14 203</w:t>
            </w:r>
          </w:p>
        </w:tc>
        <w:tc>
          <w:tcPr>
            <w:tcW w:w="572" w:type="pct"/>
            <w:tcBorders>
              <w:top w:val="nil"/>
              <w:left w:val="nil"/>
              <w:bottom w:val="nil"/>
              <w:right w:val="single" w:sz="8" w:space="0" w:color="auto"/>
            </w:tcBorders>
            <w:shd w:val="clear" w:color="auto" w:fill="auto"/>
            <w:vAlign w:val="center"/>
          </w:tcPr>
          <w:p>
            <w:pPr>
              <w:spacing w:after="0"/>
              <w:jc w:val="right"/>
              <w:rPr>
                <w:rFonts w:ascii="Verdana" w:hAnsi="Verdana"/>
                <w:b/>
                <w:bCs/>
                <w:noProof/>
                <w:color w:val="000000"/>
                <w:sz w:val="16"/>
                <w:szCs w:val="16"/>
              </w:rPr>
            </w:pPr>
            <w:r>
              <w:rPr>
                <w:rFonts w:ascii="Verdana" w:hAnsi="Verdana"/>
                <w:b/>
                <w:noProof/>
                <w:color w:val="000000"/>
                <w:sz w:val="16"/>
              </w:rPr>
              <w:t>92,2 %</w:t>
            </w:r>
          </w:p>
        </w:tc>
      </w:tr>
      <w:tr>
        <w:trPr>
          <w:trHeight w:val="227"/>
        </w:trPr>
        <w:tc>
          <w:tcPr>
            <w:tcW w:w="907" w:type="pct"/>
            <w:tcBorders>
              <w:top w:val="nil"/>
              <w:left w:val="single" w:sz="8" w:space="0" w:color="auto"/>
              <w:bottom w:val="nil"/>
              <w:right w:val="single" w:sz="8" w:space="0" w:color="000000"/>
            </w:tcBorders>
            <w:shd w:val="clear" w:color="auto" w:fill="auto"/>
            <w:noWrap/>
            <w:vAlign w:val="center"/>
            <w:hideMark/>
          </w:tcPr>
          <w:p>
            <w:pPr>
              <w:spacing w:after="0" w:line="240" w:lineRule="auto"/>
              <w:jc w:val="both"/>
              <w:rPr>
                <w:rFonts w:ascii="Verdana" w:eastAsia="Times New Roman" w:hAnsi="Verdana"/>
                <w:i/>
                <w:iCs/>
                <w:noProof/>
                <w:color w:val="000000"/>
                <w:sz w:val="14"/>
                <w:szCs w:val="16"/>
              </w:rPr>
            </w:pPr>
            <w:r>
              <w:rPr>
                <w:rFonts w:ascii="Verdana" w:hAnsi="Verdana"/>
                <w:i/>
                <w:noProof/>
                <w:color w:val="000000"/>
                <w:sz w:val="14"/>
              </w:rPr>
              <w:t>FEDER</w:t>
            </w:r>
          </w:p>
        </w:tc>
        <w:tc>
          <w:tcPr>
            <w:tcW w:w="411"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Cs/>
                <w:i/>
                <w:noProof/>
                <w:color w:val="000000"/>
                <w:sz w:val="14"/>
                <w:szCs w:val="16"/>
              </w:rPr>
            </w:pPr>
            <w:r>
              <w:rPr>
                <w:rFonts w:ascii="Verdana" w:hAnsi="Verdana"/>
                <w:i/>
                <w:noProof/>
                <w:color w:val="000000"/>
                <w:sz w:val="14"/>
              </w:rPr>
              <w:t>1 799</w:t>
            </w:r>
          </w:p>
        </w:tc>
        <w:tc>
          <w:tcPr>
            <w:tcW w:w="412"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i/>
                <w:noProof/>
                <w:color w:val="000000"/>
                <w:sz w:val="14"/>
                <w:szCs w:val="16"/>
              </w:rPr>
            </w:pPr>
            <w:r>
              <w:rPr>
                <w:rFonts w:ascii="Verdana" w:hAnsi="Verdana"/>
                <w:i/>
                <w:noProof/>
                <w:color w:val="000000"/>
                <w:sz w:val="14"/>
              </w:rPr>
              <w:t>5 794</w:t>
            </w:r>
          </w:p>
        </w:tc>
        <w:tc>
          <w:tcPr>
            <w:tcW w:w="418"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i/>
                <w:noProof/>
                <w:color w:val="000000"/>
                <w:sz w:val="14"/>
                <w:szCs w:val="16"/>
              </w:rPr>
            </w:pPr>
            <w:r>
              <w:rPr>
                <w:rFonts w:ascii="Verdana" w:hAnsi="Verdana"/>
                <w:i/>
                <w:noProof/>
                <w:color w:val="000000"/>
                <w:sz w:val="14"/>
              </w:rPr>
              <w:t>2 664</w:t>
            </w:r>
          </w:p>
        </w:tc>
        <w:tc>
          <w:tcPr>
            <w:tcW w:w="552" w:type="pct"/>
            <w:tcBorders>
              <w:top w:val="nil"/>
              <w:left w:val="nil"/>
              <w:bottom w:val="nil"/>
              <w:right w:val="single" w:sz="8" w:space="0" w:color="auto"/>
            </w:tcBorders>
            <w:shd w:val="clear" w:color="auto" w:fill="auto"/>
            <w:vAlign w:val="center"/>
          </w:tcPr>
          <w:p>
            <w:pPr>
              <w:spacing w:after="0" w:line="240" w:lineRule="auto"/>
              <w:jc w:val="right"/>
              <w:rPr>
                <w:rFonts w:ascii="Verdana" w:eastAsia="Times New Roman" w:hAnsi="Verdana"/>
                <w:i/>
                <w:noProof/>
                <w:color w:val="000000"/>
                <w:sz w:val="14"/>
                <w:szCs w:val="16"/>
              </w:rPr>
            </w:pPr>
            <w:r>
              <w:rPr>
                <w:rFonts w:ascii="Verdana" w:hAnsi="Verdana"/>
                <w:i/>
                <w:noProof/>
                <w:color w:val="000000"/>
                <w:sz w:val="14"/>
              </w:rPr>
              <w:t>Sans objet</w:t>
            </w:r>
          </w:p>
        </w:tc>
        <w:tc>
          <w:tcPr>
            <w:tcW w:w="586" w:type="pct"/>
            <w:tcBorders>
              <w:top w:val="nil"/>
              <w:left w:val="nil"/>
              <w:bottom w:val="nil"/>
              <w:right w:val="single" w:sz="8" w:space="0" w:color="auto"/>
            </w:tcBorders>
            <w:shd w:val="clear" w:color="auto" w:fill="auto"/>
            <w:noWrap/>
            <w:vAlign w:val="center"/>
          </w:tcPr>
          <w:p>
            <w:pPr>
              <w:spacing w:after="0"/>
              <w:jc w:val="right"/>
              <w:rPr>
                <w:rFonts w:ascii="Verdana" w:hAnsi="Verdana"/>
                <w:bCs/>
                <w:i/>
                <w:noProof/>
                <w:color w:val="000000"/>
                <w:sz w:val="14"/>
                <w:szCs w:val="16"/>
              </w:rPr>
            </w:pPr>
            <w:r>
              <w:rPr>
                <w:rFonts w:ascii="Verdana" w:hAnsi="Verdana"/>
                <w:i/>
                <w:noProof/>
                <w:color w:val="000000"/>
                <w:sz w:val="14"/>
              </w:rPr>
              <w:t>10 257</w:t>
            </w:r>
          </w:p>
        </w:tc>
        <w:tc>
          <w:tcPr>
            <w:tcW w:w="548" w:type="pct"/>
            <w:tcBorders>
              <w:top w:val="nil"/>
              <w:left w:val="nil"/>
              <w:bottom w:val="nil"/>
              <w:right w:val="single" w:sz="8" w:space="0" w:color="auto"/>
            </w:tcBorders>
            <w:shd w:val="clear" w:color="auto" w:fill="auto"/>
            <w:vAlign w:val="center"/>
          </w:tcPr>
          <w:p>
            <w:pPr>
              <w:spacing w:after="0"/>
              <w:jc w:val="right"/>
              <w:rPr>
                <w:rFonts w:ascii="Verdana" w:hAnsi="Verdana"/>
                <w:i/>
                <w:iCs/>
                <w:noProof/>
                <w:color w:val="000000"/>
                <w:sz w:val="14"/>
                <w:szCs w:val="16"/>
              </w:rPr>
            </w:pPr>
            <w:r>
              <w:rPr>
                <w:rFonts w:ascii="Verdana" w:hAnsi="Verdana"/>
                <w:i/>
                <w:noProof/>
                <w:color w:val="000000"/>
                <w:sz w:val="14"/>
              </w:rPr>
              <w:t>92,4 %</w:t>
            </w:r>
          </w:p>
        </w:tc>
        <w:tc>
          <w:tcPr>
            <w:tcW w:w="594" w:type="pct"/>
            <w:tcBorders>
              <w:top w:val="nil"/>
              <w:left w:val="nil"/>
              <w:bottom w:val="nil"/>
              <w:right w:val="single" w:sz="8" w:space="0" w:color="auto"/>
            </w:tcBorders>
            <w:shd w:val="clear" w:color="auto" w:fill="auto"/>
            <w:vAlign w:val="center"/>
          </w:tcPr>
          <w:p>
            <w:pPr>
              <w:spacing w:after="0"/>
              <w:jc w:val="right"/>
              <w:rPr>
                <w:rFonts w:ascii="Verdana" w:hAnsi="Verdana"/>
                <w:bCs/>
                <w:i/>
                <w:noProof/>
                <w:color w:val="000000"/>
                <w:sz w:val="14"/>
                <w:szCs w:val="16"/>
              </w:rPr>
            </w:pPr>
            <w:r>
              <w:rPr>
                <w:rFonts w:ascii="Verdana" w:hAnsi="Verdana"/>
                <w:i/>
                <w:noProof/>
                <w:color w:val="000000"/>
                <w:sz w:val="14"/>
              </w:rPr>
              <w:t>8 973</w:t>
            </w:r>
          </w:p>
        </w:tc>
        <w:tc>
          <w:tcPr>
            <w:tcW w:w="572" w:type="pct"/>
            <w:tcBorders>
              <w:top w:val="nil"/>
              <w:left w:val="nil"/>
              <w:bottom w:val="nil"/>
              <w:right w:val="single" w:sz="8" w:space="0" w:color="auto"/>
            </w:tcBorders>
            <w:shd w:val="clear" w:color="auto" w:fill="auto"/>
            <w:vAlign w:val="center"/>
          </w:tcPr>
          <w:p>
            <w:pPr>
              <w:spacing w:after="0"/>
              <w:jc w:val="right"/>
              <w:rPr>
                <w:rFonts w:ascii="Verdana" w:hAnsi="Verdana"/>
                <w:i/>
                <w:iCs/>
                <w:noProof/>
                <w:color w:val="000000"/>
                <w:sz w:val="14"/>
                <w:szCs w:val="16"/>
              </w:rPr>
            </w:pPr>
            <w:r>
              <w:rPr>
                <w:rFonts w:ascii="Verdana" w:hAnsi="Verdana"/>
                <w:i/>
                <w:noProof/>
                <w:color w:val="000000"/>
                <w:sz w:val="14"/>
              </w:rPr>
              <w:t>91,9 %</w:t>
            </w:r>
          </w:p>
        </w:tc>
      </w:tr>
      <w:tr>
        <w:trPr>
          <w:trHeight w:val="227"/>
        </w:trPr>
        <w:tc>
          <w:tcPr>
            <w:tcW w:w="907" w:type="pct"/>
            <w:tcBorders>
              <w:top w:val="nil"/>
              <w:left w:val="single" w:sz="8" w:space="0" w:color="auto"/>
              <w:bottom w:val="nil"/>
              <w:right w:val="single" w:sz="8" w:space="0" w:color="000000"/>
            </w:tcBorders>
            <w:shd w:val="clear" w:color="auto" w:fill="auto"/>
            <w:noWrap/>
            <w:vAlign w:val="center"/>
          </w:tcPr>
          <w:p>
            <w:pPr>
              <w:spacing w:after="0" w:line="240" w:lineRule="auto"/>
              <w:jc w:val="both"/>
              <w:rPr>
                <w:rFonts w:ascii="Verdana" w:eastAsia="Times New Roman" w:hAnsi="Verdana"/>
                <w:i/>
                <w:iCs/>
                <w:noProof/>
                <w:color w:val="000000"/>
                <w:sz w:val="14"/>
                <w:szCs w:val="16"/>
              </w:rPr>
            </w:pPr>
            <w:r>
              <w:rPr>
                <w:rFonts w:ascii="Verdana" w:hAnsi="Verdana"/>
                <w:i/>
                <w:noProof/>
                <w:color w:val="000000"/>
                <w:sz w:val="14"/>
              </w:rPr>
              <w:t xml:space="preserve">Arrêts de la   </w:t>
            </w:r>
          </w:p>
          <w:p>
            <w:pPr>
              <w:spacing w:after="0" w:line="240" w:lineRule="auto"/>
              <w:jc w:val="both"/>
              <w:rPr>
                <w:rFonts w:ascii="Verdana" w:eastAsia="Times New Roman" w:hAnsi="Verdana"/>
                <w:i/>
                <w:iCs/>
                <w:noProof/>
                <w:color w:val="000000"/>
                <w:sz w:val="14"/>
                <w:szCs w:val="16"/>
              </w:rPr>
            </w:pPr>
            <w:r>
              <w:rPr>
                <w:rFonts w:ascii="Verdana" w:hAnsi="Verdana"/>
                <w:i/>
                <w:noProof/>
                <w:color w:val="000000"/>
                <w:sz w:val="14"/>
              </w:rPr>
              <w:t xml:space="preserve">    Cour de justice</w:t>
            </w:r>
          </w:p>
        </w:tc>
        <w:tc>
          <w:tcPr>
            <w:tcW w:w="411"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Cs/>
                <w:i/>
                <w:noProof/>
                <w:color w:val="000000"/>
                <w:sz w:val="14"/>
                <w:szCs w:val="16"/>
              </w:rPr>
            </w:pPr>
            <w:r>
              <w:rPr>
                <w:rFonts w:ascii="Verdana" w:hAnsi="Verdana"/>
                <w:i/>
                <w:noProof/>
                <w:color w:val="000000"/>
                <w:sz w:val="14"/>
              </w:rPr>
              <w:t>(457)</w:t>
            </w:r>
          </w:p>
        </w:tc>
        <w:tc>
          <w:tcPr>
            <w:tcW w:w="412"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i/>
                <w:noProof/>
                <w:color w:val="000000"/>
                <w:sz w:val="14"/>
                <w:szCs w:val="16"/>
              </w:rPr>
            </w:pPr>
            <w:r>
              <w:rPr>
                <w:rFonts w:ascii="Verdana" w:hAnsi="Verdana"/>
                <w:i/>
                <w:noProof/>
                <w:color w:val="000000"/>
                <w:sz w:val="14"/>
              </w:rPr>
              <w:t xml:space="preserve"> 0</w:t>
            </w:r>
          </w:p>
        </w:tc>
        <w:tc>
          <w:tcPr>
            <w:tcW w:w="418"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i/>
                <w:noProof/>
                <w:color w:val="000000"/>
                <w:sz w:val="14"/>
                <w:szCs w:val="16"/>
              </w:rPr>
            </w:pPr>
            <w:r>
              <w:rPr>
                <w:rFonts w:ascii="Verdana" w:hAnsi="Verdana"/>
                <w:i/>
                <w:noProof/>
                <w:color w:val="000000"/>
                <w:sz w:val="14"/>
              </w:rPr>
              <w:t xml:space="preserve"> 0</w:t>
            </w:r>
          </w:p>
        </w:tc>
        <w:tc>
          <w:tcPr>
            <w:tcW w:w="552" w:type="pct"/>
            <w:tcBorders>
              <w:top w:val="nil"/>
              <w:left w:val="nil"/>
              <w:bottom w:val="nil"/>
              <w:right w:val="single" w:sz="8" w:space="0" w:color="auto"/>
            </w:tcBorders>
            <w:shd w:val="clear" w:color="auto" w:fill="auto"/>
            <w:vAlign w:val="center"/>
          </w:tcPr>
          <w:p>
            <w:pPr>
              <w:spacing w:after="0" w:line="240" w:lineRule="auto"/>
              <w:jc w:val="right"/>
              <w:rPr>
                <w:rFonts w:ascii="Verdana" w:eastAsia="Times New Roman" w:hAnsi="Verdana"/>
                <w:i/>
                <w:noProof/>
                <w:color w:val="000000"/>
                <w:sz w:val="14"/>
                <w:szCs w:val="16"/>
              </w:rPr>
            </w:pPr>
            <w:r>
              <w:rPr>
                <w:rFonts w:ascii="Verdana" w:hAnsi="Verdana"/>
                <w:i/>
                <w:noProof/>
                <w:color w:val="000000"/>
                <w:sz w:val="14"/>
              </w:rPr>
              <w:t>Sans objet</w:t>
            </w:r>
          </w:p>
        </w:tc>
        <w:tc>
          <w:tcPr>
            <w:tcW w:w="586" w:type="pct"/>
            <w:tcBorders>
              <w:top w:val="nil"/>
              <w:left w:val="nil"/>
              <w:bottom w:val="nil"/>
              <w:right w:val="single" w:sz="8" w:space="0" w:color="auto"/>
            </w:tcBorders>
            <w:shd w:val="clear" w:color="auto" w:fill="auto"/>
            <w:noWrap/>
            <w:vAlign w:val="center"/>
          </w:tcPr>
          <w:p>
            <w:pPr>
              <w:spacing w:after="0"/>
              <w:jc w:val="right"/>
              <w:rPr>
                <w:rFonts w:ascii="Verdana" w:hAnsi="Verdana"/>
                <w:bCs/>
                <w:i/>
                <w:noProof/>
                <w:color w:val="000000"/>
                <w:sz w:val="14"/>
                <w:szCs w:val="16"/>
              </w:rPr>
            </w:pPr>
            <w:r>
              <w:rPr>
                <w:rFonts w:ascii="Verdana" w:hAnsi="Verdana"/>
                <w:i/>
                <w:noProof/>
                <w:color w:val="000000"/>
                <w:sz w:val="14"/>
              </w:rPr>
              <w:t>(457)</w:t>
            </w:r>
          </w:p>
        </w:tc>
        <w:tc>
          <w:tcPr>
            <w:tcW w:w="548" w:type="pct"/>
            <w:tcBorders>
              <w:top w:val="nil"/>
              <w:left w:val="nil"/>
              <w:bottom w:val="nil"/>
              <w:right w:val="single" w:sz="8" w:space="0" w:color="auto"/>
            </w:tcBorders>
            <w:shd w:val="clear" w:color="auto" w:fill="auto"/>
            <w:vAlign w:val="center"/>
          </w:tcPr>
          <w:p>
            <w:pPr>
              <w:spacing w:after="0"/>
              <w:jc w:val="right"/>
              <w:rPr>
                <w:rFonts w:ascii="Verdana" w:hAnsi="Verdana"/>
                <w:i/>
                <w:iCs/>
                <w:noProof/>
                <w:color w:val="000000"/>
                <w:sz w:val="14"/>
                <w:szCs w:val="16"/>
              </w:rPr>
            </w:pPr>
            <w:r>
              <w:rPr>
                <w:rFonts w:ascii="Verdana" w:hAnsi="Verdana"/>
                <w:i/>
                <w:noProof/>
                <w:color w:val="000000"/>
                <w:sz w:val="14"/>
              </w:rPr>
              <w:t>—</w:t>
            </w:r>
          </w:p>
        </w:tc>
        <w:tc>
          <w:tcPr>
            <w:tcW w:w="594" w:type="pct"/>
            <w:tcBorders>
              <w:top w:val="nil"/>
              <w:left w:val="nil"/>
              <w:bottom w:val="nil"/>
              <w:right w:val="single" w:sz="8" w:space="0" w:color="auto"/>
            </w:tcBorders>
            <w:shd w:val="clear" w:color="auto" w:fill="auto"/>
            <w:vAlign w:val="center"/>
          </w:tcPr>
          <w:p>
            <w:pPr>
              <w:spacing w:after="0"/>
              <w:jc w:val="right"/>
              <w:rPr>
                <w:rFonts w:ascii="Verdana" w:hAnsi="Verdana"/>
                <w:bCs/>
                <w:i/>
                <w:noProof/>
                <w:color w:val="000000"/>
                <w:sz w:val="14"/>
                <w:szCs w:val="16"/>
              </w:rPr>
            </w:pPr>
            <w:r>
              <w:rPr>
                <w:rFonts w:ascii="Verdana" w:hAnsi="Verdana"/>
                <w:i/>
                <w:noProof/>
                <w:color w:val="000000"/>
                <w:sz w:val="14"/>
              </w:rPr>
              <w:t>—</w:t>
            </w:r>
          </w:p>
        </w:tc>
        <w:tc>
          <w:tcPr>
            <w:tcW w:w="572" w:type="pct"/>
            <w:tcBorders>
              <w:top w:val="nil"/>
              <w:left w:val="nil"/>
              <w:bottom w:val="nil"/>
              <w:right w:val="single" w:sz="8" w:space="0" w:color="auto"/>
            </w:tcBorders>
            <w:shd w:val="clear" w:color="auto" w:fill="auto"/>
            <w:vAlign w:val="center"/>
          </w:tcPr>
          <w:p>
            <w:pPr>
              <w:spacing w:after="0"/>
              <w:jc w:val="right"/>
              <w:rPr>
                <w:rFonts w:ascii="Verdana" w:hAnsi="Verdana"/>
                <w:i/>
                <w:iCs/>
                <w:noProof/>
                <w:color w:val="000000"/>
                <w:sz w:val="14"/>
                <w:szCs w:val="16"/>
              </w:rPr>
            </w:pPr>
            <w:r>
              <w:rPr>
                <w:rFonts w:ascii="Verdana" w:hAnsi="Verdana"/>
                <w:i/>
                <w:noProof/>
                <w:color w:val="000000"/>
                <w:sz w:val="14"/>
              </w:rPr>
              <w:t>—</w:t>
            </w:r>
          </w:p>
        </w:tc>
      </w:tr>
      <w:tr>
        <w:trPr>
          <w:trHeight w:val="227"/>
        </w:trPr>
        <w:tc>
          <w:tcPr>
            <w:tcW w:w="907" w:type="pct"/>
            <w:tcBorders>
              <w:top w:val="nil"/>
              <w:left w:val="single" w:sz="8" w:space="0" w:color="auto"/>
              <w:bottom w:val="nil"/>
              <w:right w:val="single" w:sz="8" w:space="0" w:color="000000"/>
            </w:tcBorders>
            <w:shd w:val="clear" w:color="auto" w:fill="auto"/>
            <w:noWrap/>
            <w:vAlign w:val="center"/>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FEDER Total</w:t>
            </w:r>
          </w:p>
        </w:tc>
        <w:tc>
          <w:tcPr>
            <w:tcW w:w="411"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Cs/>
                <w:noProof/>
                <w:color w:val="000000"/>
                <w:sz w:val="16"/>
                <w:szCs w:val="16"/>
              </w:rPr>
            </w:pPr>
            <w:r>
              <w:rPr>
                <w:rFonts w:ascii="Verdana" w:hAnsi="Verdana"/>
                <w:noProof/>
                <w:color w:val="000000"/>
                <w:sz w:val="16"/>
              </w:rPr>
              <w:t>1 342</w:t>
            </w:r>
          </w:p>
        </w:tc>
        <w:tc>
          <w:tcPr>
            <w:tcW w:w="412"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5 794</w:t>
            </w:r>
          </w:p>
        </w:tc>
        <w:tc>
          <w:tcPr>
            <w:tcW w:w="418"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2 664</w:t>
            </w:r>
          </w:p>
        </w:tc>
        <w:tc>
          <w:tcPr>
            <w:tcW w:w="552" w:type="pct"/>
            <w:tcBorders>
              <w:top w:val="nil"/>
              <w:left w:val="nil"/>
              <w:bottom w:val="nil"/>
              <w:right w:val="single" w:sz="8" w:space="0" w:color="auto"/>
            </w:tcBorders>
            <w:shd w:val="clear" w:color="auto" w:fill="auto"/>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Sans objet</w:t>
            </w:r>
          </w:p>
        </w:tc>
        <w:tc>
          <w:tcPr>
            <w:tcW w:w="586" w:type="pct"/>
            <w:tcBorders>
              <w:top w:val="nil"/>
              <w:left w:val="nil"/>
              <w:bottom w:val="nil"/>
              <w:right w:val="single" w:sz="8" w:space="0" w:color="auto"/>
            </w:tcBorders>
            <w:shd w:val="clear" w:color="auto" w:fill="auto"/>
            <w:noWrap/>
            <w:vAlign w:val="center"/>
          </w:tcPr>
          <w:p>
            <w:pPr>
              <w:spacing w:after="0"/>
              <w:jc w:val="right"/>
              <w:rPr>
                <w:rFonts w:ascii="Verdana" w:hAnsi="Verdana"/>
                <w:bCs/>
                <w:noProof/>
                <w:color w:val="000000"/>
                <w:sz w:val="16"/>
                <w:szCs w:val="16"/>
              </w:rPr>
            </w:pPr>
            <w:r>
              <w:rPr>
                <w:rFonts w:ascii="Verdana" w:hAnsi="Verdana"/>
                <w:noProof/>
                <w:color w:val="000000"/>
                <w:sz w:val="16"/>
              </w:rPr>
              <w:t>9 800</w:t>
            </w:r>
          </w:p>
        </w:tc>
        <w:tc>
          <w:tcPr>
            <w:tcW w:w="548" w:type="pct"/>
            <w:tcBorders>
              <w:top w:val="nil"/>
              <w:left w:val="nil"/>
              <w:bottom w:val="nil"/>
              <w:right w:val="single" w:sz="8" w:space="0" w:color="auto"/>
            </w:tcBorders>
            <w:shd w:val="clear" w:color="auto" w:fill="auto"/>
            <w:vAlign w:val="center"/>
          </w:tcPr>
          <w:p>
            <w:pPr>
              <w:spacing w:after="0"/>
              <w:jc w:val="right"/>
              <w:rPr>
                <w:rFonts w:ascii="Verdana" w:hAnsi="Verdana"/>
                <w:i/>
                <w:iCs/>
                <w:noProof/>
                <w:color w:val="000000"/>
                <w:sz w:val="16"/>
                <w:szCs w:val="16"/>
              </w:rPr>
            </w:pPr>
            <w:r>
              <w:rPr>
                <w:rFonts w:ascii="Verdana" w:hAnsi="Verdana"/>
                <w:i/>
                <w:noProof/>
                <w:color w:val="000000"/>
                <w:sz w:val="16"/>
              </w:rPr>
              <w:t>92,1 %</w:t>
            </w:r>
          </w:p>
        </w:tc>
        <w:tc>
          <w:tcPr>
            <w:tcW w:w="594" w:type="pct"/>
            <w:tcBorders>
              <w:top w:val="nil"/>
              <w:left w:val="nil"/>
              <w:bottom w:val="nil"/>
              <w:right w:val="single" w:sz="8" w:space="0" w:color="auto"/>
            </w:tcBorders>
            <w:shd w:val="clear" w:color="auto" w:fill="auto"/>
            <w:vAlign w:val="center"/>
          </w:tcPr>
          <w:p>
            <w:pPr>
              <w:spacing w:after="0"/>
              <w:jc w:val="right"/>
              <w:rPr>
                <w:rFonts w:ascii="Verdana" w:hAnsi="Verdana"/>
                <w:bCs/>
                <w:noProof/>
                <w:color w:val="000000"/>
                <w:sz w:val="16"/>
                <w:szCs w:val="16"/>
              </w:rPr>
            </w:pPr>
            <w:r>
              <w:rPr>
                <w:rFonts w:ascii="Verdana" w:hAnsi="Verdana"/>
                <w:noProof/>
                <w:color w:val="000000"/>
                <w:sz w:val="16"/>
              </w:rPr>
              <w:t>8 973</w:t>
            </w:r>
          </w:p>
        </w:tc>
        <w:tc>
          <w:tcPr>
            <w:tcW w:w="572" w:type="pct"/>
            <w:tcBorders>
              <w:top w:val="nil"/>
              <w:left w:val="nil"/>
              <w:bottom w:val="nil"/>
              <w:right w:val="single" w:sz="8" w:space="0" w:color="auto"/>
            </w:tcBorders>
            <w:shd w:val="clear" w:color="auto" w:fill="auto"/>
            <w:vAlign w:val="center"/>
          </w:tcPr>
          <w:p>
            <w:pPr>
              <w:spacing w:after="0"/>
              <w:jc w:val="right"/>
              <w:rPr>
                <w:rFonts w:ascii="Verdana" w:hAnsi="Verdana"/>
                <w:i/>
                <w:iCs/>
                <w:noProof/>
                <w:color w:val="000000"/>
                <w:sz w:val="16"/>
                <w:szCs w:val="16"/>
              </w:rPr>
            </w:pPr>
            <w:r>
              <w:rPr>
                <w:rFonts w:ascii="Verdana" w:hAnsi="Verdana"/>
                <w:i/>
                <w:noProof/>
                <w:color w:val="000000"/>
                <w:sz w:val="16"/>
              </w:rPr>
              <w:t>91,9 %</w:t>
            </w:r>
          </w:p>
        </w:tc>
      </w:tr>
      <w:tr>
        <w:trPr>
          <w:trHeight w:val="227"/>
        </w:trPr>
        <w:tc>
          <w:tcPr>
            <w:tcW w:w="907" w:type="pct"/>
            <w:tcBorders>
              <w:top w:val="nil"/>
              <w:left w:val="single" w:sz="8" w:space="0" w:color="auto"/>
              <w:bottom w:val="nil"/>
              <w:right w:val="single" w:sz="8" w:space="0" w:color="000000"/>
            </w:tcBorders>
            <w:shd w:val="clear" w:color="auto" w:fill="auto"/>
            <w:noWrap/>
            <w:vAlign w:val="center"/>
            <w:hideMark/>
          </w:tcPr>
          <w:p>
            <w:pPr>
              <w:spacing w:after="0" w:line="240" w:lineRule="auto"/>
              <w:jc w:val="both"/>
              <w:rPr>
                <w:rFonts w:ascii="Verdana" w:eastAsia="Times New Roman" w:hAnsi="Verdana"/>
                <w:i/>
                <w:iCs/>
                <w:noProof/>
                <w:color w:val="000000"/>
                <w:sz w:val="14"/>
                <w:szCs w:val="16"/>
              </w:rPr>
            </w:pPr>
            <w:r>
              <w:rPr>
                <w:rFonts w:ascii="Verdana" w:hAnsi="Verdana"/>
                <w:i/>
                <w:noProof/>
                <w:color w:val="000000"/>
                <w:sz w:val="14"/>
              </w:rPr>
              <w:t>Fonds de cohésion</w:t>
            </w:r>
          </w:p>
        </w:tc>
        <w:tc>
          <w:tcPr>
            <w:tcW w:w="411"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Cs/>
                <w:i/>
                <w:noProof/>
                <w:color w:val="000000"/>
                <w:sz w:val="14"/>
                <w:szCs w:val="16"/>
              </w:rPr>
            </w:pPr>
            <w:r>
              <w:rPr>
                <w:rFonts w:ascii="Verdana" w:hAnsi="Verdana"/>
                <w:i/>
                <w:noProof/>
                <w:color w:val="000000"/>
                <w:sz w:val="14"/>
              </w:rPr>
              <w:t>268</w:t>
            </w:r>
          </w:p>
        </w:tc>
        <w:tc>
          <w:tcPr>
            <w:tcW w:w="412"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i/>
                <w:noProof/>
                <w:color w:val="000000"/>
                <w:sz w:val="14"/>
                <w:szCs w:val="16"/>
              </w:rPr>
            </w:pPr>
            <w:r>
              <w:rPr>
                <w:rFonts w:ascii="Verdana" w:hAnsi="Verdana"/>
                <w:i/>
                <w:noProof/>
                <w:color w:val="000000"/>
                <w:sz w:val="14"/>
              </w:rPr>
              <w:t>842</w:t>
            </w:r>
          </w:p>
        </w:tc>
        <w:tc>
          <w:tcPr>
            <w:tcW w:w="418"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i/>
                <w:noProof/>
                <w:color w:val="000000"/>
                <w:sz w:val="14"/>
                <w:szCs w:val="16"/>
              </w:rPr>
            </w:pPr>
            <w:r>
              <w:rPr>
                <w:rFonts w:ascii="Verdana" w:hAnsi="Verdana"/>
                <w:i/>
                <w:noProof/>
                <w:color w:val="000000"/>
                <w:sz w:val="14"/>
              </w:rPr>
              <w:t>857</w:t>
            </w:r>
          </w:p>
        </w:tc>
        <w:tc>
          <w:tcPr>
            <w:tcW w:w="552" w:type="pct"/>
            <w:tcBorders>
              <w:top w:val="nil"/>
              <w:left w:val="nil"/>
              <w:bottom w:val="nil"/>
              <w:right w:val="single" w:sz="8" w:space="0" w:color="auto"/>
            </w:tcBorders>
            <w:shd w:val="clear" w:color="auto" w:fill="auto"/>
            <w:vAlign w:val="center"/>
          </w:tcPr>
          <w:p>
            <w:pPr>
              <w:spacing w:after="0" w:line="240" w:lineRule="auto"/>
              <w:jc w:val="right"/>
              <w:rPr>
                <w:rFonts w:ascii="Verdana" w:eastAsia="Times New Roman" w:hAnsi="Verdana"/>
                <w:i/>
                <w:noProof/>
                <w:color w:val="000000"/>
                <w:sz w:val="14"/>
                <w:szCs w:val="16"/>
              </w:rPr>
            </w:pPr>
            <w:r>
              <w:rPr>
                <w:rFonts w:ascii="Verdana" w:hAnsi="Verdana"/>
                <w:i/>
                <w:noProof/>
                <w:color w:val="000000"/>
                <w:sz w:val="14"/>
              </w:rPr>
              <w:t>Sans objet</w:t>
            </w:r>
          </w:p>
        </w:tc>
        <w:tc>
          <w:tcPr>
            <w:tcW w:w="586" w:type="pct"/>
            <w:tcBorders>
              <w:top w:val="nil"/>
              <w:left w:val="nil"/>
              <w:bottom w:val="nil"/>
              <w:right w:val="single" w:sz="8" w:space="0" w:color="auto"/>
            </w:tcBorders>
            <w:shd w:val="clear" w:color="auto" w:fill="auto"/>
            <w:noWrap/>
            <w:vAlign w:val="center"/>
          </w:tcPr>
          <w:p>
            <w:pPr>
              <w:spacing w:after="0"/>
              <w:jc w:val="right"/>
              <w:rPr>
                <w:rFonts w:ascii="Verdana" w:hAnsi="Verdana"/>
                <w:bCs/>
                <w:i/>
                <w:noProof/>
                <w:color w:val="000000"/>
                <w:sz w:val="14"/>
                <w:szCs w:val="16"/>
              </w:rPr>
            </w:pPr>
            <w:r>
              <w:rPr>
                <w:rFonts w:ascii="Verdana" w:hAnsi="Verdana"/>
                <w:i/>
                <w:noProof/>
                <w:color w:val="000000"/>
                <w:sz w:val="14"/>
              </w:rPr>
              <w:t>1 968</w:t>
            </w:r>
          </w:p>
        </w:tc>
        <w:tc>
          <w:tcPr>
            <w:tcW w:w="548" w:type="pct"/>
            <w:tcBorders>
              <w:top w:val="nil"/>
              <w:left w:val="nil"/>
              <w:bottom w:val="nil"/>
              <w:right w:val="single" w:sz="8" w:space="0" w:color="auto"/>
            </w:tcBorders>
            <w:shd w:val="clear" w:color="auto" w:fill="auto"/>
            <w:vAlign w:val="center"/>
          </w:tcPr>
          <w:p>
            <w:pPr>
              <w:spacing w:after="0"/>
              <w:jc w:val="right"/>
              <w:rPr>
                <w:rFonts w:ascii="Verdana" w:hAnsi="Verdana"/>
                <w:i/>
                <w:iCs/>
                <w:noProof/>
                <w:color w:val="000000"/>
                <w:sz w:val="14"/>
                <w:szCs w:val="16"/>
              </w:rPr>
            </w:pPr>
            <w:r>
              <w:rPr>
                <w:rFonts w:ascii="Verdana" w:hAnsi="Verdana"/>
                <w:i/>
                <w:noProof/>
                <w:color w:val="000000"/>
                <w:sz w:val="14"/>
              </w:rPr>
              <w:t>99,9 %</w:t>
            </w:r>
          </w:p>
        </w:tc>
        <w:tc>
          <w:tcPr>
            <w:tcW w:w="594" w:type="pct"/>
            <w:tcBorders>
              <w:top w:val="nil"/>
              <w:left w:val="nil"/>
              <w:bottom w:val="nil"/>
              <w:right w:val="single" w:sz="8" w:space="0" w:color="auto"/>
            </w:tcBorders>
            <w:shd w:val="clear" w:color="auto" w:fill="auto"/>
            <w:vAlign w:val="center"/>
          </w:tcPr>
          <w:p>
            <w:pPr>
              <w:spacing w:after="0"/>
              <w:jc w:val="right"/>
              <w:rPr>
                <w:rFonts w:ascii="Verdana" w:hAnsi="Verdana"/>
                <w:bCs/>
                <w:i/>
                <w:noProof/>
                <w:color w:val="000000"/>
                <w:sz w:val="14"/>
                <w:szCs w:val="16"/>
              </w:rPr>
            </w:pPr>
            <w:r>
              <w:rPr>
                <w:rFonts w:ascii="Verdana" w:hAnsi="Verdana"/>
                <w:i/>
                <w:noProof/>
                <w:color w:val="000000"/>
                <w:sz w:val="14"/>
              </w:rPr>
              <w:t>1 496</w:t>
            </w:r>
          </w:p>
        </w:tc>
        <w:tc>
          <w:tcPr>
            <w:tcW w:w="572" w:type="pct"/>
            <w:tcBorders>
              <w:top w:val="nil"/>
              <w:left w:val="nil"/>
              <w:bottom w:val="nil"/>
              <w:right w:val="single" w:sz="8" w:space="0" w:color="auto"/>
            </w:tcBorders>
            <w:shd w:val="clear" w:color="auto" w:fill="auto"/>
            <w:vAlign w:val="center"/>
          </w:tcPr>
          <w:p>
            <w:pPr>
              <w:spacing w:after="0"/>
              <w:jc w:val="right"/>
              <w:rPr>
                <w:rFonts w:ascii="Verdana" w:hAnsi="Verdana"/>
                <w:i/>
                <w:iCs/>
                <w:noProof/>
                <w:color w:val="000000"/>
                <w:sz w:val="14"/>
                <w:szCs w:val="16"/>
              </w:rPr>
            </w:pPr>
            <w:r>
              <w:rPr>
                <w:rFonts w:ascii="Verdana" w:hAnsi="Verdana"/>
                <w:i/>
                <w:noProof/>
                <w:color w:val="000000"/>
                <w:sz w:val="14"/>
              </w:rPr>
              <w:t>88,7 %</w:t>
            </w:r>
          </w:p>
        </w:tc>
      </w:tr>
      <w:tr>
        <w:trPr>
          <w:trHeight w:val="227"/>
        </w:trPr>
        <w:tc>
          <w:tcPr>
            <w:tcW w:w="907" w:type="pct"/>
            <w:tcBorders>
              <w:top w:val="nil"/>
              <w:left w:val="single" w:sz="8" w:space="0" w:color="auto"/>
              <w:bottom w:val="nil"/>
              <w:right w:val="single" w:sz="8" w:space="0" w:color="000000"/>
            </w:tcBorders>
            <w:shd w:val="clear" w:color="auto" w:fill="auto"/>
            <w:noWrap/>
            <w:vAlign w:val="center"/>
          </w:tcPr>
          <w:p>
            <w:pPr>
              <w:spacing w:after="0" w:line="240" w:lineRule="auto"/>
              <w:jc w:val="both"/>
              <w:rPr>
                <w:rFonts w:ascii="Verdana" w:eastAsia="Times New Roman" w:hAnsi="Verdana"/>
                <w:i/>
                <w:iCs/>
                <w:noProof/>
                <w:color w:val="000000"/>
                <w:sz w:val="14"/>
                <w:szCs w:val="16"/>
              </w:rPr>
            </w:pPr>
            <w:r>
              <w:rPr>
                <w:rFonts w:ascii="Verdana" w:hAnsi="Verdana"/>
                <w:i/>
                <w:noProof/>
                <w:color w:val="000000"/>
                <w:sz w:val="14"/>
              </w:rPr>
              <w:t>Arrêts de la</w:t>
            </w:r>
          </w:p>
          <w:p>
            <w:pPr>
              <w:spacing w:after="0" w:line="240" w:lineRule="auto"/>
              <w:jc w:val="both"/>
              <w:rPr>
                <w:rFonts w:ascii="Verdana" w:eastAsia="Times New Roman" w:hAnsi="Verdana"/>
                <w:i/>
                <w:iCs/>
                <w:noProof/>
                <w:color w:val="000000"/>
                <w:sz w:val="14"/>
                <w:szCs w:val="16"/>
              </w:rPr>
            </w:pPr>
            <w:r>
              <w:rPr>
                <w:rFonts w:ascii="Verdana" w:hAnsi="Verdana"/>
                <w:i/>
                <w:noProof/>
                <w:color w:val="000000"/>
                <w:sz w:val="14"/>
              </w:rPr>
              <w:t>Cour de justice</w:t>
            </w:r>
          </w:p>
        </w:tc>
        <w:tc>
          <w:tcPr>
            <w:tcW w:w="411"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Cs/>
                <w:i/>
                <w:noProof/>
                <w:color w:val="000000"/>
                <w:sz w:val="14"/>
                <w:szCs w:val="16"/>
              </w:rPr>
            </w:pPr>
            <w:r>
              <w:rPr>
                <w:rFonts w:ascii="Verdana" w:hAnsi="Verdana"/>
                <w:i/>
                <w:noProof/>
                <w:color w:val="000000"/>
                <w:sz w:val="14"/>
              </w:rPr>
              <w:t>0</w:t>
            </w:r>
          </w:p>
        </w:tc>
        <w:tc>
          <w:tcPr>
            <w:tcW w:w="412"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i/>
                <w:noProof/>
                <w:color w:val="000000"/>
                <w:sz w:val="14"/>
                <w:szCs w:val="16"/>
              </w:rPr>
            </w:pPr>
            <w:r>
              <w:rPr>
                <w:rFonts w:ascii="Verdana" w:hAnsi="Verdana"/>
                <w:i/>
                <w:noProof/>
                <w:color w:val="000000"/>
                <w:sz w:val="14"/>
              </w:rPr>
              <w:t>(9)</w:t>
            </w:r>
          </w:p>
        </w:tc>
        <w:tc>
          <w:tcPr>
            <w:tcW w:w="418"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i/>
                <w:noProof/>
                <w:color w:val="000000"/>
                <w:sz w:val="14"/>
                <w:szCs w:val="16"/>
              </w:rPr>
            </w:pPr>
            <w:r>
              <w:rPr>
                <w:rFonts w:ascii="Verdana" w:hAnsi="Verdana"/>
                <w:i/>
                <w:noProof/>
                <w:color w:val="000000"/>
                <w:sz w:val="14"/>
              </w:rPr>
              <w:t>0</w:t>
            </w:r>
          </w:p>
        </w:tc>
        <w:tc>
          <w:tcPr>
            <w:tcW w:w="552" w:type="pct"/>
            <w:tcBorders>
              <w:top w:val="nil"/>
              <w:left w:val="nil"/>
              <w:bottom w:val="nil"/>
              <w:right w:val="single" w:sz="8" w:space="0" w:color="auto"/>
            </w:tcBorders>
            <w:shd w:val="clear" w:color="auto" w:fill="auto"/>
            <w:vAlign w:val="center"/>
          </w:tcPr>
          <w:p>
            <w:pPr>
              <w:spacing w:after="0" w:line="240" w:lineRule="auto"/>
              <w:jc w:val="right"/>
              <w:rPr>
                <w:rFonts w:ascii="Verdana" w:eastAsia="Times New Roman" w:hAnsi="Verdana"/>
                <w:i/>
                <w:noProof/>
                <w:color w:val="000000"/>
                <w:sz w:val="14"/>
                <w:szCs w:val="16"/>
              </w:rPr>
            </w:pPr>
            <w:r>
              <w:rPr>
                <w:rFonts w:ascii="Verdana" w:hAnsi="Verdana"/>
                <w:i/>
                <w:noProof/>
                <w:color w:val="000000"/>
                <w:sz w:val="14"/>
              </w:rPr>
              <w:t>Sans objet</w:t>
            </w:r>
          </w:p>
        </w:tc>
        <w:tc>
          <w:tcPr>
            <w:tcW w:w="586" w:type="pct"/>
            <w:tcBorders>
              <w:top w:val="nil"/>
              <w:left w:val="nil"/>
              <w:bottom w:val="nil"/>
              <w:right w:val="single" w:sz="8" w:space="0" w:color="auto"/>
            </w:tcBorders>
            <w:shd w:val="clear" w:color="auto" w:fill="auto"/>
            <w:noWrap/>
            <w:vAlign w:val="center"/>
          </w:tcPr>
          <w:p>
            <w:pPr>
              <w:spacing w:after="0"/>
              <w:jc w:val="right"/>
              <w:rPr>
                <w:rFonts w:ascii="Verdana" w:hAnsi="Verdana"/>
                <w:bCs/>
                <w:i/>
                <w:noProof/>
                <w:color w:val="000000"/>
                <w:sz w:val="14"/>
                <w:szCs w:val="16"/>
              </w:rPr>
            </w:pPr>
            <w:r>
              <w:rPr>
                <w:rFonts w:ascii="Verdana" w:hAnsi="Verdana"/>
                <w:i/>
                <w:noProof/>
                <w:color w:val="000000"/>
                <w:sz w:val="14"/>
              </w:rPr>
              <w:t>(9)</w:t>
            </w:r>
          </w:p>
        </w:tc>
        <w:tc>
          <w:tcPr>
            <w:tcW w:w="548" w:type="pct"/>
            <w:tcBorders>
              <w:top w:val="nil"/>
              <w:left w:val="nil"/>
              <w:bottom w:val="nil"/>
              <w:right w:val="single" w:sz="8" w:space="0" w:color="auto"/>
            </w:tcBorders>
            <w:shd w:val="clear" w:color="auto" w:fill="auto"/>
            <w:vAlign w:val="center"/>
          </w:tcPr>
          <w:p>
            <w:pPr>
              <w:spacing w:after="0"/>
              <w:jc w:val="right"/>
              <w:rPr>
                <w:rFonts w:ascii="Verdana" w:hAnsi="Verdana"/>
                <w:i/>
                <w:iCs/>
                <w:noProof/>
                <w:color w:val="000000"/>
                <w:sz w:val="14"/>
                <w:szCs w:val="16"/>
              </w:rPr>
            </w:pPr>
            <w:r>
              <w:rPr>
                <w:rFonts w:ascii="Verdana" w:hAnsi="Verdana"/>
                <w:i/>
                <w:noProof/>
                <w:color w:val="000000"/>
                <w:sz w:val="14"/>
              </w:rPr>
              <w:t>—</w:t>
            </w:r>
          </w:p>
        </w:tc>
        <w:tc>
          <w:tcPr>
            <w:tcW w:w="594" w:type="pct"/>
            <w:tcBorders>
              <w:top w:val="nil"/>
              <w:left w:val="nil"/>
              <w:bottom w:val="nil"/>
              <w:right w:val="single" w:sz="8" w:space="0" w:color="auto"/>
            </w:tcBorders>
            <w:shd w:val="clear" w:color="auto" w:fill="auto"/>
            <w:vAlign w:val="center"/>
          </w:tcPr>
          <w:p>
            <w:pPr>
              <w:spacing w:after="0"/>
              <w:jc w:val="right"/>
              <w:rPr>
                <w:rFonts w:ascii="Verdana" w:hAnsi="Verdana"/>
                <w:bCs/>
                <w:i/>
                <w:noProof/>
                <w:color w:val="000000"/>
                <w:sz w:val="14"/>
                <w:szCs w:val="16"/>
              </w:rPr>
            </w:pPr>
            <w:r>
              <w:rPr>
                <w:rFonts w:ascii="Verdana" w:hAnsi="Verdana"/>
                <w:i/>
                <w:noProof/>
                <w:color w:val="000000"/>
                <w:sz w:val="14"/>
              </w:rPr>
              <w:t>—</w:t>
            </w:r>
          </w:p>
        </w:tc>
        <w:tc>
          <w:tcPr>
            <w:tcW w:w="572" w:type="pct"/>
            <w:tcBorders>
              <w:top w:val="nil"/>
              <w:left w:val="nil"/>
              <w:bottom w:val="nil"/>
              <w:right w:val="single" w:sz="8" w:space="0" w:color="auto"/>
            </w:tcBorders>
            <w:shd w:val="clear" w:color="auto" w:fill="auto"/>
            <w:vAlign w:val="center"/>
          </w:tcPr>
          <w:p>
            <w:pPr>
              <w:spacing w:after="0"/>
              <w:jc w:val="right"/>
              <w:rPr>
                <w:rFonts w:ascii="Verdana" w:hAnsi="Verdana"/>
                <w:i/>
                <w:iCs/>
                <w:noProof/>
                <w:color w:val="000000"/>
                <w:sz w:val="14"/>
                <w:szCs w:val="16"/>
              </w:rPr>
            </w:pPr>
            <w:r>
              <w:rPr>
                <w:rFonts w:ascii="Verdana" w:hAnsi="Verdana"/>
                <w:i/>
                <w:noProof/>
                <w:color w:val="000000"/>
                <w:sz w:val="14"/>
              </w:rPr>
              <w:t>—</w:t>
            </w:r>
          </w:p>
        </w:tc>
      </w:tr>
      <w:tr>
        <w:trPr>
          <w:trHeight w:val="227"/>
        </w:trPr>
        <w:tc>
          <w:tcPr>
            <w:tcW w:w="907" w:type="pct"/>
            <w:tcBorders>
              <w:top w:val="nil"/>
              <w:left w:val="single" w:sz="8" w:space="0" w:color="auto"/>
              <w:bottom w:val="nil"/>
              <w:right w:val="single" w:sz="8" w:space="0" w:color="000000"/>
            </w:tcBorders>
            <w:shd w:val="clear" w:color="auto" w:fill="auto"/>
            <w:noWrap/>
            <w:vAlign w:val="center"/>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Fonds de cohésion Total</w:t>
            </w:r>
          </w:p>
        </w:tc>
        <w:tc>
          <w:tcPr>
            <w:tcW w:w="411"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Cs/>
                <w:noProof/>
                <w:color w:val="000000"/>
                <w:sz w:val="16"/>
                <w:szCs w:val="16"/>
              </w:rPr>
            </w:pPr>
            <w:r>
              <w:rPr>
                <w:rFonts w:ascii="Verdana" w:hAnsi="Verdana"/>
                <w:noProof/>
                <w:color w:val="000000"/>
                <w:sz w:val="16"/>
              </w:rPr>
              <w:t>268</w:t>
            </w:r>
          </w:p>
        </w:tc>
        <w:tc>
          <w:tcPr>
            <w:tcW w:w="412"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833</w:t>
            </w:r>
          </w:p>
        </w:tc>
        <w:tc>
          <w:tcPr>
            <w:tcW w:w="418"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857</w:t>
            </w:r>
          </w:p>
        </w:tc>
        <w:tc>
          <w:tcPr>
            <w:tcW w:w="552" w:type="pct"/>
            <w:tcBorders>
              <w:top w:val="nil"/>
              <w:left w:val="nil"/>
              <w:bottom w:val="nil"/>
              <w:right w:val="single" w:sz="8" w:space="0" w:color="auto"/>
            </w:tcBorders>
            <w:shd w:val="clear" w:color="auto" w:fill="auto"/>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Sans objet</w:t>
            </w:r>
          </w:p>
        </w:tc>
        <w:tc>
          <w:tcPr>
            <w:tcW w:w="586" w:type="pct"/>
            <w:tcBorders>
              <w:top w:val="nil"/>
              <w:left w:val="nil"/>
              <w:bottom w:val="nil"/>
              <w:right w:val="single" w:sz="8" w:space="0" w:color="auto"/>
            </w:tcBorders>
            <w:shd w:val="clear" w:color="auto" w:fill="auto"/>
            <w:noWrap/>
            <w:vAlign w:val="center"/>
          </w:tcPr>
          <w:p>
            <w:pPr>
              <w:spacing w:after="0"/>
              <w:jc w:val="right"/>
              <w:rPr>
                <w:rFonts w:ascii="Verdana" w:hAnsi="Verdana"/>
                <w:bCs/>
                <w:noProof/>
                <w:color w:val="000000"/>
                <w:sz w:val="16"/>
                <w:szCs w:val="16"/>
              </w:rPr>
            </w:pPr>
            <w:r>
              <w:rPr>
                <w:rFonts w:ascii="Verdana" w:hAnsi="Verdana"/>
                <w:noProof/>
                <w:color w:val="000000"/>
                <w:sz w:val="16"/>
              </w:rPr>
              <w:t>1 958</w:t>
            </w:r>
          </w:p>
        </w:tc>
        <w:tc>
          <w:tcPr>
            <w:tcW w:w="548" w:type="pct"/>
            <w:tcBorders>
              <w:top w:val="nil"/>
              <w:left w:val="nil"/>
              <w:bottom w:val="nil"/>
              <w:right w:val="single" w:sz="8" w:space="0" w:color="auto"/>
            </w:tcBorders>
            <w:shd w:val="clear" w:color="auto" w:fill="auto"/>
            <w:vAlign w:val="center"/>
          </w:tcPr>
          <w:p>
            <w:pPr>
              <w:spacing w:after="0"/>
              <w:jc w:val="right"/>
              <w:rPr>
                <w:rFonts w:ascii="Verdana" w:hAnsi="Verdana"/>
                <w:i/>
                <w:iCs/>
                <w:noProof/>
                <w:color w:val="000000"/>
                <w:sz w:val="16"/>
                <w:szCs w:val="16"/>
              </w:rPr>
            </w:pPr>
            <w:r>
              <w:rPr>
                <w:rFonts w:ascii="Verdana" w:hAnsi="Verdana"/>
                <w:i/>
                <w:noProof/>
                <w:color w:val="000000"/>
                <w:sz w:val="16"/>
              </w:rPr>
              <w:t>97,6 %</w:t>
            </w:r>
          </w:p>
        </w:tc>
        <w:tc>
          <w:tcPr>
            <w:tcW w:w="594" w:type="pct"/>
            <w:tcBorders>
              <w:top w:val="nil"/>
              <w:left w:val="nil"/>
              <w:bottom w:val="nil"/>
              <w:right w:val="single" w:sz="8" w:space="0" w:color="auto"/>
            </w:tcBorders>
            <w:shd w:val="clear" w:color="auto" w:fill="auto"/>
            <w:vAlign w:val="center"/>
          </w:tcPr>
          <w:p>
            <w:pPr>
              <w:spacing w:after="0"/>
              <w:jc w:val="right"/>
              <w:rPr>
                <w:rFonts w:ascii="Verdana" w:hAnsi="Verdana"/>
                <w:bCs/>
                <w:noProof/>
                <w:color w:val="000000"/>
                <w:sz w:val="16"/>
                <w:szCs w:val="16"/>
              </w:rPr>
            </w:pPr>
            <w:r>
              <w:rPr>
                <w:rFonts w:ascii="Verdana" w:hAnsi="Verdana"/>
                <w:noProof/>
                <w:color w:val="000000"/>
                <w:sz w:val="16"/>
              </w:rPr>
              <w:t>1 496</w:t>
            </w:r>
          </w:p>
        </w:tc>
        <w:tc>
          <w:tcPr>
            <w:tcW w:w="572" w:type="pct"/>
            <w:tcBorders>
              <w:top w:val="nil"/>
              <w:left w:val="nil"/>
              <w:bottom w:val="nil"/>
              <w:right w:val="single" w:sz="8" w:space="0" w:color="auto"/>
            </w:tcBorders>
            <w:shd w:val="clear" w:color="auto" w:fill="auto"/>
            <w:vAlign w:val="center"/>
          </w:tcPr>
          <w:p>
            <w:pPr>
              <w:spacing w:after="0"/>
              <w:jc w:val="right"/>
              <w:rPr>
                <w:rFonts w:ascii="Verdana" w:hAnsi="Verdana"/>
                <w:i/>
                <w:iCs/>
                <w:noProof/>
                <w:color w:val="000000"/>
                <w:sz w:val="16"/>
                <w:szCs w:val="16"/>
              </w:rPr>
            </w:pPr>
            <w:r>
              <w:rPr>
                <w:rFonts w:ascii="Verdana" w:hAnsi="Verdana"/>
                <w:i/>
                <w:noProof/>
                <w:color w:val="000000"/>
                <w:sz w:val="16"/>
              </w:rPr>
              <w:t>88,7 %</w:t>
            </w:r>
          </w:p>
        </w:tc>
      </w:tr>
      <w:tr>
        <w:trPr>
          <w:trHeight w:val="227"/>
        </w:trPr>
        <w:tc>
          <w:tcPr>
            <w:tcW w:w="907" w:type="pct"/>
            <w:tcBorders>
              <w:top w:val="nil"/>
              <w:left w:val="single" w:sz="8" w:space="0" w:color="auto"/>
              <w:bottom w:val="nil"/>
              <w:right w:val="single" w:sz="8" w:space="0" w:color="000000"/>
            </w:tcBorders>
            <w:shd w:val="clear" w:color="auto" w:fill="auto"/>
            <w:noWrap/>
            <w:vAlign w:val="center"/>
            <w:hideMark/>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FSE</w:t>
            </w:r>
          </w:p>
        </w:tc>
        <w:tc>
          <w:tcPr>
            <w:tcW w:w="411"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Cs/>
                <w:noProof/>
                <w:color w:val="000000"/>
                <w:sz w:val="16"/>
                <w:szCs w:val="16"/>
              </w:rPr>
            </w:pPr>
            <w:r>
              <w:rPr>
                <w:rFonts w:ascii="Verdana" w:hAnsi="Verdana"/>
                <w:noProof/>
                <w:color w:val="000000"/>
                <w:sz w:val="16"/>
              </w:rPr>
              <w:t>560</w:t>
            </w:r>
          </w:p>
        </w:tc>
        <w:tc>
          <w:tcPr>
            <w:tcW w:w="412"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1 990</w:t>
            </w:r>
          </w:p>
        </w:tc>
        <w:tc>
          <w:tcPr>
            <w:tcW w:w="418"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1 198</w:t>
            </w:r>
          </w:p>
        </w:tc>
        <w:tc>
          <w:tcPr>
            <w:tcW w:w="552" w:type="pct"/>
            <w:tcBorders>
              <w:top w:val="nil"/>
              <w:left w:val="nil"/>
              <w:bottom w:val="nil"/>
              <w:right w:val="single" w:sz="8" w:space="0" w:color="auto"/>
            </w:tcBorders>
            <w:shd w:val="clear" w:color="auto" w:fill="auto"/>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Sans objet</w:t>
            </w:r>
          </w:p>
        </w:tc>
        <w:tc>
          <w:tcPr>
            <w:tcW w:w="586" w:type="pct"/>
            <w:tcBorders>
              <w:top w:val="nil"/>
              <w:left w:val="nil"/>
              <w:bottom w:val="nil"/>
              <w:right w:val="single" w:sz="8" w:space="0" w:color="auto"/>
            </w:tcBorders>
            <w:shd w:val="clear" w:color="auto" w:fill="auto"/>
            <w:noWrap/>
            <w:vAlign w:val="center"/>
          </w:tcPr>
          <w:p>
            <w:pPr>
              <w:spacing w:after="0"/>
              <w:jc w:val="right"/>
              <w:rPr>
                <w:rFonts w:ascii="Verdana" w:hAnsi="Verdana"/>
                <w:bCs/>
                <w:noProof/>
                <w:color w:val="000000"/>
                <w:sz w:val="16"/>
                <w:szCs w:val="16"/>
              </w:rPr>
            </w:pPr>
            <w:r>
              <w:rPr>
                <w:rFonts w:ascii="Verdana" w:hAnsi="Verdana"/>
                <w:noProof/>
                <w:color w:val="000000"/>
                <w:sz w:val="16"/>
              </w:rPr>
              <w:t>3 748</w:t>
            </w:r>
          </w:p>
        </w:tc>
        <w:tc>
          <w:tcPr>
            <w:tcW w:w="548" w:type="pct"/>
            <w:tcBorders>
              <w:top w:val="nil"/>
              <w:left w:val="nil"/>
              <w:bottom w:val="nil"/>
              <w:right w:val="single" w:sz="8" w:space="0" w:color="auto"/>
            </w:tcBorders>
            <w:shd w:val="clear" w:color="auto" w:fill="auto"/>
            <w:vAlign w:val="center"/>
          </w:tcPr>
          <w:p>
            <w:pPr>
              <w:spacing w:after="0"/>
              <w:jc w:val="right"/>
              <w:rPr>
                <w:rFonts w:ascii="Verdana" w:hAnsi="Verdana"/>
                <w:noProof/>
                <w:color w:val="000000"/>
                <w:sz w:val="16"/>
                <w:szCs w:val="16"/>
              </w:rPr>
            </w:pPr>
            <w:r>
              <w:rPr>
                <w:rFonts w:ascii="Verdana" w:hAnsi="Verdana"/>
                <w:noProof/>
                <w:color w:val="000000"/>
                <w:sz w:val="16"/>
              </w:rPr>
              <w:t>98,4 %</w:t>
            </w:r>
          </w:p>
        </w:tc>
        <w:tc>
          <w:tcPr>
            <w:tcW w:w="594" w:type="pct"/>
            <w:tcBorders>
              <w:top w:val="nil"/>
              <w:left w:val="nil"/>
              <w:bottom w:val="nil"/>
              <w:right w:val="single" w:sz="8" w:space="0" w:color="auto"/>
            </w:tcBorders>
            <w:shd w:val="clear" w:color="auto" w:fill="auto"/>
            <w:vAlign w:val="center"/>
          </w:tcPr>
          <w:p>
            <w:pPr>
              <w:spacing w:after="0"/>
              <w:jc w:val="right"/>
              <w:rPr>
                <w:rFonts w:ascii="Verdana" w:hAnsi="Verdana"/>
                <w:bCs/>
                <w:noProof/>
                <w:color w:val="000000"/>
                <w:sz w:val="16"/>
                <w:szCs w:val="16"/>
              </w:rPr>
            </w:pPr>
            <w:r>
              <w:rPr>
                <w:rFonts w:ascii="Verdana" w:hAnsi="Verdana"/>
                <w:noProof/>
                <w:color w:val="000000"/>
                <w:sz w:val="16"/>
              </w:rPr>
              <w:t>3 399</w:t>
            </w:r>
          </w:p>
        </w:tc>
        <w:tc>
          <w:tcPr>
            <w:tcW w:w="572" w:type="pct"/>
            <w:tcBorders>
              <w:top w:val="nil"/>
              <w:left w:val="nil"/>
              <w:bottom w:val="nil"/>
              <w:right w:val="single" w:sz="8" w:space="0" w:color="auto"/>
            </w:tcBorders>
            <w:shd w:val="clear" w:color="auto" w:fill="auto"/>
            <w:vAlign w:val="center"/>
          </w:tcPr>
          <w:p>
            <w:pPr>
              <w:spacing w:after="0"/>
              <w:jc w:val="right"/>
              <w:rPr>
                <w:rFonts w:ascii="Verdana" w:hAnsi="Verdana"/>
                <w:noProof/>
                <w:color w:val="000000"/>
                <w:sz w:val="16"/>
                <w:szCs w:val="16"/>
              </w:rPr>
            </w:pPr>
            <w:r>
              <w:rPr>
                <w:rFonts w:ascii="Verdana" w:hAnsi="Verdana"/>
                <w:noProof/>
                <w:color w:val="000000"/>
                <w:sz w:val="16"/>
              </w:rPr>
              <w:t>96,5 %</w:t>
            </w:r>
          </w:p>
        </w:tc>
      </w:tr>
      <w:tr>
        <w:trPr>
          <w:trHeight w:val="227"/>
        </w:trPr>
        <w:tc>
          <w:tcPr>
            <w:tcW w:w="907" w:type="pct"/>
            <w:tcBorders>
              <w:top w:val="nil"/>
              <w:left w:val="single" w:sz="8" w:space="0" w:color="auto"/>
              <w:bottom w:val="nil"/>
              <w:right w:val="single" w:sz="8" w:space="0" w:color="000000"/>
            </w:tcBorders>
            <w:shd w:val="clear" w:color="auto" w:fill="auto"/>
            <w:noWrap/>
            <w:vAlign w:val="center"/>
            <w:hideMark/>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IFOP/FEP</w:t>
            </w:r>
          </w:p>
        </w:tc>
        <w:tc>
          <w:tcPr>
            <w:tcW w:w="411"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Cs/>
                <w:noProof/>
                <w:color w:val="000000"/>
                <w:sz w:val="16"/>
                <w:szCs w:val="16"/>
              </w:rPr>
            </w:pPr>
            <w:r>
              <w:rPr>
                <w:rFonts w:ascii="Verdana" w:hAnsi="Verdana"/>
                <w:noProof/>
                <w:color w:val="000000"/>
                <w:sz w:val="16"/>
              </w:rPr>
              <w:t>100</w:t>
            </w:r>
          </w:p>
        </w:tc>
        <w:tc>
          <w:tcPr>
            <w:tcW w:w="412"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127</w:t>
            </w:r>
          </w:p>
        </w:tc>
        <w:tc>
          <w:tcPr>
            <w:tcW w:w="418"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29</w:t>
            </w:r>
          </w:p>
        </w:tc>
        <w:tc>
          <w:tcPr>
            <w:tcW w:w="552" w:type="pct"/>
            <w:tcBorders>
              <w:top w:val="nil"/>
              <w:left w:val="nil"/>
              <w:bottom w:val="nil"/>
              <w:right w:val="single" w:sz="8" w:space="0" w:color="auto"/>
            </w:tcBorders>
            <w:shd w:val="clear" w:color="auto" w:fill="auto"/>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Sans objet</w:t>
            </w:r>
          </w:p>
        </w:tc>
        <w:tc>
          <w:tcPr>
            <w:tcW w:w="586" w:type="pct"/>
            <w:tcBorders>
              <w:top w:val="nil"/>
              <w:left w:val="nil"/>
              <w:bottom w:val="nil"/>
              <w:right w:val="single" w:sz="8" w:space="0" w:color="auto"/>
            </w:tcBorders>
            <w:shd w:val="clear" w:color="auto" w:fill="auto"/>
            <w:noWrap/>
            <w:vAlign w:val="center"/>
          </w:tcPr>
          <w:p>
            <w:pPr>
              <w:spacing w:after="0"/>
              <w:jc w:val="right"/>
              <w:rPr>
                <w:rFonts w:ascii="Verdana" w:hAnsi="Verdana"/>
                <w:bCs/>
                <w:noProof/>
                <w:color w:val="000000"/>
                <w:sz w:val="16"/>
                <w:szCs w:val="16"/>
              </w:rPr>
            </w:pPr>
            <w:r>
              <w:rPr>
                <w:rFonts w:ascii="Verdana" w:hAnsi="Verdana"/>
                <w:noProof/>
                <w:color w:val="000000"/>
                <w:sz w:val="16"/>
              </w:rPr>
              <w:t>256</w:t>
            </w:r>
          </w:p>
        </w:tc>
        <w:tc>
          <w:tcPr>
            <w:tcW w:w="548" w:type="pct"/>
            <w:tcBorders>
              <w:top w:val="nil"/>
              <w:left w:val="nil"/>
              <w:bottom w:val="nil"/>
              <w:right w:val="single" w:sz="8" w:space="0" w:color="auto"/>
            </w:tcBorders>
            <w:shd w:val="clear" w:color="auto" w:fill="auto"/>
            <w:vAlign w:val="center"/>
          </w:tcPr>
          <w:p>
            <w:pPr>
              <w:spacing w:after="0"/>
              <w:jc w:val="right"/>
              <w:rPr>
                <w:rFonts w:ascii="Verdana" w:hAnsi="Verdana"/>
                <w:noProof/>
                <w:color w:val="000000"/>
                <w:sz w:val="16"/>
                <w:szCs w:val="16"/>
              </w:rPr>
            </w:pPr>
            <w:r>
              <w:rPr>
                <w:rFonts w:ascii="Verdana" w:hAnsi="Verdana"/>
                <w:noProof/>
                <w:color w:val="000000"/>
                <w:sz w:val="16"/>
              </w:rPr>
              <w:t>63,0 %</w:t>
            </w:r>
          </w:p>
        </w:tc>
        <w:tc>
          <w:tcPr>
            <w:tcW w:w="594" w:type="pct"/>
            <w:tcBorders>
              <w:top w:val="nil"/>
              <w:left w:val="nil"/>
              <w:bottom w:val="nil"/>
              <w:right w:val="single" w:sz="8" w:space="0" w:color="auto"/>
            </w:tcBorders>
            <w:shd w:val="clear" w:color="auto" w:fill="auto"/>
            <w:vAlign w:val="center"/>
          </w:tcPr>
          <w:p>
            <w:pPr>
              <w:spacing w:after="0"/>
              <w:jc w:val="right"/>
              <w:rPr>
                <w:rFonts w:ascii="Verdana" w:hAnsi="Verdana"/>
                <w:bCs/>
                <w:noProof/>
                <w:color w:val="000000"/>
                <w:sz w:val="16"/>
                <w:szCs w:val="16"/>
              </w:rPr>
            </w:pPr>
            <w:r>
              <w:rPr>
                <w:rFonts w:ascii="Verdana" w:hAnsi="Verdana"/>
                <w:noProof/>
                <w:color w:val="000000"/>
                <w:sz w:val="16"/>
              </w:rPr>
              <w:t>250</w:t>
            </w:r>
          </w:p>
        </w:tc>
        <w:tc>
          <w:tcPr>
            <w:tcW w:w="572" w:type="pct"/>
            <w:tcBorders>
              <w:top w:val="nil"/>
              <w:left w:val="nil"/>
              <w:bottom w:val="nil"/>
              <w:right w:val="single" w:sz="8" w:space="0" w:color="auto"/>
            </w:tcBorders>
            <w:shd w:val="clear" w:color="auto" w:fill="auto"/>
            <w:vAlign w:val="center"/>
          </w:tcPr>
          <w:p>
            <w:pPr>
              <w:spacing w:after="0"/>
              <w:jc w:val="right"/>
              <w:rPr>
                <w:rFonts w:ascii="Verdana" w:hAnsi="Verdana"/>
                <w:noProof/>
                <w:color w:val="000000"/>
                <w:sz w:val="16"/>
                <w:szCs w:val="16"/>
              </w:rPr>
            </w:pPr>
            <w:r>
              <w:rPr>
                <w:rFonts w:ascii="Verdana" w:hAnsi="Verdana"/>
                <w:noProof/>
                <w:color w:val="000000"/>
                <w:sz w:val="16"/>
              </w:rPr>
              <w:t>60,4 %</w:t>
            </w:r>
          </w:p>
        </w:tc>
      </w:tr>
      <w:tr>
        <w:trPr>
          <w:trHeight w:val="227"/>
        </w:trPr>
        <w:tc>
          <w:tcPr>
            <w:tcW w:w="907" w:type="pct"/>
            <w:tcBorders>
              <w:top w:val="nil"/>
              <w:left w:val="single" w:sz="8" w:space="0" w:color="auto"/>
              <w:bottom w:val="nil"/>
              <w:right w:val="single" w:sz="8" w:space="0" w:color="000000"/>
            </w:tcBorders>
            <w:shd w:val="clear" w:color="auto" w:fill="auto"/>
            <w:noWrap/>
            <w:vAlign w:val="center"/>
            <w:hideMark/>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FEOGA-Orientation</w:t>
            </w:r>
          </w:p>
        </w:tc>
        <w:tc>
          <w:tcPr>
            <w:tcW w:w="411"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Cs/>
                <w:noProof/>
                <w:color w:val="000000"/>
                <w:sz w:val="16"/>
                <w:szCs w:val="16"/>
              </w:rPr>
            </w:pPr>
            <w:r>
              <w:rPr>
                <w:rFonts w:ascii="Verdana" w:hAnsi="Verdana"/>
                <w:noProof/>
                <w:color w:val="000000"/>
                <w:sz w:val="16"/>
              </w:rPr>
              <w:t>3</w:t>
            </w:r>
          </w:p>
        </w:tc>
        <w:tc>
          <w:tcPr>
            <w:tcW w:w="412"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178</w:t>
            </w:r>
          </w:p>
        </w:tc>
        <w:tc>
          <w:tcPr>
            <w:tcW w:w="418" w:type="pct"/>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w:t>
            </w:r>
          </w:p>
        </w:tc>
        <w:tc>
          <w:tcPr>
            <w:tcW w:w="552" w:type="pct"/>
            <w:tcBorders>
              <w:top w:val="nil"/>
              <w:left w:val="nil"/>
              <w:bottom w:val="nil"/>
              <w:right w:val="single" w:sz="8" w:space="0" w:color="auto"/>
            </w:tcBorders>
            <w:shd w:val="clear" w:color="auto" w:fill="auto"/>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Sans objet</w:t>
            </w:r>
          </w:p>
        </w:tc>
        <w:tc>
          <w:tcPr>
            <w:tcW w:w="586" w:type="pct"/>
            <w:tcBorders>
              <w:top w:val="nil"/>
              <w:left w:val="nil"/>
              <w:bottom w:val="nil"/>
              <w:right w:val="single" w:sz="8" w:space="0" w:color="auto"/>
            </w:tcBorders>
            <w:shd w:val="clear" w:color="auto" w:fill="auto"/>
            <w:noWrap/>
            <w:vAlign w:val="center"/>
          </w:tcPr>
          <w:p>
            <w:pPr>
              <w:spacing w:after="0"/>
              <w:jc w:val="right"/>
              <w:rPr>
                <w:rFonts w:ascii="Verdana" w:hAnsi="Verdana"/>
                <w:bCs/>
                <w:noProof/>
                <w:color w:val="000000"/>
                <w:sz w:val="16"/>
                <w:szCs w:val="16"/>
              </w:rPr>
            </w:pPr>
            <w:r>
              <w:rPr>
                <w:rFonts w:ascii="Verdana" w:hAnsi="Verdana"/>
                <w:noProof/>
                <w:color w:val="000000"/>
                <w:sz w:val="16"/>
              </w:rPr>
              <w:t>181</w:t>
            </w:r>
          </w:p>
        </w:tc>
        <w:tc>
          <w:tcPr>
            <w:tcW w:w="548" w:type="pct"/>
            <w:tcBorders>
              <w:top w:val="nil"/>
              <w:left w:val="nil"/>
              <w:bottom w:val="nil"/>
              <w:right w:val="single" w:sz="8" w:space="0" w:color="auto"/>
            </w:tcBorders>
            <w:shd w:val="clear" w:color="auto" w:fill="auto"/>
            <w:vAlign w:val="center"/>
          </w:tcPr>
          <w:p>
            <w:pPr>
              <w:spacing w:after="0"/>
              <w:jc w:val="right"/>
              <w:rPr>
                <w:rFonts w:ascii="Verdana" w:hAnsi="Verdana"/>
                <w:noProof/>
                <w:color w:val="000000"/>
                <w:sz w:val="16"/>
                <w:szCs w:val="16"/>
              </w:rPr>
            </w:pPr>
            <w:r>
              <w:rPr>
                <w:rFonts w:ascii="Verdana" w:hAnsi="Verdana"/>
                <w:noProof/>
                <w:color w:val="000000"/>
                <w:sz w:val="16"/>
              </w:rPr>
              <w:t>60,1 %</w:t>
            </w:r>
          </w:p>
        </w:tc>
        <w:tc>
          <w:tcPr>
            <w:tcW w:w="594" w:type="pct"/>
            <w:tcBorders>
              <w:top w:val="nil"/>
              <w:left w:val="nil"/>
              <w:bottom w:val="nil"/>
              <w:right w:val="single" w:sz="8" w:space="0" w:color="auto"/>
            </w:tcBorders>
            <w:shd w:val="clear" w:color="auto" w:fill="auto"/>
            <w:vAlign w:val="center"/>
          </w:tcPr>
          <w:p>
            <w:pPr>
              <w:spacing w:after="0"/>
              <w:jc w:val="right"/>
              <w:rPr>
                <w:rFonts w:ascii="Verdana" w:hAnsi="Verdana"/>
                <w:bCs/>
                <w:noProof/>
                <w:color w:val="000000"/>
                <w:sz w:val="16"/>
                <w:szCs w:val="16"/>
              </w:rPr>
            </w:pPr>
            <w:r>
              <w:rPr>
                <w:rFonts w:ascii="Verdana" w:hAnsi="Verdana"/>
                <w:noProof/>
                <w:color w:val="000000"/>
                <w:sz w:val="16"/>
              </w:rPr>
              <w:t>85</w:t>
            </w:r>
          </w:p>
        </w:tc>
        <w:tc>
          <w:tcPr>
            <w:tcW w:w="572" w:type="pct"/>
            <w:tcBorders>
              <w:top w:val="nil"/>
              <w:left w:val="nil"/>
              <w:bottom w:val="nil"/>
              <w:right w:val="single" w:sz="8" w:space="0" w:color="auto"/>
            </w:tcBorders>
            <w:shd w:val="clear" w:color="auto" w:fill="auto"/>
            <w:vAlign w:val="center"/>
          </w:tcPr>
          <w:p>
            <w:pPr>
              <w:spacing w:after="0"/>
              <w:jc w:val="right"/>
              <w:rPr>
                <w:rFonts w:ascii="Verdana" w:hAnsi="Verdana"/>
                <w:noProof/>
                <w:color w:val="000000"/>
                <w:sz w:val="16"/>
                <w:szCs w:val="16"/>
              </w:rPr>
            </w:pPr>
            <w:r>
              <w:rPr>
                <w:rFonts w:ascii="Verdana" w:hAnsi="Verdana"/>
                <w:noProof/>
                <w:color w:val="000000"/>
                <w:sz w:val="16"/>
              </w:rPr>
              <w:t>100,0 %</w:t>
            </w:r>
          </w:p>
        </w:tc>
      </w:tr>
      <w:tr>
        <w:trPr>
          <w:trHeight w:val="227"/>
        </w:trPr>
        <w:tc>
          <w:tcPr>
            <w:tcW w:w="907" w:type="pct"/>
            <w:tcBorders>
              <w:top w:val="nil"/>
              <w:left w:val="single" w:sz="8" w:space="0" w:color="auto"/>
              <w:bottom w:val="single" w:sz="8" w:space="0" w:color="auto"/>
              <w:right w:val="single" w:sz="8" w:space="0" w:color="000000"/>
            </w:tcBorders>
            <w:shd w:val="clear" w:color="auto" w:fill="auto"/>
            <w:noWrap/>
            <w:vAlign w:val="center"/>
            <w:hideMark/>
          </w:tcPr>
          <w:p>
            <w:pPr>
              <w:spacing w:after="0" w:line="240" w:lineRule="auto"/>
              <w:jc w:val="both"/>
              <w:rPr>
                <w:rFonts w:ascii="Verdana" w:eastAsia="Times New Roman" w:hAnsi="Verdana"/>
                <w:b/>
                <w:bCs/>
                <w:noProof/>
                <w:color w:val="000000"/>
                <w:sz w:val="16"/>
                <w:szCs w:val="16"/>
              </w:rPr>
            </w:pPr>
            <w:r>
              <w:rPr>
                <w:rFonts w:ascii="Verdana" w:hAnsi="Verdana"/>
                <w:b/>
                <w:noProof/>
                <w:color w:val="000000"/>
                <w:sz w:val="16"/>
              </w:rPr>
              <w:t>Autres</w:t>
            </w:r>
          </w:p>
        </w:tc>
        <w:tc>
          <w:tcPr>
            <w:tcW w:w="411" w:type="pct"/>
            <w:tcBorders>
              <w:top w:val="nil"/>
              <w:left w:val="nil"/>
              <w:bottom w:val="single" w:sz="8" w:space="0" w:color="auto"/>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w:t>
            </w:r>
          </w:p>
        </w:tc>
        <w:tc>
          <w:tcPr>
            <w:tcW w:w="412" w:type="pct"/>
            <w:tcBorders>
              <w:top w:val="nil"/>
              <w:left w:val="nil"/>
              <w:bottom w:val="single" w:sz="8" w:space="0" w:color="auto"/>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w:t>
            </w:r>
          </w:p>
        </w:tc>
        <w:tc>
          <w:tcPr>
            <w:tcW w:w="418" w:type="pct"/>
            <w:tcBorders>
              <w:top w:val="nil"/>
              <w:left w:val="nil"/>
              <w:bottom w:val="single" w:sz="8" w:space="0" w:color="auto"/>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w:t>
            </w:r>
          </w:p>
        </w:tc>
        <w:tc>
          <w:tcPr>
            <w:tcW w:w="552" w:type="pct"/>
            <w:tcBorders>
              <w:top w:val="nil"/>
              <w:left w:val="nil"/>
              <w:bottom w:val="nil"/>
              <w:right w:val="single" w:sz="8" w:space="0" w:color="auto"/>
            </w:tcBorders>
            <w:shd w:val="clear" w:color="auto" w:fill="auto"/>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Sans objet</w:t>
            </w:r>
          </w:p>
        </w:tc>
        <w:tc>
          <w:tcPr>
            <w:tcW w:w="586" w:type="pct"/>
            <w:tcBorders>
              <w:top w:val="nil"/>
              <w:left w:val="nil"/>
              <w:bottom w:val="single" w:sz="8" w:space="0" w:color="auto"/>
              <w:right w:val="single" w:sz="8" w:space="0" w:color="auto"/>
            </w:tcBorders>
            <w:shd w:val="clear" w:color="auto" w:fill="auto"/>
            <w:noWrap/>
            <w:vAlign w:val="center"/>
          </w:tcPr>
          <w:p>
            <w:pPr>
              <w:spacing w:after="0"/>
              <w:jc w:val="right"/>
              <w:rPr>
                <w:rFonts w:ascii="Verdana" w:hAnsi="Verdana"/>
                <w:b/>
                <w:bCs/>
                <w:noProof/>
                <w:color w:val="000000"/>
                <w:sz w:val="16"/>
                <w:szCs w:val="16"/>
              </w:rPr>
            </w:pPr>
            <w:r>
              <w:rPr>
                <w:rFonts w:ascii="Verdana" w:hAnsi="Verdana"/>
                <w:b/>
                <w:noProof/>
                <w:color w:val="000000"/>
                <w:sz w:val="16"/>
              </w:rPr>
              <w:t>32</w:t>
            </w:r>
          </w:p>
        </w:tc>
        <w:tc>
          <w:tcPr>
            <w:tcW w:w="548" w:type="pct"/>
            <w:tcBorders>
              <w:top w:val="nil"/>
              <w:left w:val="nil"/>
              <w:bottom w:val="nil"/>
              <w:right w:val="single" w:sz="8" w:space="0" w:color="auto"/>
            </w:tcBorders>
            <w:shd w:val="clear" w:color="auto" w:fill="auto"/>
            <w:vAlign w:val="center"/>
          </w:tcPr>
          <w:p>
            <w:pPr>
              <w:spacing w:after="0"/>
              <w:jc w:val="right"/>
              <w:rPr>
                <w:rFonts w:ascii="Verdana" w:hAnsi="Verdana"/>
                <w:b/>
                <w:bCs/>
                <w:noProof/>
                <w:color w:val="000000"/>
                <w:sz w:val="16"/>
                <w:szCs w:val="16"/>
              </w:rPr>
            </w:pPr>
            <w:r>
              <w:rPr>
                <w:rFonts w:ascii="Verdana" w:hAnsi="Verdana"/>
                <w:b/>
                <w:noProof/>
                <w:color w:val="000000"/>
                <w:sz w:val="16"/>
              </w:rPr>
              <w:t>100,0 %</w:t>
            </w:r>
          </w:p>
        </w:tc>
        <w:tc>
          <w:tcPr>
            <w:tcW w:w="594" w:type="pct"/>
            <w:tcBorders>
              <w:top w:val="nil"/>
              <w:left w:val="nil"/>
              <w:bottom w:val="nil"/>
              <w:right w:val="single" w:sz="8" w:space="0" w:color="auto"/>
            </w:tcBorders>
            <w:shd w:val="clear" w:color="auto" w:fill="auto"/>
            <w:vAlign w:val="center"/>
          </w:tcPr>
          <w:p>
            <w:pPr>
              <w:spacing w:after="0"/>
              <w:jc w:val="right"/>
              <w:rPr>
                <w:rFonts w:ascii="Verdana" w:hAnsi="Verdana"/>
                <w:b/>
                <w:bCs/>
                <w:noProof/>
                <w:color w:val="000000"/>
                <w:sz w:val="16"/>
                <w:szCs w:val="16"/>
              </w:rPr>
            </w:pPr>
            <w:r>
              <w:rPr>
                <w:rFonts w:ascii="Verdana" w:hAnsi="Verdana"/>
                <w:b/>
                <w:noProof/>
                <w:color w:val="000000"/>
                <w:sz w:val="16"/>
              </w:rPr>
              <w:t>9</w:t>
            </w:r>
          </w:p>
        </w:tc>
        <w:tc>
          <w:tcPr>
            <w:tcW w:w="572" w:type="pct"/>
            <w:tcBorders>
              <w:top w:val="nil"/>
              <w:left w:val="nil"/>
              <w:bottom w:val="nil"/>
              <w:right w:val="single" w:sz="8" w:space="0" w:color="auto"/>
            </w:tcBorders>
            <w:shd w:val="clear" w:color="auto" w:fill="auto"/>
            <w:vAlign w:val="center"/>
          </w:tcPr>
          <w:p>
            <w:pPr>
              <w:spacing w:after="0"/>
              <w:jc w:val="right"/>
              <w:rPr>
                <w:rFonts w:ascii="Verdana" w:hAnsi="Verdana"/>
                <w:b/>
                <w:bCs/>
                <w:noProof/>
                <w:color w:val="000000"/>
                <w:sz w:val="16"/>
                <w:szCs w:val="16"/>
              </w:rPr>
            </w:pPr>
            <w:r>
              <w:rPr>
                <w:rFonts w:ascii="Verdana" w:hAnsi="Verdana"/>
                <w:b/>
                <w:noProof/>
                <w:color w:val="000000"/>
                <w:sz w:val="16"/>
              </w:rPr>
              <w:t>100,0 %</w:t>
            </w:r>
          </w:p>
        </w:tc>
      </w:tr>
      <w:tr>
        <w:trPr>
          <w:trHeight w:val="270"/>
        </w:trPr>
        <w:tc>
          <w:tcPr>
            <w:tcW w:w="907"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pPr>
              <w:spacing w:after="0" w:line="240" w:lineRule="auto"/>
              <w:jc w:val="both"/>
              <w:rPr>
                <w:rFonts w:ascii="Verdana" w:eastAsia="Times New Roman" w:hAnsi="Verdana"/>
                <w:b/>
                <w:bCs/>
                <w:noProof/>
                <w:color w:val="000000"/>
                <w:sz w:val="16"/>
                <w:szCs w:val="16"/>
              </w:rPr>
            </w:pPr>
            <w:r>
              <w:rPr>
                <w:rFonts w:ascii="Verdana" w:hAnsi="Verdana"/>
                <w:b/>
                <w:noProof/>
                <w:color w:val="000000"/>
                <w:sz w:val="16"/>
              </w:rPr>
              <w:t>Total</w:t>
            </w:r>
          </w:p>
        </w:tc>
        <w:tc>
          <w:tcPr>
            <w:tcW w:w="411" w:type="pct"/>
            <w:tcBorders>
              <w:top w:val="nil"/>
              <w:left w:val="nil"/>
              <w:bottom w:val="single" w:sz="8" w:space="0" w:color="auto"/>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2 273</w:t>
            </w:r>
          </w:p>
        </w:tc>
        <w:tc>
          <w:tcPr>
            <w:tcW w:w="412" w:type="pct"/>
            <w:tcBorders>
              <w:top w:val="nil"/>
              <w:left w:val="nil"/>
              <w:bottom w:val="single" w:sz="8" w:space="0" w:color="auto"/>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9 060</w:t>
            </w:r>
          </w:p>
        </w:tc>
        <w:tc>
          <w:tcPr>
            <w:tcW w:w="418" w:type="pct"/>
            <w:tcBorders>
              <w:top w:val="nil"/>
              <w:left w:val="nil"/>
              <w:bottom w:val="single" w:sz="8" w:space="0" w:color="auto"/>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5 535</w:t>
            </w:r>
          </w:p>
        </w:tc>
        <w:tc>
          <w:tcPr>
            <w:tcW w:w="552" w:type="pct"/>
            <w:tcBorders>
              <w:top w:val="single" w:sz="8" w:space="0" w:color="auto"/>
              <w:left w:val="nil"/>
              <w:bottom w:val="single" w:sz="8" w:space="0" w:color="auto"/>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11 766</w:t>
            </w:r>
          </w:p>
        </w:tc>
        <w:tc>
          <w:tcPr>
            <w:tcW w:w="586" w:type="pct"/>
            <w:tcBorders>
              <w:top w:val="nil"/>
              <w:left w:val="nil"/>
              <w:bottom w:val="single" w:sz="8" w:space="0" w:color="auto"/>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28 666</w:t>
            </w:r>
          </w:p>
        </w:tc>
        <w:tc>
          <w:tcPr>
            <w:tcW w:w="548" w:type="pct"/>
            <w:tcBorders>
              <w:top w:val="single" w:sz="8" w:space="0" w:color="auto"/>
              <w:left w:val="nil"/>
              <w:bottom w:val="single" w:sz="8" w:space="0" w:color="auto"/>
              <w:right w:val="single" w:sz="8" w:space="0" w:color="auto"/>
            </w:tcBorders>
            <w:shd w:val="clear" w:color="auto" w:fill="auto"/>
            <w:noWrap/>
            <w:vAlign w:val="center"/>
          </w:tcPr>
          <w:p>
            <w:pPr>
              <w:spacing w:after="0"/>
              <w:jc w:val="right"/>
              <w:rPr>
                <w:rFonts w:ascii="Verdana" w:hAnsi="Verdana"/>
                <w:b/>
                <w:bCs/>
                <w:noProof/>
                <w:color w:val="000000"/>
                <w:sz w:val="16"/>
                <w:szCs w:val="16"/>
              </w:rPr>
            </w:pPr>
            <w:r>
              <w:rPr>
                <w:rFonts w:ascii="Verdana" w:hAnsi="Verdana"/>
                <w:b/>
                <w:noProof/>
                <w:color w:val="000000"/>
                <w:sz w:val="16"/>
              </w:rPr>
              <w:t>89,9 %</w:t>
            </w:r>
          </w:p>
        </w:tc>
        <w:tc>
          <w:tcPr>
            <w:tcW w:w="594" w:type="pct"/>
            <w:tcBorders>
              <w:top w:val="single" w:sz="8" w:space="0" w:color="auto"/>
              <w:left w:val="nil"/>
              <w:bottom w:val="single" w:sz="8" w:space="0" w:color="auto"/>
              <w:right w:val="single" w:sz="8" w:space="0" w:color="auto"/>
            </w:tcBorders>
            <w:shd w:val="clear" w:color="auto" w:fill="auto"/>
            <w:vAlign w:val="center"/>
          </w:tcPr>
          <w:p>
            <w:pPr>
              <w:spacing w:after="0"/>
              <w:jc w:val="right"/>
              <w:rPr>
                <w:rFonts w:ascii="Verdana" w:hAnsi="Verdana"/>
                <w:b/>
                <w:bCs/>
                <w:noProof/>
                <w:color w:val="000000"/>
                <w:sz w:val="16"/>
                <w:szCs w:val="16"/>
              </w:rPr>
            </w:pPr>
            <w:r>
              <w:rPr>
                <w:rFonts w:ascii="Verdana" w:hAnsi="Verdana"/>
                <w:b/>
                <w:noProof/>
                <w:color w:val="000000"/>
                <w:sz w:val="16"/>
              </w:rPr>
              <w:t>25 726</w:t>
            </w:r>
          </w:p>
        </w:tc>
        <w:tc>
          <w:tcPr>
            <w:tcW w:w="572" w:type="pct"/>
            <w:tcBorders>
              <w:top w:val="single" w:sz="8" w:space="0" w:color="auto"/>
              <w:left w:val="nil"/>
              <w:bottom w:val="single" w:sz="8" w:space="0" w:color="auto"/>
              <w:right w:val="single" w:sz="8" w:space="0" w:color="auto"/>
            </w:tcBorders>
            <w:shd w:val="clear" w:color="auto" w:fill="auto"/>
            <w:noWrap/>
            <w:vAlign w:val="center"/>
          </w:tcPr>
          <w:p>
            <w:pPr>
              <w:spacing w:after="0"/>
              <w:jc w:val="right"/>
              <w:rPr>
                <w:rFonts w:ascii="Verdana" w:hAnsi="Verdana"/>
                <w:b/>
                <w:bCs/>
                <w:noProof/>
                <w:color w:val="000000"/>
                <w:sz w:val="16"/>
                <w:szCs w:val="16"/>
              </w:rPr>
            </w:pPr>
            <w:r>
              <w:rPr>
                <w:rFonts w:ascii="Verdana" w:hAnsi="Verdana"/>
                <w:b/>
                <w:noProof/>
                <w:color w:val="000000"/>
                <w:sz w:val="16"/>
              </w:rPr>
              <w:t>88,0 %</w:t>
            </w:r>
          </w:p>
        </w:tc>
      </w:tr>
    </w:tbl>
    <w:p>
      <w:pPr>
        <w:spacing w:before="240" w:after="360" w:line="240" w:lineRule="auto"/>
        <w:jc w:val="both"/>
        <w:rPr>
          <w:rFonts w:ascii="Verdana" w:hAnsi="Verdana" w:cs="Arial"/>
          <w:bCs/>
          <w:noProof/>
          <w:sz w:val="20"/>
        </w:rPr>
      </w:pPr>
      <w:r>
        <w:rPr>
          <w:rFonts w:ascii="Verdana" w:hAnsi="Verdana"/>
          <w:noProof/>
          <w:sz w:val="18"/>
        </w:rPr>
        <w:t>Les différentes périodes de programmation de la politique de cohésion mettent clairement en évidence le caractère pluriannuel du cycle budgétaire de l’UE. Étant donné que le processus de clôture de la période 2000-2006 touche à sa fin, le montant des corrections financières est nettement supérieur, notamment par rapport à celui de la période 2007-2013.</w:t>
      </w:r>
    </w:p>
    <w:p>
      <w:pPr>
        <w:spacing w:after="120"/>
        <w:jc w:val="both"/>
        <w:rPr>
          <w:rFonts w:ascii="Verdana" w:hAnsi="Verdana"/>
          <w:i/>
          <w:noProof/>
          <w:sz w:val="20"/>
        </w:rPr>
      </w:pPr>
      <w:r>
        <w:rPr>
          <w:rFonts w:ascii="Verdana" w:hAnsi="Verdana"/>
          <w:i/>
          <w:noProof/>
          <w:sz w:val="20"/>
        </w:rPr>
        <w:t>3.2.4</w:t>
      </w:r>
      <w:r>
        <w:rPr>
          <w:noProof/>
        </w:rPr>
        <w:tab/>
      </w:r>
      <w:r>
        <w:rPr>
          <w:rFonts w:ascii="Verdana" w:hAnsi="Verdana"/>
          <w:i/>
          <w:noProof/>
          <w:sz w:val="20"/>
        </w:rPr>
        <w:t>Recouvrements cumulés 2009-2015</w:t>
      </w:r>
    </w:p>
    <w:p>
      <w:pPr>
        <w:spacing w:after="240" w:line="240" w:lineRule="auto"/>
        <w:jc w:val="both"/>
        <w:rPr>
          <w:rFonts w:ascii="Verdana" w:hAnsi="Verdana"/>
          <w:noProof/>
          <w:sz w:val="18"/>
        </w:rPr>
      </w:pPr>
      <w:r>
        <w:rPr>
          <w:rFonts w:ascii="Verdana" w:hAnsi="Verdana"/>
          <w:noProof/>
          <w:sz w:val="18"/>
        </w:rPr>
        <w:t>Les tableaux ci-dessous indiquent les recouvrements confirmés et exécutés pendant la période 2009</w:t>
      </w:r>
      <w:r>
        <w:rPr>
          <w:noProof/>
        </w:rPr>
        <w:noBreakHyphen/>
      </w:r>
      <w:r>
        <w:rPr>
          <w:rFonts w:ascii="Verdana" w:hAnsi="Verdana"/>
          <w:noProof/>
          <w:sz w:val="18"/>
        </w:rPr>
        <w:t xml:space="preserve">2015. Voir également le point </w:t>
      </w:r>
      <w:r>
        <w:rPr>
          <w:rFonts w:ascii="Verdana" w:hAnsi="Verdana"/>
          <w:b/>
          <w:noProof/>
          <w:sz w:val="18"/>
        </w:rPr>
        <w:t>3.3.1</w:t>
      </w:r>
      <w:r>
        <w:rPr>
          <w:rFonts w:ascii="Verdana" w:hAnsi="Verdana"/>
          <w:noProof/>
          <w:sz w:val="18"/>
        </w:rPr>
        <w:t xml:space="preserve"> ci-après concernant l’incidence sur le budget de l’UE.</w:t>
      </w:r>
    </w:p>
    <w:p>
      <w:pPr>
        <w:spacing w:after="0"/>
        <w:jc w:val="both"/>
        <w:rPr>
          <w:rFonts w:ascii="Verdana" w:hAnsi="Verdana" w:cs="Arial"/>
          <w:b/>
          <w:bCs/>
          <w:i/>
          <w:noProof/>
          <w:sz w:val="18"/>
        </w:rPr>
      </w:pPr>
      <w:r>
        <w:rPr>
          <w:rFonts w:ascii="Verdana" w:hAnsi="Verdana"/>
          <w:b/>
          <w:i/>
          <w:noProof/>
          <w:sz w:val="18"/>
        </w:rPr>
        <w:t>Tableau 3.2.4: Recouvrements confirmés 2009-2015</w:t>
      </w:r>
    </w:p>
    <w:tbl>
      <w:tblPr>
        <w:tblW w:w="0" w:type="auto"/>
        <w:tblInd w:w="108" w:type="dxa"/>
        <w:tblLayout w:type="fixed"/>
        <w:tblLook w:val="04A0" w:firstRow="1" w:lastRow="0" w:firstColumn="1" w:lastColumn="0" w:noHBand="0" w:noVBand="1"/>
      </w:tblPr>
      <w:tblGrid>
        <w:gridCol w:w="1985"/>
        <w:gridCol w:w="850"/>
        <w:gridCol w:w="851"/>
        <w:gridCol w:w="850"/>
        <w:gridCol w:w="851"/>
        <w:gridCol w:w="850"/>
        <w:gridCol w:w="851"/>
        <w:gridCol w:w="838"/>
        <w:gridCol w:w="993"/>
      </w:tblGrid>
      <w:tr>
        <w:trPr>
          <w:trHeight w:val="270"/>
        </w:trPr>
        <w:tc>
          <w:tcPr>
            <w:tcW w:w="8919" w:type="dxa"/>
            <w:gridSpan w:val="9"/>
            <w:tcBorders>
              <w:top w:val="nil"/>
              <w:left w:val="nil"/>
              <w:bottom w:val="single" w:sz="8" w:space="0" w:color="auto"/>
              <w:right w:val="nil"/>
            </w:tcBorders>
            <w:shd w:val="clear" w:color="auto" w:fill="auto"/>
            <w:noWrap/>
            <w:vAlign w:val="center"/>
            <w:hideMark/>
          </w:tcPr>
          <w:p>
            <w:pPr>
              <w:spacing w:after="0" w:line="240" w:lineRule="auto"/>
              <w:jc w:val="right"/>
              <w:rPr>
                <w:rFonts w:ascii="Verdana" w:eastAsia="Times New Roman" w:hAnsi="Verdana"/>
                <w:i/>
                <w:iCs/>
                <w:noProof/>
                <w:color w:val="000000"/>
                <w:sz w:val="16"/>
                <w:szCs w:val="16"/>
              </w:rPr>
            </w:pPr>
            <w:bookmarkStart w:id="56" w:name="_Toc365022341"/>
            <w:r>
              <w:rPr>
                <w:rFonts w:ascii="Verdana" w:hAnsi="Verdana"/>
                <w:i/>
                <w:noProof/>
                <w:color w:val="000000"/>
                <w:sz w:val="16"/>
              </w:rPr>
              <w:t>En Mio EUR</w:t>
            </w:r>
          </w:p>
        </w:tc>
      </w:tr>
      <w:tr>
        <w:trPr>
          <w:trHeight w:val="255"/>
        </w:trPr>
        <w:tc>
          <w:tcPr>
            <w:tcW w:w="1985" w:type="dxa"/>
            <w:tcBorders>
              <w:top w:val="single" w:sz="8" w:space="0" w:color="000000"/>
              <w:left w:val="single" w:sz="8" w:space="0" w:color="000000"/>
              <w:bottom w:val="nil"/>
              <w:right w:val="single" w:sz="8" w:space="0" w:color="000000"/>
            </w:tcBorders>
            <w:shd w:val="clear" w:color="000000" w:fill="99CCFF"/>
            <w:noWrap/>
            <w:vAlign w:val="center"/>
            <w:hideMark/>
          </w:tcPr>
          <w:p>
            <w:pPr>
              <w:spacing w:after="0" w:line="240" w:lineRule="auto"/>
              <w:jc w:val="both"/>
              <w:rPr>
                <w:rFonts w:ascii="Verdana" w:eastAsia="Times New Roman" w:hAnsi="Verdana"/>
                <w:b/>
                <w:bCs/>
                <w:noProof/>
                <w:color w:val="000000"/>
                <w:sz w:val="16"/>
                <w:szCs w:val="16"/>
              </w:rPr>
            </w:pPr>
            <w:r>
              <w:rPr>
                <w:rFonts w:ascii="Verdana" w:hAnsi="Verdana"/>
                <w:b/>
                <w:noProof/>
                <w:color w:val="000000"/>
                <w:sz w:val="16"/>
              </w:rPr>
              <w:t> </w:t>
            </w:r>
          </w:p>
        </w:tc>
        <w:tc>
          <w:tcPr>
            <w:tcW w:w="5103" w:type="dxa"/>
            <w:gridSpan w:val="6"/>
            <w:vMerge w:val="restart"/>
            <w:tcBorders>
              <w:top w:val="single" w:sz="8" w:space="0" w:color="auto"/>
              <w:left w:val="single" w:sz="8" w:space="0" w:color="000000"/>
              <w:bottom w:val="single" w:sz="8" w:space="0" w:color="000000"/>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Années</w:t>
            </w:r>
          </w:p>
        </w:tc>
        <w:tc>
          <w:tcPr>
            <w:tcW w:w="838" w:type="dxa"/>
            <w:vMerge w:val="restart"/>
            <w:tcBorders>
              <w:top w:val="nil"/>
              <w:bottom w:val="single" w:sz="8" w:space="0" w:color="000000"/>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p>
        </w:tc>
        <w:tc>
          <w:tcPr>
            <w:tcW w:w="993" w:type="dxa"/>
            <w:vMerge w:val="restart"/>
            <w:tcBorders>
              <w:top w:val="nil"/>
              <w:left w:val="nil"/>
              <w:right w:val="single" w:sz="8" w:space="0" w:color="auto"/>
            </w:tcBorders>
            <w:shd w:val="clear" w:color="000000" w:fill="99CCFF"/>
            <w:vAlign w:val="center"/>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Total</w:t>
            </w:r>
          </w:p>
        </w:tc>
      </w:tr>
      <w:tr>
        <w:trPr>
          <w:trHeight w:val="270"/>
        </w:trPr>
        <w:tc>
          <w:tcPr>
            <w:tcW w:w="1985" w:type="dxa"/>
            <w:tcBorders>
              <w:top w:val="nil"/>
              <w:left w:val="single" w:sz="8" w:space="0" w:color="000000"/>
              <w:right w:val="single" w:sz="8" w:space="0" w:color="000000"/>
            </w:tcBorders>
            <w:shd w:val="clear" w:color="000000" w:fill="99CCFF"/>
            <w:noWrap/>
            <w:vAlign w:val="center"/>
            <w:hideMark/>
          </w:tcPr>
          <w:p>
            <w:pPr>
              <w:spacing w:after="0" w:line="240" w:lineRule="auto"/>
              <w:jc w:val="both"/>
              <w:rPr>
                <w:rFonts w:ascii="Verdana" w:eastAsia="Times New Roman" w:hAnsi="Verdana"/>
                <w:b/>
                <w:bCs/>
                <w:noProof/>
                <w:color w:val="000000"/>
                <w:sz w:val="16"/>
                <w:szCs w:val="16"/>
              </w:rPr>
            </w:pPr>
            <w:r>
              <w:rPr>
                <w:rFonts w:ascii="Verdana" w:hAnsi="Verdana"/>
                <w:b/>
                <w:noProof/>
                <w:color w:val="000000"/>
                <w:sz w:val="16"/>
              </w:rPr>
              <w:t>Recouvrements</w:t>
            </w:r>
          </w:p>
        </w:tc>
        <w:tc>
          <w:tcPr>
            <w:tcW w:w="5103" w:type="dxa"/>
            <w:gridSpan w:val="6"/>
            <w:vMerge/>
            <w:tcBorders>
              <w:top w:val="single" w:sz="8" w:space="0" w:color="000000"/>
              <w:left w:val="single" w:sz="8" w:space="0" w:color="auto"/>
              <w:bottom w:val="single" w:sz="8" w:space="0" w:color="000000"/>
            </w:tcBorders>
            <w:vAlign w:val="center"/>
            <w:hideMark/>
          </w:tcPr>
          <w:p>
            <w:pPr>
              <w:spacing w:after="0" w:line="240" w:lineRule="auto"/>
              <w:rPr>
                <w:rFonts w:ascii="Verdana" w:eastAsia="Times New Roman" w:hAnsi="Verdana"/>
                <w:b/>
                <w:bCs/>
                <w:noProof/>
                <w:color w:val="000000"/>
                <w:sz w:val="16"/>
                <w:szCs w:val="16"/>
              </w:rPr>
            </w:pPr>
          </w:p>
        </w:tc>
        <w:tc>
          <w:tcPr>
            <w:tcW w:w="838" w:type="dxa"/>
            <w:vMerge/>
            <w:tcBorders>
              <w:top w:val="single" w:sz="8" w:space="0" w:color="000000"/>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z w:val="16"/>
                <w:szCs w:val="16"/>
              </w:rPr>
            </w:pPr>
          </w:p>
        </w:tc>
        <w:tc>
          <w:tcPr>
            <w:tcW w:w="993" w:type="dxa"/>
            <w:vMerge/>
            <w:tcBorders>
              <w:left w:val="nil"/>
              <w:right w:val="single" w:sz="8" w:space="0" w:color="auto"/>
            </w:tcBorders>
            <w:vAlign w:val="center"/>
          </w:tcPr>
          <w:p>
            <w:pPr>
              <w:spacing w:after="0" w:line="240" w:lineRule="auto"/>
              <w:rPr>
                <w:rFonts w:ascii="Verdana" w:eastAsia="Times New Roman" w:hAnsi="Verdana"/>
                <w:b/>
                <w:bCs/>
                <w:noProof/>
                <w:color w:val="000000"/>
                <w:sz w:val="16"/>
                <w:szCs w:val="16"/>
              </w:rPr>
            </w:pPr>
          </w:p>
        </w:tc>
      </w:tr>
      <w:tr>
        <w:trPr>
          <w:trHeight w:val="270"/>
        </w:trPr>
        <w:tc>
          <w:tcPr>
            <w:tcW w:w="1985" w:type="dxa"/>
            <w:tcBorders>
              <w:top w:val="nil"/>
              <w:left w:val="single" w:sz="8" w:space="0" w:color="000000"/>
              <w:bottom w:val="single" w:sz="8" w:space="0" w:color="000000"/>
              <w:right w:val="single" w:sz="8" w:space="0" w:color="000000"/>
            </w:tcBorders>
            <w:shd w:val="clear" w:color="000000" w:fill="99CCFF"/>
            <w:noWrap/>
            <w:vAlign w:val="center"/>
            <w:hideMark/>
          </w:tcPr>
          <w:p>
            <w:pPr>
              <w:spacing w:after="0" w:line="240" w:lineRule="auto"/>
              <w:jc w:val="both"/>
              <w:rPr>
                <w:rFonts w:ascii="Verdana" w:eastAsia="Times New Roman" w:hAnsi="Verdana"/>
                <w:noProof/>
                <w:color w:val="000000"/>
                <w:sz w:val="20"/>
                <w:szCs w:val="20"/>
              </w:rPr>
            </w:pPr>
            <w:r>
              <w:rPr>
                <w:rFonts w:ascii="Verdana" w:hAnsi="Verdana"/>
                <w:noProof/>
                <w:color w:val="000000"/>
                <w:sz w:val="20"/>
              </w:rPr>
              <w:t> </w:t>
            </w:r>
          </w:p>
        </w:tc>
        <w:tc>
          <w:tcPr>
            <w:tcW w:w="850" w:type="dxa"/>
            <w:tcBorders>
              <w:top w:val="single" w:sz="8" w:space="0" w:color="000000"/>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2009</w:t>
            </w:r>
          </w:p>
        </w:tc>
        <w:tc>
          <w:tcPr>
            <w:tcW w:w="851" w:type="dxa"/>
            <w:tcBorders>
              <w:top w:val="single" w:sz="8" w:space="0" w:color="000000"/>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2010</w:t>
            </w:r>
          </w:p>
        </w:tc>
        <w:tc>
          <w:tcPr>
            <w:tcW w:w="850" w:type="dxa"/>
            <w:tcBorders>
              <w:top w:val="single" w:sz="8" w:space="0" w:color="000000"/>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2011</w:t>
            </w:r>
          </w:p>
        </w:tc>
        <w:tc>
          <w:tcPr>
            <w:tcW w:w="851" w:type="dxa"/>
            <w:tcBorders>
              <w:top w:val="single" w:sz="8" w:space="0" w:color="000000"/>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2012</w:t>
            </w:r>
          </w:p>
        </w:tc>
        <w:tc>
          <w:tcPr>
            <w:tcW w:w="850" w:type="dxa"/>
            <w:tcBorders>
              <w:top w:val="single" w:sz="8" w:space="0" w:color="000000"/>
              <w:left w:val="nil"/>
              <w:bottom w:val="single" w:sz="8" w:space="0" w:color="auto"/>
              <w:right w:val="single" w:sz="8" w:space="0" w:color="000000"/>
            </w:tcBorders>
            <w:shd w:val="clear" w:color="000000" w:fill="99CCFF"/>
            <w:vAlign w:val="center"/>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2013</w:t>
            </w:r>
          </w:p>
        </w:tc>
        <w:tc>
          <w:tcPr>
            <w:tcW w:w="851" w:type="dxa"/>
            <w:tcBorders>
              <w:top w:val="single" w:sz="8" w:space="0" w:color="000000"/>
              <w:left w:val="single" w:sz="8" w:space="0" w:color="000000"/>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2014</w:t>
            </w:r>
          </w:p>
        </w:tc>
        <w:tc>
          <w:tcPr>
            <w:tcW w:w="838" w:type="dxa"/>
            <w:tcBorders>
              <w:top w:val="single" w:sz="8" w:space="0" w:color="000000"/>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2015</w:t>
            </w:r>
          </w:p>
        </w:tc>
        <w:tc>
          <w:tcPr>
            <w:tcW w:w="993" w:type="dxa"/>
            <w:vMerge/>
            <w:tcBorders>
              <w:left w:val="nil"/>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z w:val="16"/>
                <w:szCs w:val="16"/>
              </w:rPr>
            </w:pPr>
          </w:p>
        </w:tc>
      </w:tr>
      <w:tr>
        <w:trPr>
          <w:trHeight w:val="255"/>
        </w:trPr>
        <w:tc>
          <w:tcPr>
            <w:tcW w:w="1985" w:type="dxa"/>
            <w:tcBorders>
              <w:top w:val="single" w:sz="8" w:space="0" w:color="000000"/>
              <w:left w:val="single" w:sz="8" w:space="0" w:color="000000"/>
              <w:bottom w:val="nil"/>
              <w:right w:val="single" w:sz="8" w:space="0" w:color="000000"/>
            </w:tcBorders>
            <w:shd w:val="clear" w:color="auto" w:fill="auto"/>
            <w:noWrap/>
            <w:vAlign w:val="center"/>
            <w:hideMark/>
          </w:tcPr>
          <w:p>
            <w:pPr>
              <w:spacing w:after="0" w:line="240" w:lineRule="auto"/>
              <w:contextualSpacing/>
              <w:rPr>
                <w:rFonts w:ascii="Verdana" w:eastAsia="Times New Roman" w:hAnsi="Verdana"/>
                <w:noProof/>
                <w:color w:val="000000"/>
                <w:sz w:val="16"/>
                <w:szCs w:val="16"/>
              </w:rPr>
            </w:pPr>
            <w:r>
              <w:rPr>
                <w:rFonts w:ascii="Verdana" w:hAnsi="Verdana"/>
                <w:noProof/>
                <w:color w:val="000000"/>
                <w:sz w:val="16"/>
              </w:rPr>
              <w:t>Agriculture:</w:t>
            </w:r>
          </w:p>
        </w:tc>
        <w:tc>
          <w:tcPr>
            <w:tcW w:w="850" w:type="dxa"/>
            <w:tcBorders>
              <w:top w:val="nil"/>
              <w:left w:val="nil"/>
              <w:bottom w:val="nil"/>
              <w:right w:val="single" w:sz="8" w:space="0" w:color="auto"/>
            </w:tcBorders>
            <w:shd w:val="clear" w:color="auto" w:fill="auto"/>
            <w:vAlign w:val="center"/>
            <w:hideMark/>
          </w:tcPr>
          <w:p>
            <w:pPr>
              <w:spacing w:after="0" w:line="240" w:lineRule="auto"/>
              <w:contextualSpacing/>
              <w:jc w:val="center"/>
              <w:rPr>
                <w:rFonts w:ascii="Verdana" w:eastAsia="Times New Roman" w:hAnsi="Verdana"/>
                <w:noProof/>
                <w:color w:val="000000"/>
                <w:sz w:val="16"/>
                <w:szCs w:val="16"/>
              </w:rPr>
            </w:pPr>
            <w:r>
              <w:rPr>
                <w:rFonts w:ascii="Verdana" w:hAnsi="Verdana"/>
                <w:noProof/>
                <w:color w:val="000000"/>
                <w:sz w:val="16"/>
              </w:rPr>
              <w:t> </w:t>
            </w:r>
          </w:p>
        </w:tc>
        <w:tc>
          <w:tcPr>
            <w:tcW w:w="851" w:type="dxa"/>
            <w:tcBorders>
              <w:top w:val="nil"/>
              <w:left w:val="nil"/>
              <w:bottom w:val="nil"/>
              <w:right w:val="single" w:sz="8" w:space="0" w:color="auto"/>
            </w:tcBorders>
            <w:shd w:val="clear" w:color="auto" w:fill="auto"/>
            <w:noWrap/>
            <w:vAlign w:val="center"/>
            <w:hideMark/>
          </w:tcPr>
          <w:p>
            <w:pPr>
              <w:spacing w:after="0" w:line="240" w:lineRule="auto"/>
              <w:contextualSpacing/>
              <w:jc w:val="center"/>
              <w:rPr>
                <w:rFonts w:ascii="Verdana" w:eastAsia="Times New Roman" w:hAnsi="Verdana"/>
                <w:noProof/>
                <w:color w:val="000000"/>
                <w:sz w:val="16"/>
                <w:szCs w:val="16"/>
              </w:rPr>
            </w:pPr>
            <w:r>
              <w:rPr>
                <w:rFonts w:ascii="Verdana" w:hAnsi="Verdana"/>
                <w:noProof/>
                <w:color w:val="000000"/>
                <w:sz w:val="16"/>
              </w:rPr>
              <w:t> </w:t>
            </w:r>
          </w:p>
        </w:tc>
        <w:tc>
          <w:tcPr>
            <w:tcW w:w="850" w:type="dxa"/>
            <w:tcBorders>
              <w:top w:val="nil"/>
              <w:left w:val="nil"/>
              <w:bottom w:val="nil"/>
              <w:right w:val="single" w:sz="8" w:space="0" w:color="auto"/>
            </w:tcBorders>
            <w:shd w:val="clear" w:color="auto" w:fill="auto"/>
            <w:noWrap/>
            <w:vAlign w:val="center"/>
            <w:hideMark/>
          </w:tcPr>
          <w:p>
            <w:pPr>
              <w:spacing w:after="0" w:line="240" w:lineRule="auto"/>
              <w:contextualSpacing/>
              <w:jc w:val="center"/>
              <w:rPr>
                <w:rFonts w:ascii="Verdana" w:eastAsia="Times New Roman" w:hAnsi="Verdana"/>
                <w:noProof/>
                <w:color w:val="000000"/>
                <w:sz w:val="16"/>
                <w:szCs w:val="16"/>
              </w:rPr>
            </w:pPr>
            <w:r>
              <w:rPr>
                <w:rFonts w:ascii="Verdana" w:hAnsi="Verdana"/>
                <w:noProof/>
                <w:color w:val="000000"/>
                <w:sz w:val="16"/>
              </w:rPr>
              <w:t> </w:t>
            </w:r>
          </w:p>
        </w:tc>
        <w:tc>
          <w:tcPr>
            <w:tcW w:w="851" w:type="dxa"/>
            <w:tcBorders>
              <w:top w:val="nil"/>
              <w:left w:val="nil"/>
              <w:bottom w:val="nil"/>
              <w:right w:val="single" w:sz="8" w:space="0" w:color="auto"/>
            </w:tcBorders>
            <w:shd w:val="clear" w:color="auto" w:fill="auto"/>
            <w:noWrap/>
            <w:vAlign w:val="center"/>
            <w:hideMark/>
          </w:tcPr>
          <w:p>
            <w:pPr>
              <w:spacing w:after="0" w:line="240" w:lineRule="auto"/>
              <w:contextualSpacing/>
              <w:jc w:val="center"/>
              <w:rPr>
                <w:rFonts w:ascii="Verdana" w:eastAsia="Times New Roman" w:hAnsi="Verdana"/>
                <w:noProof/>
                <w:color w:val="000000"/>
                <w:sz w:val="16"/>
                <w:szCs w:val="16"/>
              </w:rPr>
            </w:pPr>
            <w:r>
              <w:rPr>
                <w:rFonts w:ascii="Verdana" w:hAnsi="Verdana"/>
                <w:noProof/>
                <w:color w:val="000000"/>
                <w:sz w:val="16"/>
              </w:rPr>
              <w:t> </w:t>
            </w:r>
          </w:p>
        </w:tc>
        <w:tc>
          <w:tcPr>
            <w:tcW w:w="850" w:type="dxa"/>
            <w:tcBorders>
              <w:top w:val="nil"/>
              <w:left w:val="nil"/>
              <w:bottom w:val="nil"/>
              <w:right w:val="single" w:sz="8" w:space="0" w:color="000000"/>
            </w:tcBorders>
            <w:vAlign w:val="center"/>
          </w:tcPr>
          <w:p>
            <w:pPr>
              <w:spacing w:after="0" w:line="240" w:lineRule="auto"/>
              <w:contextualSpacing/>
              <w:jc w:val="center"/>
              <w:rPr>
                <w:rFonts w:ascii="Verdana" w:eastAsia="Times New Roman" w:hAnsi="Verdana"/>
                <w:noProof/>
                <w:color w:val="000000"/>
                <w:sz w:val="16"/>
                <w:szCs w:val="16"/>
              </w:rPr>
            </w:pPr>
            <w:r>
              <w:rPr>
                <w:rFonts w:ascii="Verdana" w:hAnsi="Verdana"/>
                <w:noProof/>
                <w:color w:val="000000"/>
                <w:sz w:val="16"/>
              </w:rPr>
              <w:t> </w:t>
            </w:r>
          </w:p>
        </w:tc>
        <w:tc>
          <w:tcPr>
            <w:tcW w:w="851" w:type="dxa"/>
            <w:tcBorders>
              <w:top w:val="nil"/>
              <w:left w:val="single" w:sz="8" w:space="0" w:color="000000"/>
              <w:bottom w:val="nil"/>
              <w:right w:val="single" w:sz="8" w:space="0" w:color="auto"/>
            </w:tcBorders>
            <w:shd w:val="clear" w:color="auto" w:fill="auto"/>
            <w:noWrap/>
            <w:vAlign w:val="center"/>
            <w:hideMark/>
          </w:tcPr>
          <w:p>
            <w:pPr>
              <w:spacing w:after="0" w:line="240" w:lineRule="auto"/>
              <w:contextualSpacing/>
              <w:jc w:val="center"/>
              <w:rPr>
                <w:rFonts w:ascii="Verdana" w:eastAsia="Times New Roman" w:hAnsi="Verdana"/>
                <w:noProof/>
                <w:color w:val="000000"/>
                <w:sz w:val="16"/>
                <w:szCs w:val="16"/>
              </w:rPr>
            </w:pPr>
            <w:r>
              <w:rPr>
                <w:rFonts w:ascii="Verdana" w:hAnsi="Verdana"/>
                <w:noProof/>
                <w:color w:val="000000"/>
                <w:sz w:val="16"/>
              </w:rPr>
              <w:t> </w:t>
            </w:r>
          </w:p>
        </w:tc>
        <w:tc>
          <w:tcPr>
            <w:tcW w:w="838" w:type="dxa"/>
            <w:tcBorders>
              <w:top w:val="nil"/>
              <w:left w:val="nil"/>
              <w:bottom w:val="nil"/>
              <w:right w:val="single" w:sz="8" w:space="0" w:color="auto"/>
            </w:tcBorders>
            <w:shd w:val="clear" w:color="auto" w:fill="auto"/>
            <w:noWrap/>
            <w:vAlign w:val="center"/>
            <w:hideMark/>
          </w:tcPr>
          <w:p>
            <w:pPr>
              <w:spacing w:after="0" w:line="240" w:lineRule="auto"/>
              <w:contextualSpacing/>
              <w:jc w:val="center"/>
              <w:rPr>
                <w:rFonts w:ascii="Verdana" w:eastAsia="Times New Roman" w:hAnsi="Verdana"/>
                <w:noProof/>
                <w:color w:val="000000"/>
                <w:sz w:val="16"/>
                <w:szCs w:val="16"/>
              </w:rPr>
            </w:pPr>
            <w:r>
              <w:rPr>
                <w:rFonts w:ascii="Verdana" w:hAnsi="Verdana"/>
                <w:noProof/>
                <w:color w:val="000000"/>
                <w:sz w:val="16"/>
              </w:rPr>
              <w:t> </w:t>
            </w:r>
          </w:p>
        </w:tc>
        <w:tc>
          <w:tcPr>
            <w:tcW w:w="993" w:type="dxa"/>
            <w:tcBorders>
              <w:top w:val="nil"/>
              <w:left w:val="nil"/>
              <w:bottom w:val="nil"/>
              <w:right w:val="single" w:sz="8" w:space="0" w:color="auto"/>
            </w:tcBorders>
            <w:shd w:val="clear" w:color="auto" w:fill="auto"/>
            <w:noWrap/>
            <w:vAlign w:val="center"/>
            <w:hideMark/>
          </w:tcPr>
          <w:p>
            <w:pPr>
              <w:spacing w:after="0" w:line="240" w:lineRule="auto"/>
              <w:contextualSpacing/>
              <w:jc w:val="center"/>
              <w:rPr>
                <w:rFonts w:ascii="Verdana" w:eastAsia="Times New Roman" w:hAnsi="Verdana"/>
                <w:noProof/>
                <w:color w:val="000000"/>
                <w:sz w:val="16"/>
                <w:szCs w:val="16"/>
              </w:rPr>
            </w:pPr>
            <w:r>
              <w:rPr>
                <w:rFonts w:ascii="Verdana" w:hAnsi="Verdana"/>
                <w:noProof/>
                <w:color w:val="000000"/>
                <w:sz w:val="16"/>
              </w:rPr>
              <w:t> </w:t>
            </w:r>
          </w:p>
        </w:tc>
      </w:tr>
      <w:tr>
        <w:trPr>
          <w:trHeight w:val="123"/>
        </w:trPr>
        <w:tc>
          <w:tcPr>
            <w:tcW w:w="1985" w:type="dxa"/>
            <w:tcBorders>
              <w:top w:val="nil"/>
              <w:left w:val="single" w:sz="8" w:space="0" w:color="000000"/>
              <w:bottom w:val="nil"/>
              <w:right w:val="single" w:sz="8" w:space="0" w:color="000000"/>
            </w:tcBorders>
            <w:shd w:val="clear" w:color="auto" w:fill="auto"/>
            <w:noWrap/>
            <w:vAlign w:val="center"/>
            <w:hideMark/>
          </w:tcPr>
          <w:p>
            <w:pPr>
              <w:spacing w:after="0" w:line="240" w:lineRule="auto"/>
              <w:ind w:left="176"/>
              <w:contextualSpacing/>
              <w:rPr>
                <w:rFonts w:ascii="Verdana" w:eastAsia="Times New Roman" w:hAnsi="Verdana"/>
                <w:i/>
                <w:iCs/>
                <w:noProof/>
                <w:color w:val="000000"/>
                <w:sz w:val="16"/>
                <w:szCs w:val="16"/>
              </w:rPr>
            </w:pPr>
            <w:r>
              <w:rPr>
                <w:rFonts w:ascii="Verdana" w:hAnsi="Verdana"/>
                <w:i/>
                <w:noProof/>
                <w:color w:val="000000"/>
                <w:sz w:val="16"/>
              </w:rPr>
              <w:t>FEAGA</w:t>
            </w:r>
          </w:p>
        </w:tc>
        <w:tc>
          <w:tcPr>
            <w:tcW w:w="850" w:type="dxa"/>
            <w:tcBorders>
              <w:top w:val="nil"/>
              <w:left w:val="nil"/>
              <w:bottom w:val="nil"/>
              <w:right w:val="single" w:sz="8" w:space="0" w:color="auto"/>
            </w:tcBorders>
            <w:shd w:val="clear" w:color="auto" w:fill="auto"/>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163</w:t>
            </w:r>
          </w:p>
        </w:tc>
        <w:tc>
          <w:tcPr>
            <w:tcW w:w="851" w:type="dxa"/>
            <w:tcBorders>
              <w:top w:val="nil"/>
              <w:left w:val="nil"/>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178</w:t>
            </w:r>
          </w:p>
        </w:tc>
        <w:tc>
          <w:tcPr>
            <w:tcW w:w="850" w:type="dxa"/>
            <w:tcBorders>
              <w:top w:val="nil"/>
              <w:left w:val="nil"/>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174</w:t>
            </w:r>
          </w:p>
        </w:tc>
        <w:tc>
          <w:tcPr>
            <w:tcW w:w="851" w:type="dxa"/>
            <w:tcBorders>
              <w:top w:val="nil"/>
              <w:left w:val="nil"/>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162</w:t>
            </w:r>
          </w:p>
        </w:tc>
        <w:tc>
          <w:tcPr>
            <w:tcW w:w="850" w:type="dxa"/>
            <w:tcBorders>
              <w:top w:val="nil"/>
              <w:left w:val="nil"/>
              <w:bottom w:val="nil"/>
              <w:right w:val="single" w:sz="8" w:space="0" w:color="000000"/>
            </w:tcBorders>
            <w:vAlign w:val="center"/>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227</w:t>
            </w:r>
          </w:p>
        </w:tc>
        <w:tc>
          <w:tcPr>
            <w:tcW w:w="851" w:type="dxa"/>
            <w:tcBorders>
              <w:top w:val="nil"/>
              <w:left w:val="single" w:sz="8" w:space="0" w:color="000000"/>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213</w:t>
            </w:r>
          </w:p>
        </w:tc>
        <w:tc>
          <w:tcPr>
            <w:tcW w:w="838" w:type="dxa"/>
            <w:tcBorders>
              <w:top w:val="nil"/>
              <w:left w:val="nil"/>
              <w:bottom w:val="nil"/>
              <w:right w:val="single" w:sz="8" w:space="0" w:color="auto"/>
            </w:tcBorders>
            <w:shd w:val="clear" w:color="auto" w:fill="auto"/>
            <w:noWrap/>
            <w:vAlign w:val="center"/>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117</w:t>
            </w:r>
          </w:p>
        </w:tc>
        <w:tc>
          <w:tcPr>
            <w:tcW w:w="993" w:type="dxa"/>
            <w:tcBorders>
              <w:top w:val="nil"/>
              <w:left w:val="nil"/>
              <w:bottom w:val="nil"/>
              <w:right w:val="single" w:sz="8" w:space="0" w:color="auto"/>
            </w:tcBorders>
            <w:shd w:val="clear" w:color="auto" w:fill="auto"/>
            <w:noWrap/>
            <w:vAlign w:val="center"/>
          </w:tcPr>
          <w:p>
            <w:pPr>
              <w:spacing w:after="0" w:line="240" w:lineRule="auto"/>
              <w:contextualSpacing/>
              <w:jc w:val="right"/>
              <w:rPr>
                <w:rFonts w:ascii="Verdana" w:eastAsia="Times New Roman" w:hAnsi="Verdana"/>
                <w:b/>
                <w:bCs/>
                <w:noProof/>
                <w:color w:val="000000"/>
                <w:sz w:val="16"/>
                <w:szCs w:val="16"/>
              </w:rPr>
            </w:pPr>
            <w:r>
              <w:rPr>
                <w:rFonts w:ascii="Verdana" w:hAnsi="Verdana"/>
                <w:b/>
                <w:noProof/>
                <w:color w:val="000000"/>
                <w:sz w:val="16"/>
              </w:rPr>
              <w:t>1 234</w:t>
            </w:r>
          </w:p>
        </w:tc>
      </w:tr>
      <w:tr>
        <w:trPr>
          <w:trHeight w:val="212"/>
        </w:trPr>
        <w:tc>
          <w:tcPr>
            <w:tcW w:w="1985" w:type="dxa"/>
            <w:tcBorders>
              <w:top w:val="nil"/>
              <w:left w:val="single" w:sz="8" w:space="0" w:color="000000"/>
              <w:bottom w:val="nil"/>
              <w:right w:val="single" w:sz="8" w:space="0" w:color="000000"/>
            </w:tcBorders>
            <w:shd w:val="clear" w:color="auto" w:fill="auto"/>
            <w:noWrap/>
            <w:vAlign w:val="center"/>
            <w:hideMark/>
          </w:tcPr>
          <w:p>
            <w:pPr>
              <w:spacing w:after="0" w:line="240" w:lineRule="auto"/>
              <w:ind w:left="176"/>
              <w:contextualSpacing/>
              <w:rPr>
                <w:rFonts w:ascii="Verdana" w:eastAsia="Times New Roman" w:hAnsi="Verdana"/>
                <w:i/>
                <w:iCs/>
                <w:noProof/>
                <w:color w:val="000000"/>
                <w:sz w:val="16"/>
                <w:szCs w:val="16"/>
              </w:rPr>
            </w:pPr>
            <w:r>
              <w:rPr>
                <w:rFonts w:ascii="Verdana" w:hAnsi="Verdana"/>
                <w:i/>
                <w:noProof/>
                <w:color w:val="000000"/>
                <w:sz w:val="16"/>
              </w:rPr>
              <w:t>Développement rural</w:t>
            </w:r>
          </w:p>
        </w:tc>
        <w:tc>
          <w:tcPr>
            <w:tcW w:w="850" w:type="dxa"/>
            <w:tcBorders>
              <w:top w:val="nil"/>
              <w:left w:val="nil"/>
              <w:bottom w:val="nil"/>
              <w:right w:val="single" w:sz="8" w:space="0" w:color="auto"/>
            </w:tcBorders>
            <w:shd w:val="clear" w:color="auto" w:fill="auto"/>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25</w:t>
            </w:r>
          </w:p>
        </w:tc>
        <w:tc>
          <w:tcPr>
            <w:tcW w:w="851" w:type="dxa"/>
            <w:tcBorders>
              <w:top w:val="nil"/>
              <w:left w:val="nil"/>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114</w:t>
            </w:r>
          </w:p>
        </w:tc>
        <w:tc>
          <w:tcPr>
            <w:tcW w:w="850" w:type="dxa"/>
            <w:tcBorders>
              <w:top w:val="nil"/>
              <w:left w:val="nil"/>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161</w:t>
            </w:r>
          </w:p>
        </w:tc>
        <w:tc>
          <w:tcPr>
            <w:tcW w:w="851" w:type="dxa"/>
            <w:tcBorders>
              <w:top w:val="nil"/>
              <w:left w:val="nil"/>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145</w:t>
            </w:r>
          </w:p>
        </w:tc>
        <w:tc>
          <w:tcPr>
            <w:tcW w:w="850" w:type="dxa"/>
            <w:tcBorders>
              <w:top w:val="nil"/>
              <w:left w:val="nil"/>
              <w:bottom w:val="nil"/>
              <w:right w:val="single" w:sz="8" w:space="0" w:color="000000"/>
            </w:tcBorders>
            <w:vAlign w:val="center"/>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139</w:t>
            </w:r>
          </w:p>
        </w:tc>
        <w:tc>
          <w:tcPr>
            <w:tcW w:w="851" w:type="dxa"/>
            <w:tcBorders>
              <w:top w:val="nil"/>
              <w:left w:val="single" w:sz="8" w:space="0" w:color="000000"/>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165</w:t>
            </w:r>
          </w:p>
        </w:tc>
        <w:tc>
          <w:tcPr>
            <w:tcW w:w="838" w:type="dxa"/>
            <w:tcBorders>
              <w:top w:val="nil"/>
              <w:left w:val="nil"/>
              <w:bottom w:val="nil"/>
              <w:right w:val="single" w:sz="8" w:space="0" w:color="auto"/>
            </w:tcBorders>
            <w:shd w:val="clear" w:color="auto" w:fill="auto"/>
            <w:noWrap/>
            <w:vAlign w:val="center"/>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206</w:t>
            </w:r>
          </w:p>
        </w:tc>
        <w:tc>
          <w:tcPr>
            <w:tcW w:w="993" w:type="dxa"/>
            <w:tcBorders>
              <w:top w:val="nil"/>
              <w:left w:val="nil"/>
              <w:bottom w:val="nil"/>
              <w:right w:val="single" w:sz="8" w:space="0" w:color="auto"/>
            </w:tcBorders>
            <w:shd w:val="clear" w:color="auto" w:fill="auto"/>
            <w:noWrap/>
            <w:vAlign w:val="center"/>
          </w:tcPr>
          <w:p>
            <w:pPr>
              <w:spacing w:after="0" w:line="240" w:lineRule="auto"/>
              <w:contextualSpacing/>
              <w:jc w:val="right"/>
              <w:rPr>
                <w:rFonts w:ascii="Verdana" w:eastAsia="Times New Roman" w:hAnsi="Verdana"/>
                <w:b/>
                <w:bCs/>
                <w:noProof/>
                <w:color w:val="000000"/>
                <w:sz w:val="16"/>
                <w:szCs w:val="16"/>
              </w:rPr>
            </w:pPr>
            <w:r>
              <w:rPr>
                <w:rFonts w:ascii="Verdana" w:hAnsi="Verdana"/>
                <w:b/>
                <w:noProof/>
                <w:color w:val="000000"/>
                <w:sz w:val="16"/>
              </w:rPr>
              <w:t>956</w:t>
            </w:r>
          </w:p>
        </w:tc>
      </w:tr>
      <w:tr>
        <w:trPr>
          <w:trHeight w:val="255"/>
        </w:trPr>
        <w:tc>
          <w:tcPr>
            <w:tcW w:w="1985" w:type="dxa"/>
            <w:tcBorders>
              <w:top w:val="nil"/>
              <w:left w:val="single" w:sz="8" w:space="0" w:color="000000"/>
              <w:bottom w:val="nil"/>
              <w:right w:val="single" w:sz="8" w:space="0" w:color="000000"/>
            </w:tcBorders>
            <w:shd w:val="clear" w:color="auto" w:fill="auto"/>
            <w:noWrap/>
            <w:vAlign w:val="center"/>
            <w:hideMark/>
          </w:tcPr>
          <w:p>
            <w:pPr>
              <w:spacing w:after="0" w:line="240" w:lineRule="auto"/>
              <w:contextualSpacing/>
              <w:rPr>
                <w:rFonts w:ascii="Verdana" w:eastAsia="Times New Roman" w:hAnsi="Verdana"/>
                <w:noProof/>
                <w:color w:val="000000"/>
                <w:sz w:val="16"/>
                <w:szCs w:val="16"/>
              </w:rPr>
            </w:pPr>
            <w:r>
              <w:rPr>
                <w:rFonts w:ascii="Verdana" w:hAnsi="Verdana"/>
                <w:noProof/>
                <w:color w:val="000000"/>
                <w:sz w:val="16"/>
              </w:rPr>
              <w:t>Cohésion</w:t>
            </w:r>
          </w:p>
        </w:tc>
        <w:tc>
          <w:tcPr>
            <w:tcW w:w="850" w:type="dxa"/>
            <w:tcBorders>
              <w:top w:val="nil"/>
              <w:left w:val="nil"/>
              <w:bottom w:val="nil"/>
              <w:right w:val="single" w:sz="8" w:space="0" w:color="auto"/>
            </w:tcBorders>
            <w:shd w:val="clear" w:color="auto" w:fill="auto"/>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102</w:t>
            </w:r>
          </w:p>
        </w:tc>
        <w:tc>
          <w:tcPr>
            <w:tcW w:w="851" w:type="dxa"/>
            <w:tcBorders>
              <w:top w:val="nil"/>
              <w:left w:val="nil"/>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24</w:t>
            </w:r>
          </w:p>
        </w:tc>
        <w:tc>
          <w:tcPr>
            <w:tcW w:w="850" w:type="dxa"/>
            <w:tcBorders>
              <w:top w:val="nil"/>
              <w:left w:val="nil"/>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50</w:t>
            </w:r>
          </w:p>
        </w:tc>
        <w:tc>
          <w:tcPr>
            <w:tcW w:w="851" w:type="dxa"/>
            <w:tcBorders>
              <w:top w:val="nil"/>
              <w:left w:val="nil"/>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22</w:t>
            </w:r>
          </w:p>
        </w:tc>
        <w:tc>
          <w:tcPr>
            <w:tcW w:w="850" w:type="dxa"/>
            <w:tcBorders>
              <w:top w:val="nil"/>
              <w:left w:val="nil"/>
              <w:bottom w:val="nil"/>
              <w:right w:val="single" w:sz="8" w:space="0" w:color="000000"/>
            </w:tcBorders>
            <w:vAlign w:val="center"/>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83</w:t>
            </w:r>
          </w:p>
        </w:tc>
        <w:tc>
          <w:tcPr>
            <w:tcW w:w="851" w:type="dxa"/>
            <w:tcBorders>
              <w:top w:val="nil"/>
              <w:left w:val="single" w:sz="8" w:space="0" w:color="000000"/>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35</w:t>
            </w:r>
          </w:p>
        </w:tc>
        <w:tc>
          <w:tcPr>
            <w:tcW w:w="838" w:type="dxa"/>
            <w:tcBorders>
              <w:top w:val="nil"/>
              <w:left w:val="nil"/>
              <w:bottom w:val="nil"/>
              <w:right w:val="single" w:sz="8" w:space="0" w:color="auto"/>
            </w:tcBorders>
            <w:shd w:val="clear" w:color="auto" w:fill="auto"/>
            <w:noWrap/>
            <w:vAlign w:val="center"/>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5</w:t>
            </w:r>
          </w:p>
        </w:tc>
        <w:tc>
          <w:tcPr>
            <w:tcW w:w="993" w:type="dxa"/>
            <w:tcBorders>
              <w:top w:val="nil"/>
              <w:left w:val="nil"/>
              <w:bottom w:val="nil"/>
              <w:right w:val="single" w:sz="8" w:space="0" w:color="auto"/>
            </w:tcBorders>
            <w:shd w:val="clear" w:color="auto" w:fill="auto"/>
            <w:noWrap/>
            <w:vAlign w:val="center"/>
          </w:tcPr>
          <w:p>
            <w:pPr>
              <w:spacing w:after="0" w:line="240" w:lineRule="auto"/>
              <w:contextualSpacing/>
              <w:jc w:val="right"/>
              <w:rPr>
                <w:rFonts w:ascii="Verdana" w:eastAsia="Times New Roman" w:hAnsi="Verdana"/>
                <w:b/>
                <w:bCs/>
                <w:noProof/>
                <w:color w:val="000000"/>
                <w:sz w:val="16"/>
                <w:szCs w:val="16"/>
              </w:rPr>
            </w:pPr>
            <w:r>
              <w:rPr>
                <w:rFonts w:ascii="Verdana" w:hAnsi="Verdana"/>
                <w:b/>
                <w:noProof/>
                <w:color w:val="000000"/>
                <w:sz w:val="16"/>
              </w:rPr>
              <w:t>320</w:t>
            </w:r>
          </w:p>
        </w:tc>
      </w:tr>
      <w:tr>
        <w:trPr>
          <w:trHeight w:val="255"/>
        </w:trPr>
        <w:tc>
          <w:tcPr>
            <w:tcW w:w="1985" w:type="dxa"/>
            <w:tcBorders>
              <w:top w:val="nil"/>
              <w:left w:val="single" w:sz="8" w:space="0" w:color="000000"/>
              <w:bottom w:val="nil"/>
              <w:right w:val="single" w:sz="8" w:space="0" w:color="000000"/>
            </w:tcBorders>
            <w:shd w:val="clear" w:color="auto" w:fill="auto"/>
            <w:noWrap/>
            <w:vAlign w:val="center"/>
            <w:hideMark/>
          </w:tcPr>
          <w:p>
            <w:pPr>
              <w:spacing w:after="0" w:line="240" w:lineRule="auto"/>
              <w:contextualSpacing/>
              <w:rPr>
                <w:rFonts w:ascii="Verdana" w:eastAsia="Times New Roman" w:hAnsi="Verdana"/>
                <w:noProof/>
                <w:color w:val="000000"/>
                <w:sz w:val="16"/>
                <w:szCs w:val="16"/>
              </w:rPr>
            </w:pPr>
            <w:r>
              <w:rPr>
                <w:rFonts w:ascii="Verdana" w:hAnsi="Verdana"/>
                <w:noProof/>
                <w:color w:val="000000"/>
                <w:sz w:val="16"/>
              </w:rPr>
              <w:t>Domaines de politique interne</w:t>
            </w:r>
          </w:p>
        </w:tc>
        <w:tc>
          <w:tcPr>
            <w:tcW w:w="850" w:type="dxa"/>
            <w:tcBorders>
              <w:top w:val="nil"/>
              <w:left w:val="nil"/>
              <w:bottom w:val="nil"/>
              <w:right w:val="single" w:sz="8" w:space="0" w:color="auto"/>
            </w:tcBorders>
            <w:shd w:val="clear" w:color="auto" w:fill="auto"/>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100</w:t>
            </w:r>
          </w:p>
        </w:tc>
        <w:tc>
          <w:tcPr>
            <w:tcW w:w="851" w:type="dxa"/>
            <w:tcBorders>
              <w:top w:val="nil"/>
              <w:left w:val="nil"/>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188</w:t>
            </w:r>
          </w:p>
        </w:tc>
        <w:tc>
          <w:tcPr>
            <w:tcW w:w="850" w:type="dxa"/>
            <w:tcBorders>
              <w:top w:val="nil"/>
              <w:left w:val="nil"/>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270</w:t>
            </w:r>
          </w:p>
        </w:tc>
        <w:tc>
          <w:tcPr>
            <w:tcW w:w="851" w:type="dxa"/>
            <w:tcBorders>
              <w:top w:val="nil"/>
              <w:left w:val="nil"/>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252</w:t>
            </w:r>
          </w:p>
        </w:tc>
        <w:tc>
          <w:tcPr>
            <w:tcW w:w="850" w:type="dxa"/>
            <w:tcBorders>
              <w:top w:val="nil"/>
              <w:left w:val="nil"/>
              <w:bottom w:val="nil"/>
              <w:right w:val="single" w:sz="8" w:space="0" w:color="000000"/>
            </w:tcBorders>
            <w:vAlign w:val="center"/>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393</w:t>
            </w:r>
          </w:p>
        </w:tc>
        <w:tc>
          <w:tcPr>
            <w:tcW w:w="851" w:type="dxa"/>
            <w:tcBorders>
              <w:top w:val="nil"/>
              <w:left w:val="single" w:sz="8" w:space="0" w:color="000000"/>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293</w:t>
            </w:r>
          </w:p>
        </w:tc>
        <w:tc>
          <w:tcPr>
            <w:tcW w:w="838" w:type="dxa"/>
            <w:tcBorders>
              <w:top w:val="nil"/>
              <w:left w:val="nil"/>
              <w:bottom w:val="nil"/>
              <w:right w:val="single" w:sz="8" w:space="0" w:color="auto"/>
            </w:tcBorders>
            <w:shd w:val="clear" w:color="auto" w:fill="auto"/>
            <w:noWrap/>
            <w:vAlign w:val="center"/>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302</w:t>
            </w:r>
          </w:p>
        </w:tc>
        <w:tc>
          <w:tcPr>
            <w:tcW w:w="993" w:type="dxa"/>
            <w:tcBorders>
              <w:top w:val="nil"/>
              <w:left w:val="nil"/>
              <w:bottom w:val="nil"/>
              <w:right w:val="single" w:sz="8" w:space="0" w:color="auto"/>
            </w:tcBorders>
            <w:shd w:val="clear" w:color="auto" w:fill="auto"/>
            <w:noWrap/>
            <w:vAlign w:val="center"/>
          </w:tcPr>
          <w:p>
            <w:pPr>
              <w:spacing w:after="0" w:line="240" w:lineRule="auto"/>
              <w:contextualSpacing/>
              <w:jc w:val="right"/>
              <w:rPr>
                <w:rFonts w:ascii="Verdana" w:eastAsia="Times New Roman" w:hAnsi="Verdana"/>
                <w:b/>
                <w:bCs/>
                <w:noProof/>
                <w:color w:val="000000"/>
                <w:sz w:val="16"/>
                <w:szCs w:val="16"/>
              </w:rPr>
            </w:pPr>
            <w:r>
              <w:rPr>
                <w:rFonts w:ascii="Verdana" w:hAnsi="Verdana"/>
                <w:b/>
                <w:noProof/>
                <w:color w:val="000000"/>
                <w:sz w:val="16"/>
              </w:rPr>
              <w:t>1 798</w:t>
            </w:r>
          </w:p>
        </w:tc>
      </w:tr>
      <w:tr>
        <w:trPr>
          <w:trHeight w:val="253"/>
        </w:trPr>
        <w:tc>
          <w:tcPr>
            <w:tcW w:w="1985" w:type="dxa"/>
            <w:tcBorders>
              <w:top w:val="nil"/>
              <w:left w:val="single" w:sz="8" w:space="0" w:color="000000"/>
              <w:right w:val="single" w:sz="8" w:space="0" w:color="000000"/>
            </w:tcBorders>
            <w:shd w:val="clear" w:color="auto" w:fill="auto"/>
            <w:noWrap/>
            <w:vAlign w:val="center"/>
            <w:hideMark/>
          </w:tcPr>
          <w:p>
            <w:pPr>
              <w:spacing w:after="0" w:line="240" w:lineRule="auto"/>
              <w:contextualSpacing/>
              <w:rPr>
                <w:rFonts w:ascii="Verdana" w:eastAsia="Times New Roman" w:hAnsi="Verdana"/>
                <w:noProof/>
                <w:color w:val="000000"/>
                <w:sz w:val="16"/>
                <w:szCs w:val="16"/>
              </w:rPr>
            </w:pPr>
            <w:r>
              <w:rPr>
                <w:rFonts w:ascii="Verdana" w:hAnsi="Verdana"/>
                <w:noProof/>
                <w:color w:val="000000"/>
                <w:sz w:val="16"/>
              </w:rPr>
              <w:t>Domaines de politique extérieure</w:t>
            </w:r>
          </w:p>
        </w:tc>
        <w:tc>
          <w:tcPr>
            <w:tcW w:w="850" w:type="dxa"/>
            <w:tcBorders>
              <w:top w:val="nil"/>
              <w:left w:val="nil"/>
              <w:bottom w:val="nil"/>
              <w:right w:val="single" w:sz="8" w:space="0" w:color="auto"/>
            </w:tcBorders>
            <w:shd w:val="clear" w:color="auto" w:fill="auto"/>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81</w:t>
            </w:r>
          </w:p>
        </w:tc>
        <w:tc>
          <w:tcPr>
            <w:tcW w:w="851" w:type="dxa"/>
            <w:tcBorders>
              <w:top w:val="nil"/>
              <w:left w:val="nil"/>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137</w:t>
            </w:r>
          </w:p>
        </w:tc>
        <w:tc>
          <w:tcPr>
            <w:tcW w:w="850" w:type="dxa"/>
            <w:tcBorders>
              <w:top w:val="nil"/>
              <w:left w:val="nil"/>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107</w:t>
            </w:r>
          </w:p>
        </w:tc>
        <w:tc>
          <w:tcPr>
            <w:tcW w:w="851" w:type="dxa"/>
            <w:tcBorders>
              <w:top w:val="nil"/>
              <w:left w:val="nil"/>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107</w:t>
            </w:r>
          </w:p>
        </w:tc>
        <w:tc>
          <w:tcPr>
            <w:tcW w:w="850" w:type="dxa"/>
            <w:tcBorders>
              <w:top w:val="nil"/>
              <w:left w:val="nil"/>
              <w:bottom w:val="nil"/>
              <w:right w:val="single" w:sz="8" w:space="0" w:color="000000"/>
            </w:tcBorders>
            <w:vAlign w:val="center"/>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93</w:t>
            </w:r>
          </w:p>
        </w:tc>
        <w:tc>
          <w:tcPr>
            <w:tcW w:w="851" w:type="dxa"/>
            <w:tcBorders>
              <w:top w:val="nil"/>
              <w:left w:val="single" w:sz="8" w:space="0" w:color="000000"/>
              <w:bottom w:val="nil"/>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127</w:t>
            </w:r>
          </w:p>
        </w:tc>
        <w:tc>
          <w:tcPr>
            <w:tcW w:w="838" w:type="dxa"/>
            <w:tcBorders>
              <w:top w:val="nil"/>
              <w:left w:val="nil"/>
              <w:bottom w:val="nil"/>
              <w:right w:val="single" w:sz="8" w:space="0" w:color="auto"/>
            </w:tcBorders>
            <w:shd w:val="clear" w:color="auto" w:fill="auto"/>
            <w:noWrap/>
            <w:vAlign w:val="center"/>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132</w:t>
            </w:r>
          </w:p>
        </w:tc>
        <w:tc>
          <w:tcPr>
            <w:tcW w:w="993" w:type="dxa"/>
            <w:tcBorders>
              <w:top w:val="nil"/>
              <w:left w:val="nil"/>
              <w:bottom w:val="nil"/>
              <w:right w:val="single" w:sz="8" w:space="0" w:color="auto"/>
            </w:tcBorders>
            <w:shd w:val="clear" w:color="auto" w:fill="auto"/>
            <w:noWrap/>
            <w:vAlign w:val="center"/>
          </w:tcPr>
          <w:p>
            <w:pPr>
              <w:spacing w:after="0" w:line="240" w:lineRule="auto"/>
              <w:contextualSpacing/>
              <w:jc w:val="right"/>
              <w:rPr>
                <w:rFonts w:ascii="Verdana" w:eastAsia="Times New Roman" w:hAnsi="Verdana"/>
                <w:b/>
                <w:bCs/>
                <w:noProof/>
                <w:color w:val="000000"/>
                <w:sz w:val="16"/>
                <w:szCs w:val="16"/>
              </w:rPr>
            </w:pPr>
            <w:r>
              <w:rPr>
                <w:rFonts w:ascii="Verdana" w:hAnsi="Verdana"/>
                <w:b/>
                <w:noProof/>
                <w:color w:val="000000"/>
                <w:sz w:val="16"/>
              </w:rPr>
              <w:t>784</w:t>
            </w:r>
          </w:p>
        </w:tc>
      </w:tr>
      <w:tr>
        <w:trPr>
          <w:trHeight w:val="270"/>
        </w:trPr>
        <w:tc>
          <w:tcPr>
            <w:tcW w:w="1985" w:type="dxa"/>
            <w:tcBorders>
              <w:top w:val="nil"/>
              <w:left w:val="single" w:sz="8" w:space="0" w:color="000000"/>
              <w:bottom w:val="single" w:sz="8" w:space="0" w:color="000000"/>
              <w:right w:val="single" w:sz="8" w:space="0" w:color="000000"/>
            </w:tcBorders>
            <w:shd w:val="clear" w:color="auto" w:fill="auto"/>
            <w:noWrap/>
            <w:vAlign w:val="center"/>
            <w:hideMark/>
          </w:tcPr>
          <w:p>
            <w:pPr>
              <w:spacing w:after="0" w:line="240" w:lineRule="auto"/>
              <w:contextualSpacing/>
              <w:rPr>
                <w:rFonts w:ascii="Verdana" w:eastAsia="Times New Roman" w:hAnsi="Verdana"/>
                <w:noProof/>
                <w:color w:val="000000"/>
                <w:sz w:val="16"/>
                <w:szCs w:val="16"/>
              </w:rPr>
            </w:pPr>
            <w:r>
              <w:rPr>
                <w:rFonts w:ascii="Verdana" w:hAnsi="Verdana"/>
                <w:noProof/>
                <w:color w:val="000000"/>
                <w:sz w:val="16"/>
              </w:rPr>
              <w:t>Administration</w:t>
            </w:r>
          </w:p>
        </w:tc>
        <w:tc>
          <w:tcPr>
            <w:tcW w:w="850" w:type="dxa"/>
            <w:tcBorders>
              <w:top w:val="nil"/>
              <w:left w:val="nil"/>
              <w:bottom w:val="single" w:sz="8" w:space="0" w:color="auto"/>
              <w:right w:val="single" w:sz="8" w:space="0" w:color="auto"/>
            </w:tcBorders>
            <w:shd w:val="clear" w:color="auto" w:fill="auto"/>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9</w:t>
            </w:r>
          </w:p>
        </w:tc>
        <w:tc>
          <w:tcPr>
            <w:tcW w:w="851" w:type="dxa"/>
            <w:tcBorders>
              <w:top w:val="nil"/>
              <w:left w:val="nil"/>
              <w:bottom w:val="single" w:sz="8" w:space="0" w:color="auto"/>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5</w:t>
            </w:r>
          </w:p>
        </w:tc>
        <w:tc>
          <w:tcPr>
            <w:tcW w:w="850" w:type="dxa"/>
            <w:tcBorders>
              <w:top w:val="nil"/>
              <w:left w:val="nil"/>
              <w:bottom w:val="single" w:sz="8" w:space="0" w:color="auto"/>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8</w:t>
            </w:r>
          </w:p>
        </w:tc>
        <w:tc>
          <w:tcPr>
            <w:tcW w:w="851" w:type="dxa"/>
            <w:tcBorders>
              <w:top w:val="nil"/>
              <w:left w:val="nil"/>
              <w:bottom w:val="single" w:sz="8" w:space="0" w:color="auto"/>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7</w:t>
            </w:r>
          </w:p>
        </w:tc>
        <w:tc>
          <w:tcPr>
            <w:tcW w:w="850" w:type="dxa"/>
            <w:tcBorders>
              <w:top w:val="nil"/>
              <w:left w:val="nil"/>
              <w:bottom w:val="single" w:sz="8" w:space="0" w:color="auto"/>
              <w:right w:val="single" w:sz="8" w:space="0" w:color="000000"/>
            </w:tcBorders>
            <w:vAlign w:val="center"/>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6</w:t>
            </w:r>
          </w:p>
        </w:tc>
        <w:tc>
          <w:tcPr>
            <w:tcW w:w="851" w:type="dxa"/>
            <w:tcBorders>
              <w:top w:val="nil"/>
              <w:left w:val="single" w:sz="8" w:space="0" w:color="000000"/>
              <w:bottom w:val="single" w:sz="8" w:space="0" w:color="auto"/>
              <w:right w:val="single" w:sz="8" w:space="0" w:color="auto"/>
            </w:tcBorders>
            <w:shd w:val="clear" w:color="auto" w:fill="auto"/>
            <w:noWrap/>
            <w:vAlign w:val="center"/>
            <w:hideMark/>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5</w:t>
            </w:r>
          </w:p>
        </w:tc>
        <w:tc>
          <w:tcPr>
            <w:tcW w:w="838" w:type="dxa"/>
            <w:tcBorders>
              <w:top w:val="nil"/>
              <w:left w:val="nil"/>
              <w:bottom w:val="single" w:sz="8" w:space="0" w:color="auto"/>
              <w:right w:val="single" w:sz="8" w:space="0" w:color="auto"/>
            </w:tcBorders>
            <w:shd w:val="clear" w:color="auto" w:fill="auto"/>
            <w:noWrap/>
            <w:vAlign w:val="center"/>
          </w:tcPr>
          <w:p>
            <w:pPr>
              <w:spacing w:after="0" w:line="240" w:lineRule="auto"/>
              <w:contextualSpacing/>
              <w:jc w:val="right"/>
              <w:rPr>
                <w:rFonts w:ascii="Verdana" w:eastAsia="Times New Roman" w:hAnsi="Verdana"/>
                <w:noProof/>
                <w:color w:val="000000"/>
                <w:sz w:val="16"/>
                <w:szCs w:val="16"/>
              </w:rPr>
            </w:pPr>
            <w:r>
              <w:rPr>
                <w:rFonts w:ascii="Verdana" w:hAnsi="Verdana"/>
                <w:noProof/>
                <w:color w:val="000000"/>
                <w:sz w:val="16"/>
              </w:rPr>
              <w:t>5</w:t>
            </w:r>
          </w:p>
        </w:tc>
        <w:tc>
          <w:tcPr>
            <w:tcW w:w="993" w:type="dxa"/>
            <w:tcBorders>
              <w:top w:val="nil"/>
              <w:left w:val="nil"/>
              <w:bottom w:val="single" w:sz="8" w:space="0" w:color="auto"/>
              <w:right w:val="single" w:sz="8" w:space="0" w:color="auto"/>
            </w:tcBorders>
            <w:shd w:val="clear" w:color="auto" w:fill="auto"/>
            <w:noWrap/>
            <w:vAlign w:val="center"/>
          </w:tcPr>
          <w:p>
            <w:pPr>
              <w:spacing w:after="0" w:line="240" w:lineRule="auto"/>
              <w:contextualSpacing/>
              <w:jc w:val="right"/>
              <w:rPr>
                <w:rFonts w:ascii="Verdana" w:eastAsia="Times New Roman" w:hAnsi="Verdana"/>
                <w:b/>
                <w:bCs/>
                <w:noProof/>
                <w:color w:val="000000"/>
                <w:sz w:val="16"/>
                <w:szCs w:val="16"/>
              </w:rPr>
            </w:pPr>
            <w:r>
              <w:rPr>
                <w:rFonts w:ascii="Verdana" w:hAnsi="Verdana"/>
                <w:b/>
                <w:noProof/>
                <w:color w:val="000000"/>
                <w:sz w:val="16"/>
              </w:rPr>
              <w:t>45</w:t>
            </w:r>
          </w:p>
        </w:tc>
      </w:tr>
      <w:tr>
        <w:trPr>
          <w:trHeight w:val="270"/>
        </w:trPr>
        <w:tc>
          <w:tcPr>
            <w:tcW w:w="1985"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pPr>
              <w:spacing w:after="0" w:line="240" w:lineRule="auto"/>
              <w:contextualSpacing/>
              <w:rPr>
                <w:rFonts w:ascii="Verdana" w:eastAsia="Times New Roman" w:hAnsi="Verdana"/>
                <w:b/>
                <w:bCs/>
                <w:noProof/>
                <w:color w:val="000000"/>
                <w:sz w:val="16"/>
                <w:szCs w:val="16"/>
              </w:rPr>
            </w:pPr>
            <w:r>
              <w:rPr>
                <w:rFonts w:ascii="Verdana" w:hAnsi="Verdana"/>
                <w:b/>
                <w:noProof/>
                <w:color w:val="000000"/>
                <w:sz w:val="16"/>
              </w:rPr>
              <w:t>Total</w:t>
            </w:r>
          </w:p>
        </w:tc>
        <w:tc>
          <w:tcPr>
            <w:tcW w:w="850" w:type="dxa"/>
            <w:tcBorders>
              <w:top w:val="nil"/>
              <w:left w:val="nil"/>
              <w:bottom w:val="single" w:sz="8" w:space="0" w:color="auto"/>
              <w:right w:val="single" w:sz="8" w:space="0" w:color="auto"/>
            </w:tcBorders>
            <w:shd w:val="clear" w:color="auto" w:fill="auto"/>
            <w:vAlign w:val="center"/>
            <w:hideMark/>
          </w:tcPr>
          <w:p>
            <w:pPr>
              <w:spacing w:after="0" w:line="240" w:lineRule="auto"/>
              <w:contextualSpacing/>
              <w:jc w:val="right"/>
              <w:rPr>
                <w:rFonts w:ascii="Verdana" w:eastAsia="Times New Roman" w:hAnsi="Verdana"/>
                <w:b/>
                <w:bCs/>
                <w:noProof/>
                <w:color w:val="000000"/>
                <w:sz w:val="16"/>
                <w:szCs w:val="16"/>
              </w:rPr>
            </w:pPr>
            <w:r>
              <w:rPr>
                <w:rFonts w:ascii="Verdana" w:hAnsi="Verdana"/>
                <w:b/>
                <w:noProof/>
                <w:color w:val="000000"/>
                <w:sz w:val="16"/>
              </w:rPr>
              <w:t>480</w:t>
            </w:r>
          </w:p>
        </w:tc>
        <w:tc>
          <w:tcPr>
            <w:tcW w:w="851" w:type="dxa"/>
            <w:tcBorders>
              <w:top w:val="nil"/>
              <w:left w:val="nil"/>
              <w:bottom w:val="single" w:sz="8" w:space="0" w:color="auto"/>
              <w:right w:val="single" w:sz="8" w:space="0" w:color="auto"/>
            </w:tcBorders>
            <w:shd w:val="clear" w:color="auto" w:fill="auto"/>
            <w:vAlign w:val="center"/>
            <w:hideMark/>
          </w:tcPr>
          <w:p>
            <w:pPr>
              <w:spacing w:after="0" w:line="240" w:lineRule="auto"/>
              <w:contextualSpacing/>
              <w:jc w:val="right"/>
              <w:rPr>
                <w:rFonts w:ascii="Verdana" w:eastAsia="Times New Roman" w:hAnsi="Verdana"/>
                <w:b/>
                <w:bCs/>
                <w:noProof/>
                <w:color w:val="000000"/>
                <w:sz w:val="16"/>
                <w:szCs w:val="16"/>
              </w:rPr>
            </w:pPr>
            <w:r>
              <w:rPr>
                <w:rFonts w:ascii="Verdana" w:hAnsi="Verdana"/>
                <w:b/>
                <w:noProof/>
                <w:color w:val="000000"/>
                <w:sz w:val="16"/>
              </w:rPr>
              <w:t>646</w:t>
            </w:r>
          </w:p>
        </w:tc>
        <w:tc>
          <w:tcPr>
            <w:tcW w:w="850" w:type="dxa"/>
            <w:tcBorders>
              <w:top w:val="nil"/>
              <w:left w:val="nil"/>
              <w:bottom w:val="single" w:sz="8" w:space="0" w:color="auto"/>
              <w:right w:val="single" w:sz="8" w:space="0" w:color="auto"/>
            </w:tcBorders>
            <w:shd w:val="clear" w:color="auto" w:fill="auto"/>
            <w:vAlign w:val="center"/>
            <w:hideMark/>
          </w:tcPr>
          <w:p>
            <w:pPr>
              <w:spacing w:after="0" w:line="240" w:lineRule="auto"/>
              <w:contextualSpacing/>
              <w:jc w:val="right"/>
              <w:rPr>
                <w:rFonts w:ascii="Verdana" w:eastAsia="Times New Roman" w:hAnsi="Verdana"/>
                <w:b/>
                <w:bCs/>
                <w:noProof/>
                <w:color w:val="000000"/>
                <w:sz w:val="16"/>
                <w:szCs w:val="16"/>
              </w:rPr>
            </w:pPr>
            <w:r>
              <w:rPr>
                <w:rFonts w:ascii="Verdana" w:hAnsi="Verdana"/>
                <w:b/>
                <w:noProof/>
                <w:color w:val="000000"/>
                <w:sz w:val="16"/>
              </w:rPr>
              <w:t>770</w:t>
            </w:r>
          </w:p>
        </w:tc>
        <w:tc>
          <w:tcPr>
            <w:tcW w:w="851" w:type="dxa"/>
            <w:tcBorders>
              <w:top w:val="nil"/>
              <w:left w:val="nil"/>
              <w:bottom w:val="single" w:sz="8" w:space="0" w:color="auto"/>
              <w:right w:val="single" w:sz="8" w:space="0" w:color="auto"/>
            </w:tcBorders>
            <w:shd w:val="clear" w:color="auto" w:fill="auto"/>
            <w:vAlign w:val="center"/>
            <w:hideMark/>
          </w:tcPr>
          <w:p>
            <w:pPr>
              <w:spacing w:after="0" w:line="240" w:lineRule="auto"/>
              <w:contextualSpacing/>
              <w:jc w:val="right"/>
              <w:rPr>
                <w:rFonts w:ascii="Verdana" w:eastAsia="Times New Roman" w:hAnsi="Verdana"/>
                <w:b/>
                <w:bCs/>
                <w:noProof/>
                <w:color w:val="000000"/>
                <w:sz w:val="16"/>
                <w:szCs w:val="16"/>
              </w:rPr>
            </w:pPr>
            <w:r>
              <w:rPr>
                <w:rFonts w:ascii="Verdana" w:hAnsi="Verdana"/>
                <w:b/>
                <w:noProof/>
                <w:color w:val="000000"/>
                <w:sz w:val="16"/>
              </w:rPr>
              <w:t>695</w:t>
            </w:r>
          </w:p>
        </w:tc>
        <w:tc>
          <w:tcPr>
            <w:tcW w:w="850" w:type="dxa"/>
            <w:tcBorders>
              <w:top w:val="nil"/>
              <w:left w:val="nil"/>
              <w:bottom w:val="single" w:sz="8" w:space="0" w:color="auto"/>
              <w:right w:val="single" w:sz="8" w:space="0" w:color="000000"/>
            </w:tcBorders>
            <w:vAlign w:val="center"/>
          </w:tcPr>
          <w:p>
            <w:pPr>
              <w:spacing w:after="0" w:line="240" w:lineRule="auto"/>
              <w:contextualSpacing/>
              <w:jc w:val="right"/>
              <w:rPr>
                <w:rFonts w:ascii="Verdana" w:eastAsia="Times New Roman" w:hAnsi="Verdana"/>
                <w:b/>
                <w:bCs/>
                <w:noProof/>
                <w:color w:val="000000"/>
                <w:sz w:val="16"/>
                <w:szCs w:val="16"/>
              </w:rPr>
            </w:pPr>
            <w:r>
              <w:rPr>
                <w:rFonts w:ascii="Verdana" w:hAnsi="Verdana"/>
                <w:b/>
                <w:noProof/>
                <w:color w:val="000000"/>
                <w:sz w:val="16"/>
              </w:rPr>
              <w:t>941</w:t>
            </w:r>
          </w:p>
        </w:tc>
        <w:tc>
          <w:tcPr>
            <w:tcW w:w="851" w:type="dxa"/>
            <w:tcBorders>
              <w:top w:val="nil"/>
              <w:left w:val="single" w:sz="8" w:space="0" w:color="000000"/>
              <w:bottom w:val="single" w:sz="8" w:space="0" w:color="auto"/>
              <w:right w:val="single" w:sz="8" w:space="0" w:color="auto"/>
            </w:tcBorders>
            <w:shd w:val="clear" w:color="auto" w:fill="auto"/>
            <w:vAlign w:val="center"/>
            <w:hideMark/>
          </w:tcPr>
          <w:p>
            <w:pPr>
              <w:spacing w:after="0" w:line="240" w:lineRule="auto"/>
              <w:contextualSpacing/>
              <w:jc w:val="right"/>
              <w:rPr>
                <w:rFonts w:ascii="Verdana" w:eastAsia="Times New Roman" w:hAnsi="Verdana"/>
                <w:b/>
                <w:bCs/>
                <w:noProof/>
                <w:color w:val="000000"/>
                <w:sz w:val="16"/>
                <w:szCs w:val="16"/>
              </w:rPr>
            </w:pPr>
            <w:r>
              <w:rPr>
                <w:rFonts w:ascii="Verdana" w:hAnsi="Verdana"/>
                <w:b/>
                <w:noProof/>
                <w:color w:val="000000"/>
                <w:sz w:val="16"/>
              </w:rPr>
              <w:t>838</w:t>
            </w:r>
          </w:p>
        </w:tc>
        <w:tc>
          <w:tcPr>
            <w:tcW w:w="838" w:type="dxa"/>
            <w:tcBorders>
              <w:top w:val="nil"/>
              <w:left w:val="nil"/>
              <w:bottom w:val="single" w:sz="8" w:space="0" w:color="auto"/>
              <w:right w:val="single" w:sz="8" w:space="0" w:color="auto"/>
            </w:tcBorders>
            <w:shd w:val="clear" w:color="auto" w:fill="auto"/>
            <w:vAlign w:val="center"/>
          </w:tcPr>
          <w:p>
            <w:pPr>
              <w:spacing w:after="0" w:line="240" w:lineRule="auto"/>
              <w:contextualSpacing/>
              <w:jc w:val="right"/>
              <w:rPr>
                <w:rFonts w:ascii="Verdana" w:eastAsia="Times New Roman" w:hAnsi="Verdana"/>
                <w:b/>
                <w:bCs/>
                <w:noProof/>
                <w:color w:val="000000"/>
                <w:sz w:val="16"/>
                <w:szCs w:val="16"/>
              </w:rPr>
            </w:pPr>
            <w:r>
              <w:rPr>
                <w:rFonts w:ascii="Verdana" w:hAnsi="Verdana"/>
                <w:b/>
                <w:noProof/>
                <w:color w:val="000000"/>
                <w:sz w:val="16"/>
              </w:rPr>
              <w:t>767</w:t>
            </w:r>
          </w:p>
        </w:tc>
        <w:tc>
          <w:tcPr>
            <w:tcW w:w="993" w:type="dxa"/>
            <w:tcBorders>
              <w:top w:val="nil"/>
              <w:left w:val="nil"/>
              <w:bottom w:val="single" w:sz="8" w:space="0" w:color="auto"/>
              <w:right w:val="single" w:sz="8" w:space="0" w:color="auto"/>
            </w:tcBorders>
            <w:shd w:val="clear" w:color="auto" w:fill="auto"/>
            <w:vAlign w:val="center"/>
          </w:tcPr>
          <w:p>
            <w:pPr>
              <w:spacing w:after="0" w:line="240" w:lineRule="auto"/>
              <w:contextualSpacing/>
              <w:jc w:val="right"/>
              <w:rPr>
                <w:rFonts w:ascii="Verdana" w:eastAsia="Times New Roman" w:hAnsi="Verdana"/>
                <w:b/>
                <w:bCs/>
                <w:noProof/>
                <w:color w:val="000000"/>
                <w:sz w:val="16"/>
                <w:szCs w:val="16"/>
              </w:rPr>
            </w:pPr>
            <w:r>
              <w:rPr>
                <w:rFonts w:ascii="Verdana" w:hAnsi="Verdana"/>
                <w:b/>
                <w:noProof/>
                <w:color w:val="000000"/>
                <w:sz w:val="16"/>
              </w:rPr>
              <w:t>5 137</w:t>
            </w:r>
          </w:p>
        </w:tc>
      </w:tr>
    </w:tbl>
    <w:p>
      <w:pPr>
        <w:spacing w:after="0" w:line="240" w:lineRule="auto"/>
        <w:rPr>
          <w:rFonts w:ascii="Verdana" w:hAnsi="Verdana" w:cs="Arial"/>
          <w:b/>
          <w:bCs/>
          <w:i/>
          <w:noProof/>
          <w:sz w:val="18"/>
        </w:rPr>
      </w:pPr>
      <w:r>
        <w:rPr>
          <w:noProof/>
        </w:rPr>
        <w:br w:type="page"/>
      </w:r>
    </w:p>
    <w:p>
      <w:pPr>
        <w:spacing w:before="240" w:after="0"/>
        <w:jc w:val="both"/>
        <w:rPr>
          <w:rFonts w:ascii="Verdana" w:hAnsi="Verdana" w:cs="Arial"/>
          <w:b/>
          <w:bCs/>
          <w:i/>
          <w:noProof/>
          <w:sz w:val="18"/>
        </w:rPr>
      </w:pPr>
      <w:r>
        <w:rPr>
          <w:rFonts w:ascii="Verdana" w:hAnsi="Verdana"/>
          <w:b/>
          <w:i/>
          <w:noProof/>
          <w:sz w:val="18"/>
        </w:rPr>
        <w:t>Tableau 3.2.5: Recouvrements exécutés 2009-2015</w:t>
      </w:r>
    </w:p>
    <w:tbl>
      <w:tblPr>
        <w:tblW w:w="8918" w:type="dxa"/>
        <w:tblInd w:w="108" w:type="dxa"/>
        <w:tblLook w:val="04A0" w:firstRow="1" w:lastRow="0" w:firstColumn="1" w:lastColumn="0" w:noHBand="0" w:noVBand="1"/>
      </w:tblPr>
      <w:tblGrid>
        <w:gridCol w:w="1985"/>
        <w:gridCol w:w="850"/>
        <w:gridCol w:w="851"/>
        <w:gridCol w:w="850"/>
        <w:gridCol w:w="851"/>
        <w:gridCol w:w="850"/>
        <w:gridCol w:w="851"/>
        <w:gridCol w:w="838"/>
        <w:gridCol w:w="992"/>
      </w:tblGrid>
      <w:tr>
        <w:trPr>
          <w:trHeight w:val="270"/>
        </w:trPr>
        <w:tc>
          <w:tcPr>
            <w:tcW w:w="8918" w:type="dxa"/>
            <w:gridSpan w:val="9"/>
            <w:tcBorders>
              <w:top w:val="nil"/>
              <w:left w:val="nil"/>
              <w:bottom w:val="single" w:sz="8" w:space="0" w:color="auto"/>
              <w:right w:val="nil"/>
            </w:tcBorders>
            <w:shd w:val="clear" w:color="auto" w:fill="auto"/>
            <w:noWrap/>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En Mio EUR</w:t>
            </w:r>
          </w:p>
        </w:tc>
      </w:tr>
      <w:tr>
        <w:trPr>
          <w:trHeight w:val="255"/>
        </w:trPr>
        <w:tc>
          <w:tcPr>
            <w:tcW w:w="1985" w:type="dxa"/>
            <w:tcBorders>
              <w:top w:val="nil"/>
              <w:left w:val="single" w:sz="8" w:space="0" w:color="auto"/>
              <w:bottom w:val="nil"/>
              <w:right w:val="single" w:sz="8" w:space="0" w:color="000000"/>
            </w:tcBorders>
            <w:shd w:val="clear" w:color="000000" w:fill="99CCFF"/>
            <w:noWrap/>
            <w:vAlign w:val="center"/>
            <w:hideMark/>
          </w:tcPr>
          <w:p>
            <w:pPr>
              <w:spacing w:after="0" w:line="240" w:lineRule="auto"/>
              <w:jc w:val="both"/>
              <w:rPr>
                <w:rFonts w:ascii="Verdana" w:eastAsia="Times New Roman" w:hAnsi="Verdana"/>
                <w:b/>
                <w:bCs/>
                <w:noProof/>
                <w:color w:val="000000"/>
                <w:sz w:val="16"/>
                <w:szCs w:val="16"/>
              </w:rPr>
            </w:pPr>
            <w:r>
              <w:rPr>
                <w:rFonts w:ascii="Verdana" w:hAnsi="Verdana"/>
                <w:b/>
                <w:noProof/>
                <w:color w:val="000000"/>
                <w:sz w:val="16"/>
              </w:rPr>
              <w:t> </w:t>
            </w:r>
          </w:p>
        </w:tc>
        <w:tc>
          <w:tcPr>
            <w:tcW w:w="5103" w:type="dxa"/>
            <w:gridSpan w:val="6"/>
            <w:vMerge w:val="restart"/>
            <w:tcBorders>
              <w:top w:val="single" w:sz="8" w:space="0" w:color="auto"/>
              <w:left w:val="single" w:sz="8" w:space="0" w:color="000000"/>
              <w:bottom w:val="single" w:sz="8" w:space="0" w:color="000000"/>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Années</w:t>
            </w:r>
          </w:p>
        </w:tc>
        <w:tc>
          <w:tcPr>
            <w:tcW w:w="838" w:type="dxa"/>
            <w:vMerge w:val="restart"/>
            <w:tcBorders>
              <w:top w:val="nil"/>
              <w:bottom w:val="single" w:sz="8" w:space="0" w:color="000000"/>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p>
        </w:tc>
        <w:tc>
          <w:tcPr>
            <w:tcW w:w="992" w:type="dxa"/>
            <w:vMerge w:val="restart"/>
            <w:tcBorders>
              <w:top w:val="nil"/>
              <w:left w:val="nil"/>
              <w:right w:val="single" w:sz="8" w:space="0" w:color="auto"/>
            </w:tcBorders>
            <w:shd w:val="clear" w:color="000000" w:fill="99CCFF"/>
            <w:vAlign w:val="center"/>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Total</w:t>
            </w:r>
          </w:p>
        </w:tc>
      </w:tr>
      <w:tr>
        <w:trPr>
          <w:trHeight w:val="270"/>
        </w:trPr>
        <w:tc>
          <w:tcPr>
            <w:tcW w:w="1985" w:type="dxa"/>
            <w:tcBorders>
              <w:top w:val="nil"/>
              <w:left w:val="single" w:sz="8" w:space="0" w:color="auto"/>
              <w:bottom w:val="nil"/>
              <w:right w:val="single" w:sz="8" w:space="0" w:color="000000"/>
            </w:tcBorders>
            <w:shd w:val="clear" w:color="000000" w:fill="99CCFF"/>
            <w:noWrap/>
            <w:vAlign w:val="center"/>
            <w:hideMark/>
          </w:tcPr>
          <w:p>
            <w:pPr>
              <w:spacing w:after="0" w:line="240" w:lineRule="auto"/>
              <w:jc w:val="both"/>
              <w:rPr>
                <w:rFonts w:ascii="Verdana" w:eastAsia="Times New Roman" w:hAnsi="Verdana"/>
                <w:b/>
                <w:bCs/>
                <w:noProof/>
                <w:color w:val="000000"/>
                <w:sz w:val="16"/>
                <w:szCs w:val="16"/>
              </w:rPr>
            </w:pPr>
            <w:r>
              <w:rPr>
                <w:rFonts w:ascii="Verdana" w:hAnsi="Verdana"/>
                <w:b/>
                <w:noProof/>
                <w:color w:val="000000"/>
                <w:sz w:val="16"/>
              </w:rPr>
              <w:t>Recouvrements</w:t>
            </w:r>
          </w:p>
        </w:tc>
        <w:tc>
          <w:tcPr>
            <w:tcW w:w="5103" w:type="dxa"/>
            <w:gridSpan w:val="6"/>
            <w:vMerge/>
            <w:tcBorders>
              <w:top w:val="single" w:sz="8" w:space="0" w:color="000000"/>
              <w:left w:val="single" w:sz="8" w:space="0" w:color="auto"/>
              <w:bottom w:val="single" w:sz="8" w:space="0" w:color="000000"/>
            </w:tcBorders>
            <w:vAlign w:val="center"/>
            <w:hideMark/>
          </w:tcPr>
          <w:p>
            <w:pPr>
              <w:spacing w:after="0" w:line="240" w:lineRule="auto"/>
              <w:rPr>
                <w:rFonts w:ascii="Verdana" w:eastAsia="Times New Roman" w:hAnsi="Verdana"/>
                <w:b/>
                <w:bCs/>
                <w:noProof/>
                <w:color w:val="000000"/>
                <w:sz w:val="16"/>
                <w:szCs w:val="16"/>
              </w:rPr>
            </w:pPr>
          </w:p>
        </w:tc>
        <w:tc>
          <w:tcPr>
            <w:tcW w:w="838" w:type="dxa"/>
            <w:vMerge/>
            <w:tcBorders>
              <w:top w:val="single" w:sz="8" w:space="0" w:color="000000"/>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z w:val="16"/>
                <w:szCs w:val="16"/>
              </w:rPr>
            </w:pPr>
          </w:p>
        </w:tc>
        <w:tc>
          <w:tcPr>
            <w:tcW w:w="992" w:type="dxa"/>
            <w:vMerge/>
            <w:tcBorders>
              <w:left w:val="nil"/>
              <w:right w:val="single" w:sz="8" w:space="0" w:color="auto"/>
            </w:tcBorders>
            <w:vAlign w:val="center"/>
          </w:tcPr>
          <w:p>
            <w:pPr>
              <w:spacing w:after="0" w:line="240" w:lineRule="auto"/>
              <w:rPr>
                <w:rFonts w:ascii="Verdana" w:eastAsia="Times New Roman" w:hAnsi="Verdana"/>
                <w:b/>
                <w:bCs/>
                <w:noProof/>
                <w:color w:val="000000"/>
                <w:sz w:val="16"/>
                <w:szCs w:val="16"/>
              </w:rPr>
            </w:pPr>
          </w:p>
        </w:tc>
      </w:tr>
      <w:tr>
        <w:trPr>
          <w:trHeight w:val="270"/>
        </w:trPr>
        <w:tc>
          <w:tcPr>
            <w:tcW w:w="1985" w:type="dxa"/>
            <w:tcBorders>
              <w:top w:val="nil"/>
              <w:left w:val="single" w:sz="8" w:space="0" w:color="auto"/>
              <w:bottom w:val="single" w:sz="8" w:space="0" w:color="auto"/>
              <w:right w:val="single" w:sz="8" w:space="0" w:color="000000"/>
            </w:tcBorders>
            <w:shd w:val="clear" w:color="000000" w:fill="99CCFF"/>
            <w:noWrap/>
            <w:vAlign w:val="center"/>
            <w:hideMark/>
          </w:tcPr>
          <w:p>
            <w:pPr>
              <w:spacing w:after="0" w:line="240" w:lineRule="auto"/>
              <w:jc w:val="both"/>
              <w:rPr>
                <w:rFonts w:ascii="Verdana" w:eastAsia="Times New Roman" w:hAnsi="Verdana"/>
                <w:noProof/>
                <w:color w:val="000000"/>
                <w:sz w:val="20"/>
                <w:szCs w:val="20"/>
              </w:rPr>
            </w:pPr>
            <w:r>
              <w:rPr>
                <w:rFonts w:ascii="Verdana" w:hAnsi="Verdana"/>
                <w:noProof/>
                <w:color w:val="000000"/>
                <w:sz w:val="20"/>
              </w:rPr>
              <w:t> </w:t>
            </w:r>
          </w:p>
        </w:tc>
        <w:tc>
          <w:tcPr>
            <w:tcW w:w="850" w:type="dxa"/>
            <w:tcBorders>
              <w:top w:val="single" w:sz="8" w:space="0" w:color="000000"/>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2009</w:t>
            </w:r>
          </w:p>
        </w:tc>
        <w:tc>
          <w:tcPr>
            <w:tcW w:w="851" w:type="dxa"/>
            <w:tcBorders>
              <w:top w:val="single" w:sz="8" w:space="0" w:color="000000"/>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2010</w:t>
            </w:r>
          </w:p>
        </w:tc>
        <w:tc>
          <w:tcPr>
            <w:tcW w:w="850" w:type="dxa"/>
            <w:tcBorders>
              <w:top w:val="single" w:sz="8" w:space="0" w:color="000000"/>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2011</w:t>
            </w:r>
          </w:p>
        </w:tc>
        <w:tc>
          <w:tcPr>
            <w:tcW w:w="851" w:type="dxa"/>
            <w:tcBorders>
              <w:top w:val="single" w:sz="8" w:space="0" w:color="000000"/>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2012</w:t>
            </w:r>
          </w:p>
        </w:tc>
        <w:tc>
          <w:tcPr>
            <w:tcW w:w="850" w:type="dxa"/>
            <w:tcBorders>
              <w:top w:val="single" w:sz="8" w:space="0" w:color="000000"/>
              <w:left w:val="nil"/>
              <w:bottom w:val="single" w:sz="8" w:space="0" w:color="auto"/>
              <w:right w:val="single" w:sz="8" w:space="0" w:color="000000"/>
            </w:tcBorders>
            <w:shd w:val="clear" w:color="000000" w:fill="99CCFF"/>
            <w:vAlign w:val="center"/>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2013</w:t>
            </w:r>
          </w:p>
        </w:tc>
        <w:tc>
          <w:tcPr>
            <w:tcW w:w="851" w:type="dxa"/>
            <w:tcBorders>
              <w:top w:val="single" w:sz="8" w:space="0" w:color="000000"/>
              <w:left w:val="single" w:sz="8" w:space="0" w:color="000000"/>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2014</w:t>
            </w:r>
          </w:p>
        </w:tc>
        <w:tc>
          <w:tcPr>
            <w:tcW w:w="838" w:type="dxa"/>
            <w:tcBorders>
              <w:top w:val="single" w:sz="8" w:space="0" w:color="000000"/>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2015</w:t>
            </w:r>
          </w:p>
        </w:tc>
        <w:tc>
          <w:tcPr>
            <w:tcW w:w="992" w:type="dxa"/>
            <w:vMerge/>
            <w:tcBorders>
              <w:left w:val="nil"/>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z w:val="16"/>
                <w:szCs w:val="16"/>
              </w:rPr>
            </w:pPr>
          </w:p>
        </w:tc>
      </w:tr>
      <w:tr>
        <w:trPr>
          <w:trHeight w:val="259"/>
        </w:trPr>
        <w:tc>
          <w:tcPr>
            <w:tcW w:w="1985" w:type="dxa"/>
            <w:tcBorders>
              <w:top w:val="nil"/>
              <w:left w:val="single" w:sz="8" w:space="0" w:color="auto"/>
              <w:bottom w:val="nil"/>
              <w:right w:val="single" w:sz="8" w:space="0" w:color="000000"/>
            </w:tcBorders>
            <w:shd w:val="clear" w:color="auto" w:fill="auto"/>
            <w:noWrap/>
            <w:vAlign w:val="center"/>
            <w:hideMark/>
          </w:tcPr>
          <w:p>
            <w:pPr>
              <w:spacing w:after="0" w:line="240" w:lineRule="auto"/>
              <w:jc w:val="both"/>
              <w:rPr>
                <w:rFonts w:ascii="Verdana" w:eastAsia="Times New Roman" w:hAnsi="Verdana"/>
                <w:noProof/>
                <w:color w:val="000000"/>
                <w:sz w:val="16"/>
                <w:szCs w:val="16"/>
              </w:rPr>
            </w:pPr>
            <w:r>
              <w:rPr>
                <w:rFonts w:ascii="Verdana" w:hAnsi="Verdana"/>
                <w:noProof/>
                <w:color w:val="000000"/>
                <w:sz w:val="16"/>
              </w:rPr>
              <w:t>Agriculture:</w:t>
            </w:r>
          </w:p>
        </w:tc>
        <w:tc>
          <w:tcPr>
            <w:tcW w:w="850"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 </w:t>
            </w:r>
          </w:p>
        </w:tc>
        <w:tc>
          <w:tcPr>
            <w:tcW w:w="851"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 </w:t>
            </w:r>
          </w:p>
        </w:tc>
        <w:tc>
          <w:tcPr>
            <w:tcW w:w="850"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 </w:t>
            </w:r>
          </w:p>
        </w:tc>
        <w:tc>
          <w:tcPr>
            <w:tcW w:w="851"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 </w:t>
            </w:r>
          </w:p>
        </w:tc>
        <w:tc>
          <w:tcPr>
            <w:tcW w:w="850" w:type="dxa"/>
            <w:tcBorders>
              <w:top w:val="nil"/>
              <w:left w:val="nil"/>
              <w:bottom w:val="nil"/>
              <w:right w:val="single" w:sz="8" w:space="0" w:color="000000"/>
            </w:tcBorders>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 </w:t>
            </w:r>
          </w:p>
        </w:tc>
        <w:tc>
          <w:tcPr>
            <w:tcW w:w="851" w:type="dxa"/>
            <w:tcBorders>
              <w:top w:val="nil"/>
              <w:left w:val="single" w:sz="8" w:space="0" w:color="000000"/>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 </w:t>
            </w:r>
          </w:p>
        </w:tc>
        <w:tc>
          <w:tcPr>
            <w:tcW w:w="838"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 </w:t>
            </w:r>
          </w:p>
        </w:tc>
        <w:tc>
          <w:tcPr>
            <w:tcW w:w="992"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 </w:t>
            </w:r>
          </w:p>
        </w:tc>
      </w:tr>
      <w:tr>
        <w:trPr>
          <w:trHeight w:val="165"/>
        </w:trPr>
        <w:tc>
          <w:tcPr>
            <w:tcW w:w="1985" w:type="dxa"/>
            <w:tcBorders>
              <w:top w:val="nil"/>
              <w:left w:val="single" w:sz="8" w:space="0" w:color="auto"/>
              <w:bottom w:val="nil"/>
              <w:right w:val="single" w:sz="8" w:space="0" w:color="000000"/>
            </w:tcBorders>
            <w:shd w:val="clear" w:color="auto" w:fill="auto"/>
            <w:noWrap/>
            <w:vAlign w:val="center"/>
            <w:hideMark/>
          </w:tcPr>
          <w:p>
            <w:pPr>
              <w:spacing w:after="0" w:line="240" w:lineRule="auto"/>
              <w:ind w:left="176"/>
              <w:jc w:val="both"/>
              <w:rPr>
                <w:rFonts w:ascii="Verdana" w:eastAsia="Times New Roman" w:hAnsi="Verdana"/>
                <w:i/>
                <w:iCs/>
                <w:noProof/>
                <w:color w:val="000000"/>
                <w:sz w:val="16"/>
                <w:szCs w:val="16"/>
              </w:rPr>
            </w:pPr>
            <w:r>
              <w:rPr>
                <w:rFonts w:ascii="Verdana" w:hAnsi="Verdana"/>
                <w:i/>
                <w:noProof/>
                <w:color w:val="000000"/>
                <w:sz w:val="16"/>
              </w:rPr>
              <w:t>FEAGA</w:t>
            </w:r>
          </w:p>
        </w:tc>
        <w:tc>
          <w:tcPr>
            <w:tcW w:w="850"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148</w:t>
            </w:r>
          </w:p>
        </w:tc>
        <w:tc>
          <w:tcPr>
            <w:tcW w:w="851"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172</w:t>
            </w:r>
          </w:p>
        </w:tc>
        <w:tc>
          <w:tcPr>
            <w:tcW w:w="850"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178</w:t>
            </w:r>
          </w:p>
        </w:tc>
        <w:tc>
          <w:tcPr>
            <w:tcW w:w="851"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161</w:t>
            </w:r>
          </w:p>
        </w:tc>
        <w:tc>
          <w:tcPr>
            <w:tcW w:w="850" w:type="dxa"/>
            <w:tcBorders>
              <w:top w:val="nil"/>
              <w:left w:val="nil"/>
              <w:bottom w:val="nil"/>
              <w:right w:val="single" w:sz="8" w:space="0" w:color="000000"/>
            </w:tcBorders>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155</w:t>
            </w:r>
          </w:p>
        </w:tc>
        <w:tc>
          <w:tcPr>
            <w:tcW w:w="851" w:type="dxa"/>
            <w:tcBorders>
              <w:top w:val="nil"/>
              <w:left w:val="single" w:sz="8" w:space="0" w:color="000000"/>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150</w:t>
            </w:r>
          </w:p>
        </w:tc>
        <w:tc>
          <w:tcPr>
            <w:tcW w:w="838" w:type="dxa"/>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155</w:t>
            </w:r>
          </w:p>
        </w:tc>
        <w:tc>
          <w:tcPr>
            <w:tcW w:w="992" w:type="dxa"/>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1 119</w:t>
            </w:r>
          </w:p>
        </w:tc>
      </w:tr>
      <w:tr>
        <w:trPr>
          <w:trHeight w:val="111"/>
        </w:trPr>
        <w:tc>
          <w:tcPr>
            <w:tcW w:w="1985" w:type="dxa"/>
            <w:tcBorders>
              <w:top w:val="nil"/>
              <w:left w:val="single" w:sz="8" w:space="0" w:color="auto"/>
              <w:bottom w:val="nil"/>
              <w:right w:val="single" w:sz="8" w:space="0" w:color="000000"/>
            </w:tcBorders>
            <w:shd w:val="clear" w:color="auto" w:fill="auto"/>
            <w:noWrap/>
            <w:vAlign w:val="center"/>
            <w:hideMark/>
          </w:tcPr>
          <w:p>
            <w:pPr>
              <w:spacing w:after="0" w:line="240" w:lineRule="auto"/>
              <w:ind w:left="176"/>
              <w:jc w:val="both"/>
              <w:rPr>
                <w:rFonts w:ascii="Verdana" w:eastAsia="Times New Roman" w:hAnsi="Verdana"/>
                <w:i/>
                <w:iCs/>
                <w:noProof/>
                <w:color w:val="000000"/>
                <w:sz w:val="16"/>
                <w:szCs w:val="16"/>
              </w:rPr>
            </w:pPr>
            <w:r>
              <w:rPr>
                <w:rFonts w:ascii="Verdana" w:hAnsi="Verdana"/>
                <w:i/>
                <w:noProof/>
                <w:color w:val="000000"/>
                <w:sz w:val="16"/>
              </w:rPr>
              <w:t>Développement rural</w:t>
            </w:r>
          </w:p>
        </w:tc>
        <w:tc>
          <w:tcPr>
            <w:tcW w:w="850"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25</w:t>
            </w:r>
          </w:p>
        </w:tc>
        <w:tc>
          <w:tcPr>
            <w:tcW w:w="851"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114</w:t>
            </w:r>
          </w:p>
        </w:tc>
        <w:tc>
          <w:tcPr>
            <w:tcW w:w="850"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161</w:t>
            </w:r>
          </w:p>
        </w:tc>
        <w:tc>
          <w:tcPr>
            <w:tcW w:w="851"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166</w:t>
            </w:r>
          </w:p>
        </w:tc>
        <w:tc>
          <w:tcPr>
            <w:tcW w:w="850" w:type="dxa"/>
            <w:tcBorders>
              <w:top w:val="nil"/>
              <w:left w:val="nil"/>
              <w:bottom w:val="nil"/>
              <w:right w:val="single" w:sz="8" w:space="0" w:color="000000"/>
            </w:tcBorders>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129</w:t>
            </w:r>
          </w:p>
        </w:tc>
        <w:tc>
          <w:tcPr>
            <w:tcW w:w="851" w:type="dxa"/>
            <w:tcBorders>
              <w:top w:val="nil"/>
              <w:left w:val="single" w:sz="8" w:space="0" w:color="000000"/>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167</w:t>
            </w:r>
          </w:p>
        </w:tc>
        <w:tc>
          <w:tcPr>
            <w:tcW w:w="838" w:type="dxa"/>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152</w:t>
            </w:r>
          </w:p>
        </w:tc>
        <w:tc>
          <w:tcPr>
            <w:tcW w:w="992" w:type="dxa"/>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914</w:t>
            </w:r>
          </w:p>
        </w:tc>
      </w:tr>
      <w:tr>
        <w:trPr>
          <w:trHeight w:val="259"/>
        </w:trPr>
        <w:tc>
          <w:tcPr>
            <w:tcW w:w="1985" w:type="dxa"/>
            <w:tcBorders>
              <w:top w:val="nil"/>
              <w:left w:val="single" w:sz="8" w:space="0" w:color="auto"/>
              <w:bottom w:val="nil"/>
              <w:right w:val="single" w:sz="8" w:space="0" w:color="000000"/>
            </w:tcBorders>
            <w:shd w:val="clear" w:color="auto" w:fill="auto"/>
            <w:noWrap/>
            <w:vAlign w:val="center"/>
            <w:hideMark/>
          </w:tcPr>
          <w:p>
            <w:pPr>
              <w:spacing w:after="0" w:line="240" w:lineRule="auto"/>
              <w:jc w:val="both"/>
              <w:rPr>
                <w:rFonts w:ascii="Verdana" w:eastAsia="Times New Roman" w:hAnsi="Verdana"/>
                <w:noProof/>
                <w:color w:val="000000"/>
                <w:sz w:val="16"/>
                <w:szCs w:val="16"/>
              </w:rPr>
            </w:pPr>
            <w:r>
              <w:rPr>
                <w:rFonts w:ascii="Verdana" w:hAnsi="Verdana"/>
                <w:noProof/>
                <w:color w:val="000000"/>
                <w:sz w:val="16"/>
              </w:rPr>
              <w:t>Cohésion</w:t>
            </w:r>
          </w:p>
        </w:tc>
        <w:tc>
          <w:tcPr>
            <w:tcW w:w="850"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102</w:t>
            </w:r>
          </w:p>
        </w:tc>
        <w:tc>
          <w:tcPr>
            <w:tcW w:w="851"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25</w:t>
            </w:r>
          </w:p>
        </w:tc>
        <w:tc>
          <w:tcPr>
            <w:tcW w:w="850"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48</w:t>
            </w:r>
          </w:p>
        </w:tc>
        <w:tc>
          <w:tcPr>
            <w:tcW w:w="851"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14</w:t>
            </w:r>
          </w:p>
        </w:tc>
        <w:tc>
          <w:tcPr>
            <w:tcW w:w="850" w:type="dxa"/>
            <w:tcBorders>
              <w:top w:val="nil"/>
              <w:left w:val="nil"/>
              <w:bottom w:val="nil"/>
              <w:right w:val="single" w:sz="8" w:space="0" w:color="000000"/>
            </w:tcBorders>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81</w:t>
            </w:r>
          </w:p>
        </w:tc>
        <w:tc>
          <w:tcPr>
            <w:tcW w:w="851" w:type="dxa"/>
            <w:tcBorders>
              <w:top w:val="nil"/>
              <w:left w:val="single" w:sz="8" w:space="0" w:color="000000"/>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32</w:t>
            </w:r>
          </w:p>
        </w:tc>
        <w:tc>
          <w:tcPr>
            <w:tcW w:w="838" w:type="dxa"/>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7</w:t>
            </w:r>
          </w:p>
        </w:tc>
        <w:tc>
          <w:tcPr>
            <w:tcW w:w="992" w:type="dxa"/>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309</w:t>
            </w:r>
          </w:p>
        </w:tc>
      </w:tr>
      <w:tr>
        <w:trPr>
          <w:trHeight w:val="259"/>
        </w:trPr>
        <w:tc>
          <w:tcPr>
            <w:tcW w:w="1985" w:type="dxa"/>
            <w:tcBorders>
              <w:top w:val="nil"/>
              <w:left w:val="single" w:sz="8" w:space="0" w:color="auto"/>
              <w:bottom w:val="nil"/>
              <w:right w:val="single" w:sz="8" w:space="0" w:color="000000"/>
            </w:tcBorders>
            <w:shd w:val="clear" w:color="auto" w:fill="auto"/>
            <w:noWrap/>
            <w:vAlign w:val="center"/>
            <w:hideMark/>
          </w:tcPr>
          <w:p>
            <w:pPr>
              <w:spacing w:after="0" w:line="240" w:lineRule="auto"/>
              <w:jc w:val="both"/>
              <w:rPr>
                <w:rFonts w:ascii="Verdana" w:eastAsia="Times New Roman" w:hAnsi="Verdana"/>
                <w:noProof/>
                <w:color w:val="000000"/>
                <w:sz w:val="16"/>
                <w:szCs w:val="16"/>
              </w:rPr>
            </w:pPr>
            <w:r>
              <w:rPr>
                <w:rFonts w:ascii="Verdana" w:hAnsi="Verdana"/>
                <w:noProof/>
                <w:color w:val="000000"/>
                <w:sz w:val="16"/>
              </w:rPr>
              <w:t>Domaines de politique interne</w:t>
            </w:r>
          </w:p>
        </w:tc>
        <w:tc>
          <w:tcPr>
            <w:tcW w:w="850"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100</w:t>
            </w:r>
          </w:p>
        </w:tc>
        <w:tc>
          <w:tcPr>
            <w:tcW w:w="851"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162</w:t>
            </w:r>
          </w:p>
        </w:tc>
        <w:tc>
          <w:tcPr>
            <w:tcW w:w="850"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268</w:t>
            </w:r>
          </w:p>
        </w:tc>
        <w:tc>
          <w:tcPr>
            <w:tcW w:w="851"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229</w:t>
            </w:r>
          </w:p>
        </w:tc>
        <w:tc>
          <w:tcPr>
            <w:tcW w:w="850" w:type="dxa"/>
            <w:tcBorders>
              <w:top w:val="nil"/>
              <w:left w:val="nil"/>
              <w:bottom w:val="nil"/>
              <w:right w:val="single" w:sz="8" w:space="0" w:color="000000"/>
            </w:tcBorders>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398</w:t>
            </w:r>
          </w:p>
        </w:tc>
        <w:tc>
          <w:tcPr>
            <w:tcW w:w="851" w:type="dxa"/>
            <w:tcBorders>
              <w:top w:val="nil"/>
              <w:left w:val="single" w:sz="8" w:space="0" w:color="000000"/>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274</w:t>
            </w:r>
          </w:p>
        </w:tc>
        <w:tc>
          <w:tcPr>
            <w:tcW w:w="838" w:type="dxa"/>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293</w:t>
            </w:r>
          </w:p>
        </w:tc>
        <w:tc>
          <w:tcPr>
            <w:tcW w:w="992" w:type="dxa"/>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1 724</w:t>
            </w:r>
          </w:p>
        </w:tc>
      </w:tr>
      <w:tr>
        <w:trPr>
          <w:trHeight w:val="259"/>
        </w:trPr>
        <w:tc>
          <w:tcPr>
            <w:tcW w:w="1985" w:type="dxa"/>
            <w:tcBorders>
              <w:top w:val="nil"/>
              <w:left w:val="single" w:sz="8" w:space="0" w:color="auto"/>
              <w:bottom w:val="nil"/>
              <w:right w:val="single" w:sz="8" w:space="0" w:color="000000"/>
            </w:tcBorders>
            <w:shd w:val="clear" w:color="auto" w:fill="auto"/>
            <w:noWrap/>
            <w:vAlign w:val="center"/>
            <w:hideMark/>
          </w:tcPr>
          <w:p>
            <w:pPr>
              <w:spacing w:after="0" w:line="240" w:lineRule="auto"/>
              <w:jc w:val="both"/>
              <w:rPr>
                <w:rFonts w:ascii="Verdana" w:eastAsia="Times New Roman" w:hAnsi="Verdana"/>
                <w:noProof/>
                <w:color w:val="000000"/>
                <w:sz w:val="16"/>
                <w:szCs w:val="16"/>
              </w:rPr>
            </w:pPr>
            <w:r>
              <w:rPr>
                <w:rFonts w:ascii="Verdana" w:hAnsi="Verdana"/>
                <w:noProof/>
                <w:color w:val="000000"/>
                <w:sz w:val="16"/>
              </w:rPr>
              <w:t>Domaines de politique extérieure</w:t>
            </w:r>
          </w:p>
        </w:tc>
        <w:tc>
          <w:tcPr>
            <w:tcW w:w="850"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81</w:t>
            </w:r>
          </w:p>
        </w:tc>
        <w:tc>
          <w:tcPr>
            <w:tcW w:w="851"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136</w:t>
            </w:r>
          </w:p>
        </w:tc>
        <w:tc>
          <w:tcPr>
            <w:tcW w:w="850"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77</w:t>
            </w:r>
          </w:p>
        </w:tc>
        <w:tc>
          <w:tcPr>
            <w:tcW w:w="851" w:type="dxa"/>
            <w:tcBorders>
              <w:top w:val="nil"/>
              <w:left w:val="nil"/>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99</w:t>
            </w:r>
          </w:p>
        </w:tc>
        <w:tc>
          <w:tcPr>
            <w:tcW w:w="850" w:type="dxa"/>
            <w:tcBorders>
              <w:top w:val="nil"/>
              <w:left w:val="nil"/>
              <w:bottom w:val="nil"/>
              <w:right w:val="single" w:sz="8" w:space="0" w:color="000000"/>
            </w:tcBorders>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93</w:t>
            </w:r>
          </w:p>
        </w:tc>
        <w:tc>
          <w:tcPr>
            <w:tcW w:w="851" w:type="dxa"/>
            <w:tcBorders>
              <w:top w:val="nil"/>
              <w:left w:val="single" w:sz="8" w:space="0" w:color="000000"/>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108</w:t>
            </w:r>
          </w:p>
        </w:tc>
        <w:tc>
          <w:tcPr>
            <w:tcW w:w="838" w:type="dxa"/>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136</w:t>
            </w:r>
          </w:p>
        </w:tc>
        <w:tc>
          <w:tcPr>
            <w:tcW w:w="992" w:type="dxa"/>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730</w:t>
            </w:r>
          </w:p>
        </w:tc>
      </w:tr>
      <w:tr>
        <w:trPr>
          <w:trHeight w:val="259"/>
        </w:trPr>
        <w:tc>
          <w:tcPr>
            <w:tcW w:w="1985" w:type="dxa"/>
            <w:tcBorders>
              <w:top w:val="nil"/>
              <w:left w:val="single" w:sz="8" w:space="0" w:color="auto"/>
              <w:bottom w:val="single" w:sz="8" w:space="0" w:color="auto"/>
              <w:right w:val="single" w:sz="8" w:space="0" w:color="000000"/>
            </w:tcBorders>
            <w:shd w:val="clear" w:color="auto" w:fill="auto"/>
            <w:noWrap/>
            <w:vAlign w:val="center"/>
            <w:hideMark/>
          </w:tcPr>
          <w:p>
            <w:pPr>
              <w:spacing w:after="0" w:line="240" w:lineRule="auto"/>
              <w:jc w:val="both"/>
              <w:rPr>
                <w:rFonts w:ascii="Verdana" w:eastAsia="Times New Roman" w:hAnsi="Verdana"/>
                <w:noProof/>
                <w:color w:val="000000"/>
                <w:sz w:val="16"/>
                <w:szCs w:val="16"/>
              </w:rPr>
            </w:pPr>
            <w:r>
              <w:rPr>
                <w:rFonts w:ascii="Verdana" w:hAnsi="Verdana"/>
                <w:noProof/>
                <w:color w:val="000000"/>
                <w:sz w:val="16"/>
              </w:rPr>
              <w:t>Administration</w:t>
            </w:r>
          </w:p>
        </w:tc>
        <w:tc>
          <w:tcPr>
            <w:tcW w:w="85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9</w:t>
            </w:r>
          </w:p>
        </w:tc>
        <w:tc>
          <w:tcPr>
            <w:tcW w:w="8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5</w:t>
            </w:r>
          </w:p>
        </w:tc>
        <w:tc>
          <w:tcPr>
            <w:tcW w:w="850"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2</w:t>
            </w:r>
          </w:p>
        </w:tc>
        <w:tc>
          <w:tcPr>
            <w:tcW w:w="851"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9</w:t>
            </w:r>
          </w:p>
        </w:tc>
        <w:tc>
          <w:tcPr>
            <w:tcW w:w="850" w:type="dxa"/>
            <w:tcBorders>
              <w:top w:val="nil"/>
              <w:left w:val="nil"/>
              <w:bottom w:val="single" w:sz="8" w:space="0" w:color="auto"/>
              <w:right w:val="single" w:sz="8" w:space="0" w:color="000000"/>
            </w:tcBorders>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6</w:t>
            </w:r>
          </w:p>
        </w:tc>
        <w:tc>
          <w:tcPr>
            <w:tcW w:w="851" w:type="dxa"/>
            <w:tcBorders>
              <w:top w:val="nil"/>
              <w:left w:val="single" w:sz="8" w:space="0" w:color="000000"/>
              <w:bottom w:val="single" w:sz="8" w:space="0" w:color="auto"/>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5</w:t>
            </w:r>
          </w:p>
        </w:tc>
        <w:tc>
          <w:tcPr>
            <w:tcW w:w="838" w:type="dxa"/>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5</w:t>
            </w:r>
          </w:p>
        </w:tc>
        <w:tc>
          <w:tcPr>
            <w:tcW w:w="992" w:type="dxa"/>
            <w:tcBorders>
              <w:top w:val="nil"/>
              <w:left w:val="nil"/>
              <w:bottom w:val="nil"/>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41</w:t>
            </w:r>
          </w:p>
        </w:tc>
      </w:tr>
      <w:tr>
        <w:trPr>
          <w:trHeight w:val="259"/>
        </w:trPr>
        <w:tc>
          <w:tcPr>
            <w:tcW w:w="1985" w:type="dxa"/>
            <w:tcBorders>
              <w:top w:val="nil"/>
              <w:left w:val="single" w:sz="8" w:space="0" w:color="auto"/>
              <w:bottom w:val="single" w:sz="8" w:space="0" w:color="auto"/>
              <w:right w:val="single" w:sz="8" w:space="0" w:color="000000"/>
            </w:tcBorders>
            <w:shd w:val="clear" w:color="auto" w:fill="auto"/>
            <w:noWrap/>
            <w:vAlign w:val="center"/>
            <w:hideMark/>
          </w:tcPr>
          <w:p>
            <w:pPr>
              <w:spacing w:after="0" w:line="240" w:lineRule="auto"/>
              <w:jc w:val="both"/>
              <w:rPr>
                <w:rFonts w:ascii="Verdana" w:eastAsia="Times New Roman" w:hAnsi="Verdana"/>
                <w:b/>
                <w:bCs/>
                <w:noProof/>
                <w:color w:val="000000"/>
                <w:sz w:val="16"/>
                <w:szCs w:val="16"/>
              </w:rPr>
            </w:pPr>
            <w:r>
              <w:rPr>
                <w:rFonts w:ascii="Verdana" w:hAnsi="Verdana"/>
                <w:b/>
                <w:noProof/>
                <w:color w:val="000000"/>
                <w:sz w:val="16"/>
              </w:rPr>
              <w:t>Total</w:t>
            </w:r>
          </w:p>
        </w:tc>
        <w:tc>
          <w:tcPr>
            <w:tcW w:w="85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464</w:t>
            </w:r>
          </w:p>
        </w:tc>
        <w:tc>
          <w:tcPr>
            <w:tcW w:w="851"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614</w:t>
            </w:r>
          </w:p>
        </w:tc>
        <w:tc>
          <w:tcPr>
            <w:tcW w:w="850"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734</w:t>
            </w:r>
          </w:p>
        </w:tc>
        <w:tc>
          <w:tcPr>
            <w:tcW w:w="851" w:type="dxa"/>
            <w:tcBorders>
              <w:top w:val="nil"/>
              <w:left w:val="nil"/>
              <w:bottom w:val="single" w:sz="8" w:space="0" w:color="auto"/>
              <w:right w:val="single" w:sz="8" w:space="0" w:color="auto"/>
            </w:tcBorders>
            <w:shd w:val="clear" w:color="auto" w:fill="auto"/>
            <w:vAlign w:val="center"/>
            <w:hideMark/>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678</w:t>
            </w:r>
          </w:p>
        </w:tc>
        <w:tc>
          <w:tcPr>
            <w:tcW w:w="850" w:type="dxa"/>
            <w:tcBorders>
              <w:top w:val="nil"/>
              <w:left w:val="nil"/>
              <w:bottom w:val="single" w:sz="8" w:space="0" w:color="auto"/>
              <w:right w:val="single" w:sz="8" w:space="0" w:color="000000"/>
            </w:tcBorders>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862</w:t>
            </w:r>
          </w:p>
        </w:tc>
        <w:tc>
          <w:tcPr>
            <w:tcW w:w="851" w:type="dxa"/>
            <w:tcBorders>
              <w:top w:val="nil"/>
              <w:left w:val="single" w:sz="8" w:space="0" w:color="000000"/>
              <w:bottom w:val="single" w:sz="8" w:space="0" w:color="auto"/>
              <w:right w:val="single" w:sz="8" w:space="0" w:color="auto"/>
            </w:tcBorders>
            <w:shd w:val="clear" w:color="auto" w:fill="auto"/>
            <w:vAlign w:val="center"/>
            <w:hideMark/>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736</w:t>
            </w:r>
          </w:p>
        </w:tc>
        <w:tc>
          <w:tcPr>
            <w:tcW w:w="838" w:type="dxa"/>
            <w:tcBorders>
              <w:top w:val="single" w:sz="8" w:space="0" w:color="auto"/>
              <w:left w:val="nil"/>
              <w:bottom w:val="single" w:sz="8" w:space="0" w:color="auto"/>
              <w:right w:val="single" w:sz="8" w:space="0" w:color="auto"/>
            </w:tcBorders>
            <w:shd w:val="clear" w:color="auto" w:fill="auto"/>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749</w:t>
            </w:r>
          </w:p>
        </w:tc>
        <w:tc>
          <w:tcPr>
            <w:tcW w:w="992" w:type="dxa"/>
            <w:tcBorders>
              <w:top w:val="single" w:sz="8" w:space="0" w:color="auto"/>
              <w:left w:val="nil"/>
              <w:bottom w:val="single" w:sz="8" w:space="0" w:color="auto"/>
              <w:right w:val="single" w:sz="8" w:space="0" w:color="auto"/>
            </w:tcBorders>
            <w:shd w:val="clear" w:color="auto" w:fill="auto"/>
            <w:noWrap/>
            <w:vAlign w:val="center"/>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4 837</w:t>
            </w:r>
          </w:p>
        </w:tc>
      </w:tr>
    </w:tbl>
    <w:p>
      <w:pPr>
        <w:spacing w:after="0" w:line="240" w:lineRule="auto"/>
        <w:rPr>
          <w:rFonts w:ascii="Verdana" w:eastAsia="Times New Roman" w:hAnsi="Verdana"/>
          <w:b/>
          <w:bCs/>
          <w:iCs/>
          <w:noProof/>
        </w:rPr>
      </w:pPr>
      <w:bookmarkStart w:id="57" w:name="_Toc399420062"/>
      <w:bookmarkStart w:id="58" w:name="_Toc365022342"/>
      <w:bookmarkEnd w:id="56"/>
    </w:p>
    <w:p>
      <w:pPr>
        <w:pStyle w:val="ManualHeading2"/>
        <w:rPr>
          <w:i/>
          <w:noProof/>
        </w:rPr>
      </w:pPr>
      <w:bookmarkStart w:id="59" w:name="_Toc456258163"/>
      <w:bookmarkStart w:id="60" w:name="_Toc461437488"/>
      <w:r>
        <w:t>3.3.</w:t>
      </w:r>
      <w:r>
        <w:tab/>
      </w:r>
      <w:r>
        <w:rPr>
          <w:noProof/>
        </w:rPr>
        <w:t>Incidence des corrections financières</w:t>
      </w:r>
      <w:bookmarkEnd w:id="59"/>
      <w:bookmarkEnd w:id="60"/>
    </w:p>
    <w:bookmarkEnd w:id="57"/>
    <w:p>
      <w:pPr>
        <w:spacing w:after="240"/>
        <w:jc w:val="both"/>
        <w:rPr>
          <w:rFonts w:ascii="Verdana" w:hAnsi="Verdana"/>
          <w:i/>
          <w:noProof/>
          <w:sz w:val="20"/>
        </w:rPr>
      </w:pPr>
      <w:r>
        <w:rPr>
          <w:rFonts w:ascii="Verdana" w:hAnsi="Verdana"/>
          <w:i/>
          <w:noProof/>
          <w:sz w:val="20"/>
        </w:rPr>
        <w:t>3.3.1</w:t>
      </w:r>
      <w:r>
        <w:rPr>
          <w:noProof/>
        </w:rPr>
        <w:tab/>
      </w:r>
      <w:r>
        <w:rPr>
          <w:rFonts w:ascii="Verdana" w:hAnsi="Verdana"/>
          <w:i/>
          <w:noProof/>
          <w:sz w:val="20"/>
        </w:rPr>
        <w:t>Incidence sur le budget de l’UE en 2015</w:t>
      </w:r>
    </w:p>
    <w:p>
      <w:pPr>
        <w:autoSpaceDE w:val="0"/>
        <w:autoSpaceDN w:val="0"/>
        <w:adjustRightInd w:val="0"/>
        <w:spacing w:after="120"/>
        <w:ind w:firstLine="720"/>
        <w:jc w:val="both"/>
        <w:rPr>
          <w:rFonts w:ascii="Verdana" w:hAnsi="Verdana" w:cs="Arial"/>
          <w:b/>
          <w:bCs/>
          <w:i/>
          <w:noProof/>
          <w:sz w:val="18"/>
        </w:rPr>
      </w:pPr>
      <w:r>
        <w:rPr>
          <w:rFonts w:ascii="Verdana" w:hAnsi="Verdana"/>
          <w:b/>
          <w:i/>
          <w:noProof/>
          <w:sz w:val="18"/>
        </w:rPr>
        <w:t>Graphique 3.3.1: Incidence sur le budget de l’UE</w:t>
      </w:r>
    </w:p>
    <w:p>
      <w:pPr>
        <w:autoSpaceDE w:val="0"/>
        <w:autoSpaceDN w:val="0"/>
        <w:adjustRightInd w:val="0"/>
        <w:spacing w:after="0"/>
        <w:ind w:firstLine="720"/>
        <w:jc w:val="both"/>
        <w:rPr>
          <w:rFonts w:ascii="Verdana" w:hAnsi="Verdana"/>
          <w:noProof/>
          <w:sz w:val="14"/>
          <w:szCs w:val="16"/>
        </w:rPr>
      </w:pPr>
      <w:r>
        <w:rPr>
          <w:noProof/>
          <w:lang w:val="en-US" w:eastAsia="en-US" w:bidi="ar-SA"/>
        </w:rPr>
        <w:drawing>
          <wp:inline distT="0" distB="0" distL="0" distR="0">
            <wp:extent cx="5273041" cy="2710815"/>
            <wp:effectExtent l="0" t="0" r="22860"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autoSpaceDE w:val="0"/>
        <w:autoSpaceDN w:val="0"/>
        <w:adjustRightInd w:val="0"/>
        <w:spacing w:after="0"/>
        <w:jc w:val="both"/>
        <w:rPr>
          <w:rFonts w:ascii="Verdana" w:hAnsi="Verdana"/>
          <w:i/>
          <w:noProof/>
          <w:sz w:val="14"/>
          <w:szCs w:val="16"/>
        </w:rPr>
      </w:pPr>
      <w:r>
        <w:rPr>
          <w:rFonts w:ascii="Verdana" w:hAnsi="Verdana"/>
          <w:i/>
          <w:noProof/>
          <w:sz w:val="14"/>
        </w:rPr>
        <w:t>*</w:t>
      </w:r>
      <w:r>
        <w:rPr>
          <w:noProof/>
        </w:rPr>
        <w:tab/>
      </w:r>
      <w:r>
        <w:rPr>
          <w:rFonts w:ascii="Verdana" w:hAnsi="Verdana"/>
          <w:i/>
          <w:noProof/>
          <w:sz w:val="14"/>
        </w:rPr>
        <w:t>Les principaux chapitres de dépenses concernés sont les suivants: 0502, 0503, 0504, 1303, 1304, 0402, 1106 et 1803.</w:t>
      </w:r>
    </w:p>
    <w:p>
      <w:pPr>
        <w:autoSpaceDE w:val="0"/>
        <w:autoSpaceDN w:val="0"/>
        <w:adjustRightInd w:val="0"/>
        <w:spacing w:after="0"/>
        <w:ind w:left="709" w:hanging="709"/>
        <w:jc w:val="both"/>
        <w:rPr>
          <w:rFonts w:ascii="Verdana" w:hAnsi="Verdana"/>
          <w:i/>
          <w:noProof/>
          <w:sz w:val="14"/>
          <w:szCs w:val="16"/>
        </w:rPr>
      </w:pPr>
      <w:r>
        <w:rPr>
          <w:rFonts w:ascii="Verdana" w:hAnsi="Verdana"/>
          <w:i/>
          <w:noProof/>
          <w:sz w:val="14"/>
        </w:rPr>
        <w:t>**</w:t>
      </w:r>
      <w:r>
        <w:rPr>
          <w:noProof/>
        </w:rPr>
        <w:tab/>
      </w:r>
      <w:r>
        <w:rPr>
          <w:rFonts w:ascii="Verdana" w:hAnsi="Verdana"/>
          <w:i/>
          <w:noProof/>
          <w:sz w:val="14"/>
        </w:rPr>
        <w:t>À l’exclusion des recouvrements «à la source». Les principaux chapitres de dépenses concernés sont les suivants: 0502, 0503, 1303, 1304, 0402 et 1106. Pour de plus amples informations sur les recouvrements, voir le point 3.2.4.</w:t>
      </w:r>
    </w:p>
    <w:p>
      <w:pPr>
        <w:autoSpaceDE w:val="0"/>
        <w:autoSpaceDN w:val="0"/>
        <w:adjustRightInd w:val="0"/>
        <w:spacing w:after="0"/>
        <w:jc w:val="both"/>
        <w:rPr>
          <w:rFonts w:ascii="Verdana" w:hAnsi="Verdana"/>
          <w:noProof/>
          <w:sz w:val="16"/>
          <w:szCs w:val="16"/>
        </w:rPr>
      </w:pPr>
    </w:p>
    <w:p>
      <w:pPr>
        <w:tabs>
          <w:tab w:val="left" w:pos="0"/>
        </w:tabs>
        <w:spacing w:after="120" w:line="240" w:lineRule="auto"/>
        <w:jc w:val="both"/>
        <w:rPr>
          <w:rFonts w:ascii="Verdana" w:hAnsi="Verdana"/>
          <w:noProof/>
          <w:sz w:val="18"/>
          <w:szCs w:val="20"/>
        </w:rPr>
      </w:pPr>
      <w:r>
        <w:rPr>
          <w:rFonts w:ascii="Verdana" w:hAnsi="Verdana"/>
          <w:noProof/>
          <w:sz w:val="18"/>
        </w:rPr>
        <w:t>Comme expliqué ci-dessus, les recettes provenant des corrections financières nettes et des recouvrements sont traitées comme des recettes affectées</w:t>
      </w:r>
      <w:r>
        <w:rPr>
          <w:rStyle w:val="FootnoteReference"/>
          <w:rFonts w:ascii="Verdana" w:hAnsi="Verdana"/>
          <w:noProof/>
          <w:sz w:val="18"/>
        </w:rPr>
        <w:footnoteReference w:id="11"/>
      </w:r>
      <w:r>
        <w:rPr>
          <w:rFonts w:ascii="Verdana" w:hAnsi="Verdana"/>
          <w:noProof/>
          <w:sz w:val="18"/>
        </w:rPr>
        <w:t>; il est à noter que la Commission exécute également les recouvrements «à la source» en déduisant des paiements effectués les dépenses inéligibles (mises en évidence dans les déclarations de coûts actuelles ou passées). En général, les recettes affectées sont restituées à la ligne budgétaire ou au Fonds d’où sont issues les dépenses initiales et peuvent faire l’objet d’une nouvelle dépense, mais elles ne sont pas destinées à tel ou tel État membre.</w:t>
      </w:r>
    </w:p>
    <w:p>
      <w:pPr>
        <w:spacing w:after="240"/>
        <w:jc w:val="both"/>
        <w:rPr>
          <w:rFonts w:ascii="Verdana" w:hAnsi="Verdana"/>
          <w:i/>
          <w:noProof/>
          <w:sz w:val="20"/>
        </w:rPr>
      </w:pPr>
    </w:p>
    <w:p>
      <w:pPr>
        <w:spacing w:after="240"/>
        <w:jc w:val="both"/>
        <w:rPr>
          <w:rFonts w:ascii="Verdana" w:hAnsi="Verdana"/>
          <w:i/>
          <w:noProof/>
          <w:sz w:val="20"/>
        </w:rPr>
      </w:pPr>
    </w:p>
    <w:p>
      <w:pPr>
        <w:spacing w:after="240"/>
        <w:jc w:val="both"/>
        <w:rPr>
          <w:rFonts w:ascii="Verdana" w:hAnsi="Verdana"/>
          <w:i/>
          <w:noProof/>
          <w:sz w:val="20"/>
        </w:rPr>
      </w:pPr>
      <w:r>
        <w:rPr>
          <w:rFonts w:ascii="Verdana" w:hAnsi="Verdana"/>
          <w:i/>
          <w:noProof/>
          <w:sz w:val="20"/>
        </w:rPr>
        <w:t>3.3.2</w:t>
      </w:r>
      <w:r>
        <w:rPr>
          <w:noProof/>
        </w:rPr>
        <w:tab/>
      </w:r>
      <w:r>
        <w:rPr>
          <w:rFonts w:ascii="Verdana" w:hAnsi="Verdana"/>
          <w:i/>
          <w:noProof/>
          <w:sz w:val="20"/>
        </w:rPr>
        <w:t>Incidence sur les budgets nationaux</w:t>
      </w:r>
    </w:p>
    <w:p>
      <w:pPr>
        <w:spacing w:after="0" w:line="240" w:lineRule="auto"/>
        <w:jc w:val="both"/>
        <w:rPr>
          <w:rFonts w:ascii="Verdana" w:hAnsi="Verdana"/>
          <w:noProof/>
          <w:sz w:val="18"/>
        </w:rPr>
      </w:pPr>
      <w:r>
        <w:rPr>
          <w:rFonts w:ascii="Verdana" w:hAnsi="Verdana"/>
          <w:noProof/>
          <w:sz w:val="18"/>
        </w:rPr>
        <w:t>En gestion partagée, l’ensemble des corrections financières et des recouvrements ont une incidence sur les budgets nationaux, quelles que soient leurs modalités d’exécution. Il convient de préciser que, même en l’absence de remboursement au budget de l’UE, les corrections financières ont toujours une incidence défavorable au niveau de l’État membre. Cela s'explique par le fait que, sous peine de perdre des financements de l’UE, l’État membre doit remplacer les dépenses inéligibles par des opérations éligibles. Il s'ensuit qu’il supporte, avec ses propres ressources (provenant du budget national), les conséquences financières de la perte du cofinancement par l’UE des dépenses considérées comme inéligibles en vertu des dispositions de l’UE régissant les programmes (sous forme de coût d’opportunité), sauf s’il récupère les montants auprès des différents bénéficiaires. Cela n’est pas toujours possible, notamment en cas de corrections forfaitaires effectuées au niveau du programme (en raison de déficiences dans l’administration nationale chargée de la gestion du programme), qui ne sont pas liées directement à des irrégularités spécifiques au projet.</w:t>
      </w:r>
    </w:p>
    <w:bookmarkEnd w:id="58"/>
    <w:p>
      <w:pPr>
        <w:spacing w:after="0" w:line="240" w:lineRule="auto"/>
        <w:rPr>
          <w:rFonts w:ascii="Verdana" w:eastAsia="Times New Roman" w:hAnsi="Verdana"/>
          <w:noProof/>
          <w:sz w:val="24"/>
          <w:szCs w:val="24"/>
          <w:highlight w:val="yellow"/>
        </w:rPr>
      </w:pPr>
    </w:p>
    <w:p>
      <w:pPr>
        <w:pStyle w:val="ManualHeading1"/>
        <w:rPr>
          <w:caps/>
          <w:noProof/>
          <w:szCs w:val="22"/>
        </w:rPr>
      </w:pPr>
      <w:bookmarkStart w:id="61" w:name="_Toc456258164"/>
      <w:bookmarkStart w:id="62" w:name="_Toc461437489"/>
      <w:r>
        <w:t>4.</w:t>
      </w:r>
      <w:r>
        <w:tab/>
      </w:r>
      <w:r>
        <w:rPr>
          <w:noProof/>
        </w:rPr>
        <w:t>AGRICULTURE ET DÉVELOPPEMENT RURAL</w:t>
      </w:r>
      <w:bookmarkEnd w:id="61"/>
      <w:bookmarkEnd w:id="62"/>
    </w:p>
    <w:p>
      <w:pPr>
        <w:pStyle w:val="ManualHeading2"/>
        <w:rPr>
          <w:noProof/>
          <w:szCs w:val="22"/>
        </w:rPr>
      </w:pPr>
      <w:bookmarkStart w:id="63" w:name="_Toc456258165"/>
      <w:bookmarkStart w:id="64" w:name="_Toc461437490"/>
      <w:r>
        <w:t>4.1.</w:t>
      </w:r>
      <w:r>
        <w:tab/>
      </w:r>
      <w:r>
        <w:rPr>
          <w:noProof/>
        </w:rPr>
        <w:t>Mesures préventives</w:t>
      </w:r>
      <w:bookmarkEnd w:id="63"/>
      <w:bookmarkEnd w:id="64"/>
    </w:p>
    <w:p>
      <w:pPr>
        <w:spacing w:after="240" w:line="240" w:lineRule="auto"/>
        <w:jc w:val="both"/>
        <w:rPr>
          <w:rFonts w:ascii="Verdana" w:hAnsi="Verdana"/>
          <w:b/>
          <w:noProof/>
          <w:sz w:val="18"/>
          <w:szCs w:val="20"/>
        </w:rPr>
      </w:pPr>
      <w:r>
        <w:rPr>
          <w:rFonts w:ascii="Verdana" w:hAnsi="Verdana"/>
          <w:b/>
          <w:noProof/>
          <w:sz w:val="18"/>
        </w:rPr>
        <w:t>Mesures préventives appliquées par les États membres</w:t>
      </w:r>
    </w:p>
    <w:p>
      <w:pPr>
        <w:spacing w:after="120" w:line="240" w:lineRule="auto"/>
        <w:jc w:val="both"/>
        <w:rPr>
          <w:rFonts w:ascii="Verdana" w:hAnsi="Verdana"/>
          <w:noProof/>
          <w:sz w:val="18"/>
          <w:szCs w:val="20"/>
        </w:rPr>
      </w:pPr>
      <w:r>
        <w:rPr>
          <w:rFonts w:ascii="Verdana" w:hAnsi="Verdana"/>
          <w:noProof/>
          <w:sz w:val="18"/>
        </w:rPr>
        <w:t>Une structure administrative obligatoire a été mise en place au niveau des États membres. La gestion, le contrôle et le paiement des dépenses sont confiés à des organismes payeurs agréés. Le respect de conditions d’agrément strictes [définies dans le règlement d’exécution (UE) nº 908/2014 de la Commission et le règlement délégué (UE) nº 907/2014</w:t>
      </w:r>
      <w:r>
        <w:rPr>
          <w:rStyle w:val="FootnoteReference"/>
          <w:rFonts w:ascii="Verdana" w:hAnsi="Verdana"/>
          <w:noProof/>
          <w:sz w:val="18"/>
        </w:rPr>
        <w:footnoteReference w:id="12"/>
      </w:r>
      <w:r>
        <w:rPr>
          <w:rFonts w:ascii="Verdana" w:hAnsi="Verdana"/>
          <w:noProof/>
          <w:sz w:val="18"/>
        </w:rPr>
        <w:t xml:space="preserve"> de la Commission] fait l’objet d’un examen approfondi par un organisme d’audit externe indépendant désigné au niveau national (organisme de certification) et d'une surveillance constante de la part de l’autorité nationale compétente (à l'échelon ministériel). Les organismes payeurs sont tenus de fournir une déclaration de gestion annuelle, qui comporte une déclaration que le système existant fournit une assurance raisonnable quant à la légalité et à la régularité des opérations sous-jacentes. Ces déclarations de gestion sont vérifiées par les organismes de certification susmentionnés, qui doivent rendre un avis annuel.</w:t>
      </w:r>
    </w:p>
    <w:p>
      <w:pPr>
        <w:spacing w:after="240" w:line="240" w:lineRule="auto"/>
        <w:jc w:val="both"/>
        <w:rPr>
          <w:rFonts w:ascii="Verdana" w:hAnsi="Verdana"/>
          <w:noProof/>
          <w:sz w:val="18"/>
          <w:szCs w:val="20"/>
        </w:rPr>
      </w:pPr>
      <w:r>
        <w:rPr>
          <w:rFonts w:ascii="Verdana" w:hAnsi="Verdana"/>
          <w:noProof/>
          <w:sz w:val="18"/>
        </w:rPr>
        <w:t>Pour chaque régime de soutien financé par le FEAGA ou le Feader, les organismes payeurs appliquent un système de contrôles administratifs ex ante exhaustifs (toutes les demandes d’aide doivent être vérifiées) et de contrôles sur place (au moins 5 % pour la plupart des régimes) avant tout paiement. Ces contrôles sont effectués selon des règles précises, fixées dans la législation propre à chaque secteur [par exemple, le système intégré de gestion et de contrôle (SIGC), comprenant un système d’identification des parcelles agricoles (SIPA)]. Pour la majorité de ces régimes d’aide, les États membres sont tenus d’envoyer chaque année à la Commission des informations statistiques sur les contrôles effectués et leurs résultats (statistiques de contrôle).</w:t>
      </w:r>
    </w:p>
    <w:p>
      <w:pPr>
        <w:spacing w:after="240" w:line="240" w:lineRule="auto"/>
        <w:jc w:val="both"/>
        <w:rPr>
          <w:rFonts w:ascii="Verdana" w:hAnsi="Verdana"/>
          <w:b/>
          <w:noProof/>
          <w:sz w:val="18"/>
          <w:szCs w:val="20"/>
        </w:rPr>
      </w:pPr>
      <w:r>
        <w:rPr>
          <w:rFonts w:ascii="Verdana" w:hAnsi="Verdana"/>
          <w:b/>
          <w:noProof/>
          <w:sz w:val="18"/>
        </w:rPr>
        <w:t>Mesures préventives appliquées par la Commission</w:t>
      </w:r>
    </w:p>
    <w:tbl>
      <w:tblPr>
        <w:tblStyle w:val="TableGrid"/>
        <w:tblW w:w="9322" w:type="dxa"/>
        <w:tblLook w:val="04A0" w:firstRow="1" w:lastRow="0" w:firstColumn="1" w:lastColumn="0" w:noHBand="0" w:noVBand="1"/>
      </w:tblPr>
      <w:tblGrid>
        <w:gridCol w:w="5920"/>
        <w:gridCol w:w="3402"/>
      </w:tblGrid>
      <w:tr>
        <w:trPr>
          <w:trHeight w:val="1421"/>
        </w:trPr>
        <w:tc>
          <w:tcPr>
            <w:tcW w:w="5920" w:type="dxa"/>
            <w:tcBorders>
              <w:top w:val="nil"/>
              <w:left w:val="nil"/>
              <w:bottom w:val="nil"/>
              <w:right w:val="single" w:sz="12" w:space="0" w:color="auto"/>
            </w:tcBorders>
            <w:vAlign w:val="center"/>
          </w:tcPr>
          <w:p>
            <w:pPr>
              <w:widowControl w:val="0"/>
              <w:tabs>
                <w:tab w:val="left" w:pos="284"/>
              </w:tabs>
              <w:autoSpaceDE w:val="0"/>
              <w:autoSpaceDN w:val="0"/>
              <w:adjustRightInd w:val="0"/>
              <w:spacing w:line="240" w:lineRule="auto"/>
              <w:ind w:right="57"/>
              <w:jc w:val="both"/>
              <w:rPr>
                <w:rFonts w:ascii="Verdana" w:hAnsi="Verdana"/>
                <w:noProof/>
                <w:sz w:val="18"/>
                <w:szCs w:val="20"/>
              </w:rPr>
            </w:pPr>
            <w:r>
              <w:rPr>
                <w:rFonts w:ascii="Verdana" w:hAnsi="Verdana"/>
                <w:noProof/>
                <w:sz w:val="18"/>
              </w:rPr>
              <w:t>En vertu du récent règlement horizontal sur la politique agricole commune (PAC)</w:t>
            </w:r>
            <w:r>
              <w:rPr>
                <w:rStyle w:val="FootnoteReference"/>
                <w:rFonts w:ascii="Verdana" w:hAnsi="Verdana"/>
                <w:noProof/>
                <w:sz w:val="18"/>
              </w:rPr>
              <w:footnoteReference w:id="13"/>
            </w:r>
            <w:r>
              <w:rPr>
                <w:rFonts w:ascii="Verdana" w:hAnsi="Verdana"/>
                <w:noProof/>
                <w:sz w:val="18"/>
              </w:rPr>
              <w:t>, un nouveau cadre juridique est entré en vigueur en 2014, qui régit les réductions, les interruptions et les suspensions des versements au titre de la PAC. Ce nouveau cadre renforce les pouvoirs de la Commission en matière de réduction et de suspension des financements de l’UE en cas de détection de risques de paiements irréguliers.</w:t>
            </w:r>
          </w:p>
        </w:tc>
        <w:tc>
          <w:tcPr>
            <w:tcW w:w="340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after="120"/>
              <w:rPr>
                <w:rFonts w:ascii="Verdana" w:hAnsi="Verdana" w:cs="Calibri"/>
                <w:b/>
                <w:noProof/>
                <w:sz w:val="18"/>
                <w:szCs w:val="20"/>
              </w:rPr>
            </w:pPr>
            <w:r>
              <w:rPr>
                <w:rFonts w:ascii="Verdana" w:hAnsi="Verdana"/>
                <w:b/>
                <w:noProof/>
                <w:sz w:val="18"/>
              </w:rPr>
              <w:t>FEAGA: réductions d'un montant de 27,2 millions d’EUR pour quatorze États membres.</w:t>
            </w:r>
          </w:p>
          <w:p>
            <w:pPr>
              <w:widowControl w:val="0"/>
              <w:tabs>
                <w:tab w:val="left" w:pos="1280"/>
              </w:tabs>
              <w:autoSpaceDE w:val="0"/>
              <w:autoSpaceDN w:val="0"/>
              <w:adjustRightInd w:val="0"/>
              <w:spacing w:line="240" w:lineRule="auto"/>
              <w:ind w:right="57"/>
              <w:rPr>
                <w:rFonts w:ascii="Verdana" w:hAnsi="Verdana"/>
                <w:noProof/>
                <w:sz w:val="18"/>
                <w:szCs w:val="20"/>
              </w:rPr>
            </w:pPr>
            <w:r>
              <w:rPr>
                <w:rFonts w:ascii="Verdana" w:hAnsi="Verdana"/>
                <w:b/>
                <w:noProof/>
                <w:sz w:val="18"/>
              </w:rPr>
              <w:t>Feader: vingt-quatre interruptions et sept suspensions/réductions.</w:t>
            </w:r>
          </w:p>
        </w:tc>
      </w:tr>
    </w:tbl>
    <w:p>
      <w:pPr>
        <w:spacing w:before="120" w:after="240" w:line="240" w:lineRule="auto"/>
        <w:jc w:val="both"/>
        <w:rPr>
          <w:rFonts w:ascii="Verdana" w:eastAsia="Times New Roman" w:hAnsi="Verdana"/>
          <w:noProof/>
          <w:sz w:val="18"/>
          <w:szCs w:val="20"/>
        </w:rPr>
      </w:pPr>
      <w:r>
        <w:rPr>
          <w:rFonts w:ascii="Verdana" w:hAnsi="Verdana"/>
          <w:noProof/>
          <w:sz w:val="18"/>
        </w:rPr>
        <w:t>En conséquence, la Commission peut réduire ou suspendre les paiements mensuels (FEAGA) ou intermédiaires (Feader) lorsqu'«un ou plusieurs des éléments clés du système de contrôle national en cause font défaut ou sont inopérants en raison de la gravité ou de la persistance des déficiences constatées»</w:t>
      </w:r>
      <w:r>
        <w:rPr>
          <w:rStyle w:val="FootnoteReference"/>
          <w:rFonts w:ascii="Verdana" w:hAnsi="Verdana"/>
          <w:i/>
          <w:noProof/>
          <w:sz w:val="18"/>
        </w:rPr>
        <w:footnoteReference w:id="14"/>
      </w:r>
      <w:r>
        <w:rPr>
          <w:rFonts w:ascii="Verdana" w:hAnsi="Verdana"/>
          <w:noProof/>
          <w:sz w:val="18"/>
        </w:rPr>
        <w:t xml:space="preserve"> (ou lorsque le système de recouvrement des paiements irréguliers présente de graves déficiences similaires) et que:</w:t>
      </w:r>
    </w:p>
    <w:p>
      <w:pPr>
        <w:numPr>
          <w:ilvl w:val="0"/>
          <w:numId w:val="35"/>
        </w:numPr>
        <w:spacing w:after="0" w:line="240" w:lineRule="auto"/>
        <w:ind w:left="1077" w:hanging="357"/>
        <w:jc w:val="both"/>
        <w:rPr>
          <w:rFonts w:ascii="Verdana" w:eastAsia="Times New Roman" w:hAnsi="Verdana"/>
          <w:noProof/>
          <w:sz w:val="18"/>
          <w:szCs w:val="20"/>
        </w:rPr>
      </w:pPr>
      <w:r>
        <w:rPr>
          <w:rFonts w:ascii="Verdana" w:hAnsi="Verdana"/>
          <w:noProof/>
          <w:sz w:val="18"/>
        </w:rPr>
        <w:t>les déficiences sont permanentes et ont donné lieu à au moins deux décisions de corrections financières;</w:t>
      </w:r>
    </w:p>
    <w:p>
      <w:pPr>
        <w:spacing w:after="0" w:line="240" w:lineRule="auto"/>
        <w:ind w:left="720"/>
        <w:jc w:val="both"/>
        <w:rPr>
          <w:rFonts w:ascii="Verdana" w:eastAsia="Times New Roman" w:hAnsi="Verdana"/>
          <w:i/>
          <w:noProof/>
          <w:sz w:val="18"/>
          <w:szCs w:val="20"/>
          <w:u w:val="single"/>
        </w:rPr>
      </w:pPr>
      <w:r>
        <w:rPr>
          <w:rFonts w:ascii="Verdana" w:hAnsi="Verdana"/>
          <w:i/>
          <w:noProof/>
          <w:sz w:val="18"/>
          <w:u w:val="single"/>
        </w:rPr>
        <w:t>ou</w:t>
      </w:r>
    </w:p>
    <w:p>
      <w:pPr>
        <w:numPr>
          <w:ilvl w:val="0"/>
          <w:numId w:val="35"/>
        </w:numPr>
        <w:spacing w:after="240" w:line="240" w:lineRule="auto"/>
        <w:ind w:left="1077" w:hanging="357"/>
        <w:jc w:val="both"/>
        <w:rPr>
          <w:rFonts w:ascii="Verdana" w:eastAsia="Times New Roman" w:hAnsi="Verdana"/>
          <w:noProof/>
          <w:sz w:val="18"/>
          <w:szCs w:val="20"/>
        </w:rPr>
      </w:pPr>
      <w:r>
        <w:rPr>
          <w:rFonts w:ascii="Verdana" w:hAnsi="Verdana"/>
          <w:noProof/>
          <w:sz w:val="18"/>
        </w:rPr>
        <w:t>la Commission en conclut que l’État membre concerné n’est pas en mesure de mettre en œuvre les mesures nécessaires pour remédier à la situation dans l’immédiat, conformément à un plan d’action comportant des indicateurs de progrès clairs qui doivent être établis après consultation de la Commission.</w:t>
      </w:r>
    </w:p>
    <w:p>
      <w:pPr>
        <w:pStyle w:val="Textstand-alone"/>
        <w:spacing w:before="120" w:after="0"/>
        <w:rPr>
          <w:szCs w:val="20"/>
        </w:rPr>
      </w:pPr>
      <w:r>
        <w:t xml:space="preserve">En ce qui concerne le </w:t>
      </w:r>
      <w:r>
        <w:rPr>
          <w:b/>
        </w:rPr>
        <w:t>Feader</w:t>
      </w:r>
      <w:r>
        <w:t>, le nouveau règlement portant dispositions communes (RPDC)</w:t>
      </w:r>
      <w:r>
        <w:rPr>
          <w:rStyle w:val="FootnoteReference"/>
        </w:rPr>
        <w:footnoteReference w:id="15"/>
      </w:r>
      <w:r>
        <w:t xml:space="preserve"> prévoit aussi l’interruption des paiements intermédiaires par l’ordonnateur délégué (c’est-à-dire le directeur général) comme instrument complémentaire permettant de réagir rapidement si la légalité et la régularité des paiements font problème.</w:t>
      </w:r>
    </w:p>
    <w:p>
      <w:pPr>
        <w:pStyle w:val="Textstand-alone"/>
        <w:spacing w:before="120" w:after="120"/>
        <w:rPr>
          <w:szCs w:val="20"/>
        </w:rPr>
      </w:pPr>
      <w:r>
        <w:t xml:space="preserve">Pour le </w:t>
      </w:r>
      <w:r>
        <w:rPr>
          <w:b/>
        </w:rPr>
        <w:t>FEAGA</w:t>
      </w:r>
      <w:r>
        <w:t>, le rythme des paiements mensuels ne permettrait pas le recours à une telle procédure d’interruption. Aucune suspension de paiements n'a été opérée pour ce Fonds en 2015. Des réductions des paiements mensuels pour cause d'insuffisances du système de contrôle ont été effectuées pour la première fois en 2015, pour un montant total de 16 millions d’EUR (en Grèce). Les autres réductions étaient motivées par des dépassements de plafonds, le non-respect de délais et des problèmes d’éligibilité. Au total, 87 opérations ont fait l'objet de ces réductions.</w:t>
      </w:r>
    </w:p>
    <w:p>
      <w:pPr>
        <w:spacing w:after="240" w:line="240" w:lineRule="auto"/>
        <w:jc w:val="both"/>
        <w:rPr>
          <w:rFonts w:ascii="Verdana" w:hAnsi="Verdana"/>
          <w:noProof/>
          <w:sz w:val="18"/>
          <w:szCs w:val="18"/>
        </w:rPr>
      </w:pPr>
      <w:r>
        <w:rPr>
          <w:rFonts w:ascii="Verdana" w:hAnsi="Verdana"/>
          <w:noProof/>
          <w:sz w:val="18"/>
        </w:rPr>
        <w:t>Les interruptions et les réductions ou suspensions des paiements revêtent un caractère provisoire. Elles peuvent au besoin s'accompagner d’un audit. Si l'insuffisance est confirmée, les dépenses correspondantes sont définitivement exclues du financement de l’UE, moyennant l’application d’une correction financière dans le cadre de la procédure d’apurement de conformité.</w:t>
      </w:r>
    </w:p>
    <w:p>
      <w:pPr>
        <w:pStyle w:val="ManualHeading2"/>
        <w:rPr>
          <w:i/>
          <w:noProof/>
          <w:szCs w:val="22"/>
        </w:rPr>
      </w:pPr>
      <w:bookmarkStart w:id="65" w:name="_Toc456258166"/>
      <w:bookmarkStart w:id="66" w:name="_Toc461437491"/>
      <w:r>
        <w:t>4.2.</w:t>
      </w:r>
      <w:r>
        <w:tab/>
      </w:r>
      <w:r>
        <w:rPr>
          <w:noProof/>
        </w:rPr>
        <w:t>Mesures correctrices</w:t>
      </w:r>
      <w:bookmarkEnd w:id="65"/>
      <w:bookmarkEnd w:id="66"/>
    </w:p>
    <w:p>
      <w:pPr>
        <w:spacing w:after="120" w:line="240" w:lineRule="auto"/>
        <w:jc w:val="both"/>
        <w:rPr>
          <w:rFonts w:ascii="Verdana" w:hAnsi="Verdana"/>
          <w:noProof/>
          <w:sz w:val="18"/>
          <w:szCs w:val="20"/>
        </w:rPr>
      </w:pPr>
      <w:r>
        <w:rPr>
          <w:rFonts w:ascii="Verdana" w:hAnsi="Verdana"/>
          <w:noProof/>
          <w:sz w:val="18"/>
        </w:rPr>
        <w:t xml:space="preserve">Conformément au cadre juridique de la PAC, les corrections financières imposées par la Commission aux États membres </w:t>
      </w:r>
      <w:r>
        <w:rPr>
          <w:rFonts w:ascii="Verdana" w:hAnsi="Verdana"/>
          <w:b/>
          <w:noProof/>
          <w:sz w:val="18"/>
        </w:rPr>
        <w:t>ont toujours été des corrections nettes</w:t>
      </w:r>
      <w:r>
        <w:rPr>
          <w:rStyle w:val="FootnoteReference"/>
          <w:rFonts w:ascii="Verdana" w:hAnsi="Verdana"/>
          <w:noProof/>
          <w:sz w:val="18"/>
        </w:rPr>
        <w:footnoteReference w:id="16"/>
      </w:r>
      <w:r>
        <w:rPr>
          <w:rFonts w:ascii="Verdana" w:hAnsi="Verdana"/>
          <w:noProof/>
          <w:sz w:val="18"/>
        </w:rPr>
        <w:t>. Les montants sont effectivement remboursés par les États membres et sont traités comme des recettes affectées dans le budget de l’UE. Ils servent à financer les dépenses de la PAC dans son ensemble, sans être destinés à tel ou tel État membre. L’exécution proprement dite du remboursement au budget de l’UE peut être différée par des décisions d’échelonnement (exécution en trois tranches annuelles) ou de report.</w:t>
      </w:r>
    </w:p>
    <w:p>
      <w:pPr>
        <w:spacing w:after="120" w:line="240" w:lineRule="auto"/>
        <w:jc w:val="both"/>
        <w:rPr>
          <w:rFonts w:ascii="Verdana" w:hAnsi="Verdana"/>
          <w:b/>
          <w:noProof/>
          <w:sz w:val="18"/>
        </w:rPr>
      </w:pPr>
      <w:r>
        <w:rPr>
          <w:rFonts w:ascii="Verdana" w:hAnsi="Verdana"/>
          <w:noProof/>
          <w:sz w:val="18"/>
        </w:rPr>
        <w:t xml:space="preserve">Dans le cadre de la gestion partagée, la détection et la correction des erreurs relèvent de la responsabilité directe des États membres. À chaque fois que des défaillances sont détectées dans le système de gestion et de contrôle, des procédures de conformité sont ouvertes et, dans le même temps, les États membres sont invités à engager des actions correctrices. Ces dernières font l’objet d’un suivi étroit, leur non-application pouvant conduire à l'interruption, à la réduction ou à la suspension des paiements de l'UE pour la mesure concernée. Les États membres ont été invités à présenter des plans d’action visant à remédier aux insuffisances à l'origine des réserves émises. Ces plans d’action ont ensuite été évalués afin de vérifier qu'ils étaient effectivement, à condition d'être correctement mis en œuvre, de nature à remédier en temps utile aux insuffisances détectées. La Commission a procédé à l'évaluation annuelle de l’efficacité des mesures correctrices déjà prises par les États membres. Il peut être conclu que </w:t>
      </w:r>
      <w:r>
        <w:rPr>
          <w:rFonts w:ascii="Verdana" w:hAnsi="Verdana"/>
          <w:b/>
          <w:noProof/>
          <w:sz w:val="18"/>
        </w:rPr>
        <w:t>le risque pour le budget de l'UE est systématiquement pris en considération par la procédure d’apurement de conformité et les corrections financières nettes</w:t>
      </w:r>
      <w:r>
        <w:rPr>
          <w:rFonts w:ascii="Verdana" w:hAnsi="Verdana"/>
          <w:noProof/>
          <w:sz w:val="18"/>
        </w:rPr>
        <w:t>.</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260"/>
      </w:tblGrid>
      <w:tr>
        <w:tc>
          <w:tcPr>
            <w:tcW w:w="6062" w:type="dxa"/>
            <w:tcBorders>
              <w:right w:val="single" w:sz="12" w:space="0" w:color="auto"/>
            </w:tcBorders>
          </w:tcPr>
          <w:p>
            <w:pPr>
              <w:spacing w:line="240" w:lineRule="auto"/>
              <w:jc w:val="both"/>
              <w:rPr>
                <w:rFonts w:ascii="Verdana" w:hAnsi="Verdana"/>
                <w:noProof/>
                <w:sz w:val="18"/>
              </w:rPr>
            </w:pPr>
            <w:r>
              <w:rPr>
                <w:rFonts w:ascii="Verdana" w:hAnsi="Verdana"/>
                <w:noProof/>
                <w:sz w:val="18"/>
              </w:rPr>
              <w:t xml:space="preserve">Pour le </w:t>
            </w:r>
            <w:r>
              <w:rPr>
                <w:rFonts w:ascii="Verdana" w:hAnsi="Verdana"/>
                <w:b/>
                <w:noProof/>
                <w:sz w:val="18"/>
              </w:rPr>
              <w:t>FEAGA</w:t>
            </w:r>
            <w:r>
              <w:rPr>
                <w:rFonts w:ascii="Verdana" w:hAnsi="Verdana"/>
                <w:noProof/>
                <w:sz w:val="18"/>
              </w:rPr>
              <w:t>, on procède aux corrections financières en déduisant les montants considérés des paiements mensuels effectués par la Commission au cours du deuxième mois qui suit la décision prise par cette dernière d'imposer une correction financière à un État membre donné.</w:t>
            </w:r>
          </w:p>
        </w:tc>
        <w:tc>
          <w:tcPr>
            <w:tcW w:w="326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line="240" w:lineRule="auto"/>
              <w:rPr>
                <w:rFonts w:ascii="Verdana" w:hAnsi="Verdana"/>
                <w:noProof/>
                <w:sz w:val="18"/>
              </w:rPr>
            </w:pPr>
            <w:r>
              <w:rPr>
                <w:rFonts w:ascii="Verdana" w:hAnsi="Verdana"/>
                <w:b/>
                <w:noProof/>
                <w:sz w:val="18"/>
              </w:rPr>
              <w:t>Jusqu’à la fin de 2015, des décisions d’échelonnement ont été adoptées en rapport avec des corrections représentant un montant de 2,3 milliards d’EUR.</w:t>
            </w:r>
          </w:p>
        </w:tc>
      </w:tr>
    </w:tbl>
    <w:p>
      <w:pPr>
        <w:spacing w:after="120" w:line="240" w:lineRule="auto"/>
        <w:jc w:val="both"/>
        <w:rPr>
          <w:rFonts w:ascii="Verdana" w:hAnsi="Verdana"/>
          <w:noProof/>
          <w:sz w:val="18"/>
        </w:rPr>
      </w:pPr>
      <w:r>
        <w:rPr>
          <w:rFonts w:ascii="Verdana" w:hAnsi="Verdana"/>
          <w:noProof/>
          <w:sz w:val="18"/>
        </w:rPr>
        <w:t xml:space="preserve">Pour le </w:t>
      </w:r>
      <w:r>
        <w:rPr>
          <w:rFonts w:ascii="Verdana" w:hAnsi="Verdana"/>
          <w:b/>
          <w:noProof/>
          <w:sz w:val="18"/>
        </w:rPr>
        <w:t>Feader</w:t>
      </w:r>
      <w:r>
        <w:rPr>
          <w:rFonts w:ascii="Verdana" w:hAnsi="Verdana"/>
          <w:noProof/>
          <w:sz w:val="18"/>
        </w:rPr>
        <w:t>, les corrections financières sont exécutées au moyen d’un ordre de recouvrement imposant à l’État membre concerné de rembourser ces montants au budget de l’UE, le plus souvent par compensation, en les déduisant du remboursement du trimestre suivant. Il arrive donc que des décisions adoptées à la fin d’une année N ne soient exécutées qu'au début de l’année N+1. En outre, l’exécution d'une décision peut être retardée par des décisions d'échelonnement ou de report.</w:t>
      </w:r>
    </w:p>
    <w:p>
      <w:pPr>
        <w:spacing w:line="240" w:lineRule="auto"/>
        <w:jc w:val="both"/>
        <w:rPr>
          <w:rFonts w:ascii="Verdana" w:hAnsi="Verdana"/>
          <w:noProof/>
          <w:sz w:val="18"/>
        </w:rPr>
      </w:pPr>
      <w:r>
        <w:rPr>
          <w:rFonts w:ascii="Verdana" w:hAnsi="Verdana"/>
          <w:noProof/>
          <w:sz w:val="18"/>
        </w:rPr>
        <w:t>C'est particulièrement le cas depuis 2010, la crise financière et économique ayant poussé les États membres à demander plus souvent à bénéficier d'une disposition de la législation autorisant le remboursement des corrections financières par tranches annuelles (plutôt qu’au moyen d'un paiement unique): si le montant dû par l’État membre est supérieur à 0,01 % de son PIB, il peut demander que les déductions soient effectuées par tranches annuelles (au maximum trois) plutôt qu'en une seule fois.</w:t>
      </w:r>
    </w:p>
    <w:tbl>
      <w:tblPr>
        <w:tblStyle w:val="TableGrid"/>
        <w:tblW w:w="9464" w:type="dxa"/>
        <w:tblLook w:val="04A0" w:firstRow="1" w:lastRow="0" w:firstColumn="1" w:lastColumn="0" w:noHBand="0" w:noVBand="1"/>
      </w:tblPr>
      <w:tblGrid>
        <w:gridCol w:w="2943"/>
        <w:gridCol w:w="6521"/>
      </w:tblGrid>
      <w:tr>
        <w:trPr>
          <w:trHeight w:val="963"/>
        </w:trPr>
        <w:tc>
          <w:tcPr>
            <w:tcW w:w="2943"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after="0" w:line="240" w:lineRule="auto"/>
              <w:rPr>
                <w:rFonts w:ascii="Verdana" w:hAnsi="Verdana" w:cs="Calibri"/>
                <w:b/>
                <w:noProof/>
                <w:sz w:val="18"/>
                <w:szCs w:val="20"/>
              </w:rPr>
            </w:pPr>
            <w:r>
              <w:rPr>
                <w:rFonts w:ascii="Verdana" w:hAnsi="Verdana"/>
                <w:b/>
                <w:noProof/>
                <w:sz w:val="18"/>
              </w:rPr>
              <w:t>Reports du remboursement des corrections financières:</w:t>
            </w:r>
          </w:p>
          <w:p>
            <w:pPr>
              <w:pStyle w:val="ListParagraph"/>
              <w:numPr>
                <w:ilvl w:val="0"/>
                <w:numId w:val="59"/>
              </w:numPr>
              <w:spacing w:after="120"/>
              <w:rPr>
                <w:rFonts w:ascii="Verdana" w:hAnsi="Verdana"/>
                <w:b/>
                <w:i/>
                <w:noProof/>
                <w:sz w:val="20"/>
              </w:rPr>
            </w:pPr>
            <w:r>
              <w:rPr>
                <w:rFonts w:ascii="Verdana" w:hAnsi="Verdana"/>
                <w:b/>
                <w:noProof/>
                <w:sz w:val="18"/>
              </w:rPr>
              <w:t>Grèce</w:t>
            </w:r>
          </w:p>
          <w:p>
            <w:pPr>
              <w:pStyle w:val="ListParagraph"/>
              <w:numPr>
                <w:ilvl w:val="0"/>
                <w:numId w:val="59"/>
              </w:numPr>
              <w:spacing w:after="120"/>
              <w:rPr>
                <w:rFonts w:ascii="Verdana" w:hAnsi="Verdana"/>
                <w:b/>
                <w:i/>
                <w:noProof/>
                <w:sz w:val="20"/>
              </w:rPr>
            </w:pPr>
            <w:r>
              <w:rPr>
                <w:rFonts w:ascii="Verdana" w:hAnsi="Verdana"/>
                <w:b/>
                <w:noProof/>
                <w:sz w:val="18"/>
              </w:rPr>
              <w:t>Portugal</w:t>
            </w:r>
          </w:p>
        </w:tc>
        <w:tc>
          <w:tcPr>
            <w:tcW w:w="6521" w:type="dxa"/>
            <w:tcBorders>
              <w:top w:val="nil"/>
              <w:left w:val="single" w:sz="12" w:space="0" w:color="auto"/>
              <w:bottom w:val="nil"/>
              <w:right w:val="nil"/>
            </w:tcBorders>
          </w:tcPr>
          <w:p>
            <w:pPr>
              <w:spacing w:after="120" w:line="240" w:lineRule="auto"/>
              <w:jc w:val="both"/>
              <w:rPr>
                <w:rFonts w:ascii="Verdana" w:hAnsi="Verdana"/>
                <w:b/>
                <w:i/>
                <w:noProof/>
                <w:sz w:val="20"/>
              </w:rPr>
            </w:pPr>
            <w:r>
              <w:rPr>
                <w:rFonts w:ascii="Verdana" w:hAnsi="Verdana"/>
                <w:noProof/>
                <w:sz w:val="18"/>
              </w:rPr>
              <w:t>En 2012, la Commission a introduit une nouvelle disposition</w:t>
            </w:r>
            <w:r>
              <w:rPr>
                <w:rStyle w:val="FootnoteReference"/>
                <w:rFonts w:ascii="Verdana" w:hAnsi="Verdana"/>
                <w:noProof/>
                <w:sz w:val="18"/>
              </w:rPr>
              <w:footnoteReference w:id="17"/>
            </w:r>
            <w:r>
              <w:rPr>
                <w:rFonts w:ascii="Verdana" w:hAnsi="Verdana"/>
                <w:noProof/>
                <w:sz w:val="18"/>
              </w:rPr>
              <w:t xml:space="preserve"> permettant le report du remboursement des corrections financières pour les États membres qui bénéficient de l’aide financière de l’UE et à la condition qu'il soit remédié aux déficiences à l’origine de la correction financière.</w:t>
            </w:r>
          </w:p>
        </w:tc>
      </w:tr>
    </w:tbl>
    <w:p>
      <w:pPr>
        <w:spacing w:before="120" w:after="120" w:line="240" w:lineRule="auto"/>
        <w:jc w:val="both"/>
        <w:rPr>
          <w:rFonts w:ascii="Verdana" w:hAnsi="Verdana"/>
          <w:noProof/>
          <w:sz w:val="18"/>
        </w:rPr>
      </w:pPr>
      <w:r>
        <w:rPr>
          <w:rFonts w:ascii="Verdana" w:hAnsi="Verdana"/>
          <w:noProof/>
          <w:sz w:val="18"/>
        </w:rPr>
        <w:t>Les États membres concernés par les mécanismes d’assistance financière pouvaient demander à différer, pendant une période ponctuelle de 18 mois, leurs corrections financières. Tous les montants qui devaient être exécutés au cours de cette période ont été reportés à la fin de celle-ci; il a ensuite été prévu de rembourser le montant total en trois tranches annuelles. La Grèce a ainsi bénéficié d'une décision de report pour un montant de 529 millions d’EUR, tandis que 109 millions d’EUR ont été reportés pour le Portugal. Les deux premières tranches annuelles destinées à rembourser les montants reportés ont été versées en 2014 et en 2015, la troisième et dernière tranche annuelle sera remboursée en 2016.</w:t>
      </w:r>
    </w:p>
    <w:p>
      <w:pPr>
        <w:spacing w:line="240" w:lineRule="auto"/>
        <w:jc w:val="both"/>
        <w:rPr>
          <w:rFonts w:ascii="Verdana" w:hAnsi="Verdana"/>
          <w:noProof/>
          <w:sz w:val="18"/>
        </w:rPr>
      </w:pPr>
      <w:r>
        <w:rPr>
          <w:rFonts w:ascii="Verdana" w:hAnsi="Verdana"/>
          <w:noProof/>
          <w:sz w:val="18"/>
        </w:rPr>
        <w:t>En 2015, une nouvelle décision de report a été adoptée pour la Grèce. À l’issue de la période de report, les corrections doivent impérativement être exécutées en cinq tranches annuelles. Le report accordé à la Grèce expirera le 22 juin 2017. Jusqu’à présent, les montants reportés s'élèvent à 335 millions d’EUR.</w:t>
      </w:r>
    </w:p>
    <w:p>
      <w:pPr>
        <w:pStyle w:val="ManualHeading2"/>
        <w:rPr>
          <w:noProof/>
          <w:szCs w:val="22"/>
        </w:rPr>
      </w:pPr>
      <w:bookmarkStart w:id="67" w:name="_Toc456258167"/>
      <w:bookmarkStart w:id="68" w:name="_Toc461437492"/>
      <w:r>
        <w:t>4.3.</w:t>
      </w:r>
      <w:r>
        <w:tab/>
      </w:r>
      <w:r>
        <w:rPr>
          <w:noProof/>
        </w:rPr>
        <w:t>Déficiences relevées dans la gestion et le contrôle des États membres et mesures adoptées</w:t>
      </w:r>
      <w:bookmarkEnd w:id="67"/>
      <w:bookmarkEnd w:id="68"/>
    </w:p>
    <w:p>
      <w:pPr>
        <w:spacing w:after="120" w:line="240" w:lineRule="auto"/>
        <w:jc w:val="both"/>
        <w:rPr>
          <w:rFonts w:ascii="Verdana" w:hAnsi="Verdana"/>
          <w:noProof/>
          <w:sz w:val="18"/>
        </w:rPr>
      </w:pPr>
      <w:r>
        <w:rPr>
          <w:rFonts w:ascii="Verdana" w:hAnsi="Verdana"/>
          <w:noProof/>
          <w:sz w:val="18"/>
        </w:rPr>
        <w:t>La Commission a élaboré en 2013 des rapports sur les causes sous-jacentes des erreurs concernant chacune des trois activités de l'ABB (établissement du budget par activité) et a recensé les principales faiblesses des systèmes de gestion et de contrôle des États membres. Des mesures correctrices sont actuellement prises en guise de suivi par les États membres concernés et la Commission suit de près leur bonne application. La Commission s'efforce également de faire face, par des enquêtes d’audit et des plans d’action, déjà en cours dans certains États membres, aux principaux risques que les causes sous-jacentes font peser sur les Fonds. En plus de cela, une série de mesures destinées à améliorer le suivi, la communication et l'action correctrice sont envisagées plus en amont afin d'atténuer encore davantage les risques et d'éviter de futurs problèmes. Par ailleurs, la réforme de la PAC en 2013 a introduit, dans un certain nombre de domaines, des simplifications significatives (en témoigne notamment l'instauration des options de présentation simplifiée des coûts dans le domaine du développement rural), approuvées tant par le Parlement européen que par le Conseil des ministres, ainsi qu’une amélioration des systèmes de contrôle. Des efforts de simplification supplémentaires viseront à garantir une situation plus équitable pour les agriculteurs, tout en préservant l’efficacité du système et en tenant compte de la complexité de certains régimes, notamment en ce qui concerne les sanctions administratives.</w:t>
      </w:r>
    </w:p>
    <w:p>
      <w:pPr>
        <w:spacing w:after="120" w:line="240" w:lineRule="auto"/>
        <w:jc w:val="both"/>
        <w:rPr>
          <w:rFonts w:ascii="Verdana" w:hAnsi="Verdana"/>
          <w:noProof/>
          <w:sz w:val="18"/>
        </w:rPr>
      </w:pPr>
      <w:r>
        <w:rPr>
          <w:rFonts w:ascii="Verdana" w:hAnsi="Verdana"/>
          <w:noProof/>
          <w:sz w:val="18"/>
        </w:rPr>
        <w:t xml:space="preserve">Les </w:t>
      </w:r>
      <w:r>
        <w:rPr>
          <w:rFonts w:ascii="Verdana" w:hAnsi="Verdana"/>
          <w:b/>
          <w:noProof/>
          <w:sz w:val="18"/>
        </w:rPr>
        <w:t>principales causes sous-jacentes des erreurs en rapport avec les paiements directs</w:t>
      </w:r>
      <w:r>
        <w:rPr>
          <w:rFonts w:ascii="Verdana" w:hAnsi="Verdana"/>
          <w:noProof/>
          <w:sz w:val="18"/>
        </w:rPr>
        <w:t xml:space="preserve"> étaient les suivantes: des erreurs ou des manquements de la part de l'administration nationale, lorsque celles-ci omettent d'adapter leur système en vue de se conformer aux règles ou ne suivent pas leurs propres instructions; une qualité et une mise à jour insuffisantes du système d’identification des parcelles agricoles (SIPA); une faible qualité des contrôles sur place; des erreurs dans les demandes d’aide. Il convient de noter que le SIGC, qui inclut le SIPA, est le principal dispositif de gestion et de contrôle destiné à garantir la régularité des paiements d’aide directe. Ce système concerne plus de 90 % des dépenses du FEAGA et contribue sensiblement à la prévention et à la réduction du niveau des erreurs dans les régimes d’aide auxquels il s’applique. Lorsque des insuffisances sont détectées dans son fonctionnement, des mesures correctrices sont imposées et leur mise en œuvre est suivie de près par la Commission.</w:t>
      </w:r>
    </w:p>
    <w:p>
      <w:pPr>
        <w:spacing w:after="120" w:line="240" w:lineRule="auto"/>
        <w:jc w:val="both"/>
        <w:rPr>
          <w:rFonts w:ascii="Verdana" w:hAnsi="Verdana"/>
          <w:noProof/>
          <w:sz w:val="18"/>
        </w:rPr>
      </w:pPr>
      <w:r>
        <w:rPr>
          <w:rFonts w:ascii="Verdana" w:hAnsi="Verdana"/>
          <w:noProof/>
          <w:sz w:val="18"/>
        </w:rPr>
        <w:t xml:space="preserve">Pour les </w:t>
      </w:r>
      <w:r>
        <w:rPr>
          <w:rFonts w:ascii="Verdana" w:hAnsi="Verdana"/>
          <w:b/>
          <w:noProof/>
          <w:sz w:val="18"/>
        </w:rPr>
        <w:t>mesures de marché, les causes sous-jacentes des erreurs</w:t>
      </w:r>
      <w:r>
        <w:rPr>
          <w:rFonts w:ascii="Verdana" w:hAnsi="Verdana"/>
          <w:noProof/>
          <w:sz w:val="18"/>
        </w:rPr>
        <w:t xml:space="preserve"> sont les suivantes: le non</w:t>
      </w:r>
      <w:r>
        <w:rPr>
          <w:noProof/>
        </w:rPr>
        <w:noBreakHyphen/>
      </w:r>
      <w:r>
        <w:rPr>
          <w:rFonts w:ascii="Verdana" w:hAnsi="Verdana"/>
          <w:noProof/>
          <w:sz w:val="18"/>
        </w:rPr>
        <w:t>respect des conditions d’éligibilité en raison de la complexité de ces conditions et les difficultés à vérifier et à contrôler les mesures; les règles en matière de marchés publics; des interprétations divergentes, dans les États membres, de l’admissibilité des dépenses; des informations insuffisantes sur les systèmes de gestion et de contrôle des États membres; une application déficiente, de la part des États membres, des systèmes de gestion et de contrôle.</w:t>
      </w:r>
    </w:p>
    <w:p>
      <w:pPr>
        <w:spacing w:line="240" w:lineRule="auto"/>
        <w:jc w:val="both"/>
        <w:rPr>
          <w:rFonts w:ascii="Verdana" w:hAnsi="Verdana"/>
          <w:noProof/>
          <w:sz w:val="18"/>
        </w:rPr>
      </w:pPr>
      <w:r>
        <w:rPr>
          <w:rFonts w:ascii="Verdana" w:hAnsi="Verdana"/>
          <w:noProof/>
          <w:sz w:val="18"/>
        </w:rPr>
        <w:t>Le domaine du développement rural continue à faire l'objet d'une surveillance étroite. En 2015, soucieuse de s'attaquer aux erreurs à leur source, la DG AGRI a encore renforcé les plans d’action existants en réponse aux réserves formulées dans son rapport annuel d’activité pour 2014, sur la base d’une coopération et d’une analyse accrues au sein des services de la Commission et d’un dialogue intensif avec les États membres. Dans le même esprit, la communication d'informations par tous les États membres sur les plans d’action qu'ils ont adoptés au niveau national ou régional pour réduire les taux d’erreur a été améliorée. Cette approche met davantage l’accent sur un suivi régulier des constatations issues de l’audit et comprend des indicateurs et des jalons améliorés aux fins du suivi. Un outil informatique spécifique mis au point par la Commission en 2014 et pleinement opérationnel depuis 2015 sert à collecter et à traiter, d'une manière efficace et cohérente, les informations extraites des plans d’action nationaux ou régionaux, ce qui permet de disposer d'une vue d’ensemble et facilite un suivi approprié.</w:t>
      </w:r>
    </w:p>
    <w:p>
      <w:pPr>
        <w:spacing w:after="0" w:line="240" w:lineRule="auto"/>
        <w:rPr>
          <w:rFonts w:ascii="Verdana" w:eastAsia="Times New Roman" w:hAnsi="Verdana"/>
          <w:b/>
          <w:bCs/>
          <w:i/>
          <w:iCs/>
          <w:noProof/>
        </w:rPr>
      </w:pPr>
    </w:p>
    <w:p>
      <w:pPr>
        <w:pStyle w:val="ManualHeading2"/>
        <w:rPr>
          <w:noProof/>
          <w:szCs w:val="22"/>
        </w:rPr>
      </w:pPr>
      <w:bookmarkStart w:id="69" w:name="_Toc456258168"/>
      <w:bookmarkStart w:id="70" w:name="_Toc461437493"/>
      <w:r>
        <w:t>4.4.</w:t>
      </w:r>
      <w:r>
        <w:tab/>
      </w:r>
      <w:r>
        <w:rPr>
          <w:noProof/>
        </w:rPr>
        <w:t>Chiffres cumulés</w:t>
      </w:r>
      <w:bookmarkEnd w:id="69"/>
      <w:bookmarkEnd w:id="70"/>
    </w:p>
    <w:p>
      <w:pPr>
        <w:autoSpaceDE w:val="0"/>
        <w:autoSpaceDN w:val="0"/>
        <w:adjustRightInd w:val="0"/>
        <w:spacing w:after="240" w:line="240" w:lineRule="auto"/>
        <w:jc w:val="both"/>
        <w:rPr>
          <w:rFonts w:ascii="Verdana" w:hAnsi="Verdana"/>
          <w:noProof/>
          <w:sz w:val="18"/>
        </w:rPr>
      </w:pPr>
      <w:r>
        <w:rPr>
          <w:rFonts w:ascii="Verdana" w:hAnsi="Verdana"/>
          <w:noProof/>
          <w:sz w:val="18"/>
        </w:rPr>
        <w:t xml:space="preserve">En ce qui concerne le </w:t>
      </w:r>
      <w:r>
        <w:rPr>
          <w:rFonts w:ascii="Verdana" w:hAnsi="Verdana"/>
          <w:b/>
          <w:noProof/>
          <w:sz w:val="18"/>
        </w:rPr>
        <w:t>FEAGA</w:t>
      </w:r>
      <w:r>
        <w:rPr>
          <w:rFonts w:ascii="Verdana" w:hAnsi="Verdana"/>
          <w:noProof/>
          <w:sz w:val="18"/>
        </w:rPr>
        <w:t>, le montant des corrections financières décidées par la Commission depuis 1999 atteint au total 11 766 millions d’EUR. Le taux de correction moyen par exercice pour la période 1999-2015 s’est élevé à </w:t>
      </w:r>
      <w:r>
        <w:rPr>
          <w:rFonts w:ascii="Verdana" w:hAnsi="Verdana"/>
          <w:b/>
          <w:noProof/>
          <w:sz w:val="18"/>
        </w:rPr>
        <w:t>1,7 %</w:t>
      </w:r>
      <w:r>
        <w:rPr>
          <w:rFonts w:ascii="Verdana" w:hAnsi="Verdana"/>
          <w:noProof/>
          <w:sz w:val="18"/>
        </w:rPr>
        <w:t> des dépenses. Une fois décidées par la Commission, les corrections sont automatiquement exécutées, sauf si l’État membre dispose de la possibilité du paiement en trois tranches annuelles.</w:t>
      </w:r>
    </w:p>
    <w:p>
      <w:pPr>
        <w:spacing w:after="0" w:line="240" w:lineRule="auto"/>
        <w:jc w:val="both"/>
        <w:rPr>
          <w:rFonts w:ascii="Verdana" w:hAnsi="Verdana"/>
          <w:b/>
          <w:i/>
          <w:noProof/>
          <w:sz w:val="18"/>
        </w:rPr>
      </w:pPr>
      <w:r>
        <w:rPr>
          <w:rFonts w:ascii="Verdana" w:hAnsi="Verdana"/>
          <w:b/>
          <w:i/>
          <w:noProof/>
          <w:sz w:val="18"/>
        </w:rPr>
        <w:t>Tableau 4.4: Corrections financières cumulées du FEAGA décidées dans le cadre de l’apurement de conformité entre 1999 et fin 2015; ventilation par État membre</w:t>
      </w:r>
    </w:p>
    <w:tbl>
      <w:tblPr>
        <w:tblW w:w="9214" w:type="dxa"/>
        <w:tblInd w:w="108" w:type="dxa"/>
        <w:tblLook w:val="04A0" w:firstRow="1" w:lastRow="0" w:firstColumn="1" w:lastColumn="0" w:noHBand="0" w:noVBand="1"/>
      </w:tblPr>
      <w:tblGrid>
        <w:gridCol w:w="1985"/>
        <w:gridCol w:w="1417"/>
        <w:gridCol w:w="1418"/>
        <w:gridCol w:w="1417"/>
        <w:gridCol w:w="1418"/>
        <w:gridCol w:w="1559"/>
      </w:tblGrid>
      <w:tr>
        <w:trPr>
          <w:trHeight w:val="270"/>
        </w:trPr>
        <w:tc>
          <w:tcPr>
            <w:tcW w:w="9214" w:type="dxa"/>
            <w:gridSpan w:val="6"/>
            <w:tcBorders>
              <w:top w:val="nil"/>
              <w:left w:val="nil"/>
              <w:bottom w:val="single" w:sz="8" w:space="0" w:color="auto"/>
              <w:right w:val="nil"/>
            </w:tcBorders>
            <w:shd w:val="clear" w:color="auto" w:fill="auto"/>
            <w:noWrap/>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En Mio EUR</w:t>
            </w:r>
          </w:p>
        </w:tc>
      </w:tr>
      <w:tr>
        <w:trPr>
          <w:trHeight w:val="999"/>
        </w:trPr>
        <w:tc>
          <w:tcPr>
            <w:tcW w:w="1985" w:type="dxa"/>
            <w:tcBorders>
              <w:top w:val="nil"/>
              <w:left w:val="single" w:sz="8" w:space="0" w:color="auto"/>
              <w:bottom w:val="single" w:sz="8" w:space="0" w:color="auto"/>
              <w:right w:val="nil"/>
            </w:tcBorders>
            <w:shd w:val="clear" w:color="000000" w:fill="99CCFF"/>
            <w:vAlign w:val="center"/>
            <w:hideMark/>
          </w:tcPr>
          <w:p>
            <w:pPr>
              <w:spacing w:after="0" w:line="240" w:lineRule="auto"/>
              <w:jc w:val="both"/>
              <w:rPr>
                <w:rFonts w:ascii="Verdana" w:eastAsia="Times New Roman" w:hAnsi="Verdana"/>
                <w:b/>
                <w:bCs/>
                <w:noProof/>
                <w:color w:val="000000"/>
                <w:sz w:val="14"/>
                <w:szCs w:val="14"/>
              </w:rPr>
            </w:pPr>
            <w:r>
              <w:rPr>
                <w:rFonts w:ascii="Verdana" w:hAnsi="Verdana"/>
                <w:b/>
                <w:noProof/>
                <w:color w:val="000000"/>
                <w:sz w:val="14"/>
              </w:rPr>
              <w:t>État membre</w:t>
            </w:r>
          </w:p>
        </w:tc>
        <w:tc>
          <w:tcPr>
            <w:tcW w:w="1417" w:type="dxa"/>
            <w:tcBorders>
              <w:top w:val="nil"/>
              <w:left w:val="single" w:sz="8" w:space="0" w:color="auto"/>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Paiements FEAGA provenant du budget de l’UE</w:t>
            </w:r>
          </w:p>
        </w:tc>
        <w:tc>
          <w:tcPr>
            <w:tcW w:w="1418" w:type="dxa"/>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 des paiements reçus par rapport au total des paiements</w:t>
            </w:r>
          </w:p>
        </w:tc>
        <w:tc>
          <w:tcPr>
            <w:tcW w:w="1417" w:type="dxa"/>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Corrections financières FEAGA cumulées à la fin de 2015</w:t>
            </w:r>
          </w:p>
        </w:tc>
        <w:tc>
          <w:tcPr>
            <w:tcW w:w="1418" w:type="dxa"/>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 des paiements provenant du budget de l’UE</w:t>
            </w:r>
          </w:p>
        </w:tc>
        <w:tc>
          <w:tcPr>
            <w:tcW w:w="1559" w:type="dxa"/>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 du montant total des corrections financières</w:t>
            </w:r>
          </w:p>
        </w:tc>
      </w:tr>
      <w:tr>
        <w:trPr>
          <w:trHeight w:val="183"/>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Belgique</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12 755</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1,8 %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45</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0,4 %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0,4 %</w:t>
            </w:r>
          </w:p>
        </w:tc>
      </w:tr>
      <w:tr>
        <w:trPr>
          <w:trHeight w:val="93"/>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Bulgarie</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3 257</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0,5 %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71</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2,2 %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0,6 %</w:t>
            </w:r>
          </w:p>
        </w:tc>
      </w:tr>
      <w:tr>
        <w:trPr>
          <w:trHeight w:val="153"/>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République tchèque</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6 533</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0,9 %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8</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r>
      <w:tr>
        <w:trPr>
          <w:trHeight w:val="227"/>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Danemark</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18 208</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2,6 %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192</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1,1 %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1,6 %</w:t>
            </w:r>
          </w:p>
        </w:tc>
      </w:tr>
      <w:tr>
        <w:trPr>
          <w:trHeight w:val="131"/>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Allemagne</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92 771</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13,3 %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203</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0,2 %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1,7 %</w:t>
            </w:r>
          </w:p>
        </w:tc>
      </w:tr>
      <w:tr>
        <w:trPr>
          <w:trHeight w:val="205"/>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Estonie</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743</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123"/>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Irlande</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21 930</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3,2 %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108</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0,5 %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0,9 %</w:t>
            </w:r>
          </w:p>
        </w:tc>
      </w:tr>
      <w:tr>
        <w:trPr>
          <w:trHeight w:val="169"/>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Grèce</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42 621</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6,1 %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2 723</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6,4 %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23,1 %</w:t>
            </w:r>
          </w:p>
        </w:tc>
      </w:tr>
      <w:tr>
        <w:trPr>
          <w:trHeight w:val="229"/>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Espagne</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96 161</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13,8 %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1 510</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1,6 %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12,8 %</w:t>
            </w:r>
          </w:p>
        </w:tc>
      </w:tr>
      <w:tr>
        <w:trPr>
          <w:trHeight w:val="147"/>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France</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149 034</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21,4 %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2 588</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1,7 %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22,0 %</w:t>
            </w:r>
          </w:p>
        </w:tc>
      </w:tr>
      <w:tr>
        <w:trPr>
          <w:trHeight w:val="65"/>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Croatie</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253</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125"/>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Italie</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77 223</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11,1 %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1 930</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2,5 %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16,4 %</w:t>
            </w:r>
          </w:p>
        </w:tc>
      </w:tr>
      <w:tr>
        <w:trPr>
          <w:trHeight w:val="186"/>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Chypre</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453</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10</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2,1 %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r>
      <w:tr>
        <w:trPr>
          <w:trHeight w:val="63"/>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Lettonie</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1 065</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0,2 %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163"/>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Lituanie</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2 888</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0,4 %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24</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0,8 %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0,2 %</w:t>
            </w:r>
          </w:p>
        </w:tc>
      </w:tr>
      <w:tr>
        <w:trPr>
          <w:trHeight w:val="223"/>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Luxembourg</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507</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1,1 %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141"/>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Hongrie</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9 947</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1,4 %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63</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0,6 %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0,5 %</w:t>
            </w:r>
          </w:p>
        </w:tc>
      </w:tr>
      <w:tr>
        <w:trPr>
          <w:trHeight w:val="202"/>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Malte</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37</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0,8 %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119"/>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Pays-Bas</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18 058</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2,6 %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240</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1,3 %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2,0 %</w:t>
            </w:r>
          </w:p>
        </w:tc>
      </w:tr>
      <w:tr>
        <w:trPr>
          <w:trHeight w:val="179"/>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Autriche</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11 884</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1,7 %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12</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r>
      <w:tr>
        <w:trPr>
          <w:trHeight w:val="97"/>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Pologne</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23 517</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3,4 %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155</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0,7 %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1,3 %</w:t>
            </w:r>
          </w:p>
        </w:tc>
      </w:tr>
      <w:tr>
        <w:trPr>
          <w:trHeight w:val="157"/>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Portugal</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11 749</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1,7 %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342</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2,9 %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2,9 %</w:t>
            </w:r>
          </w:p>
        </w:tc>
      </w:tr>
      <w:tr>
        <w:trPr>
          <w:trHeight w:val="218"/>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Roumanie</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7 579</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1,1 %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207</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2,7 %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1,8 %</w:t>
            </w:r>
          </w:p>
        </w:tc>
      </w:tr>
      <w:tr>
        <w:trPr>
          <w:trHeight w:val="135"/>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Slovénie</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904</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20</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2,2 %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0,2 %</w:t>
            </w:r>
          </w:p>
        </w:tc>
      </w:tr>
      <w:tr>
        <w:trPr>
          <w:trHeight w:val="63"/>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Slovaquie</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2 898</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0,4 %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0,2 %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r>
      <w:tr>
        <w:trPr>
          <w:trHeight w:val="255"/>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Finlande</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8 971</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1,3 %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34</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0,4 %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0,3 %</w:t>
            </w:r>
          </w:p>
        </w:tc>
      </w:tr>
      <w:tr>
        <w:trPr>
          <w:trHeight w:val="145"/>
        </w:trPr>
        <w:tc>
          <w:tcPr>
            <w:tcW w:w="1985"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Suède</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11 935</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1,7 %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120</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1,0 %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1,0 %</w:t>
            </w:r>
          </w:p>
        </w:tc>
      </w:tr>
      <w:tr>
        <w:trPr>
          <w:trHeight w:val="142"/>
        </w:trPr>
        <w:tc>
          <w:tcPr>
            <w:tcW w:w="1985" w:type="dxa"/>
            <w:tcBorders>
              <w:top w:val="nil"/>
              <w:left w:val="single" w:sz="8" w:space="0" w:color="auto"/>
              <w:bottom w:val="single" w:sz="8" w:space="0" w:color="auto"/>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Royaume-Uni</w:t>
            </w:r>
          </w:p>
        </w:tc>
        <w:tc>
          <w:tcPr>
            <w:tcW w:w="1417"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61 373</w:t>
            </w:r>
          </w:p>
        </w:tc>
        <w:tc>
          <w:tcPr>
            <w:tcW w:w="1418"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8,8 %</w:t>
            </w:r>
          </w:p>
        </w:tc>
        <w:tc>
          <w:tcPr>
            <w:tcW w:w="141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1 146</w:t>
            </w:r>
          </w:p>
        </w:tc>
        <w:tc>
          <w:tcPr>
            <w:tcW w:w="141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1,9 %</w:t>
            </w:r>
          </w:p>
        </w:tc>
        <w:tc>
          <w:tcPr>
            <w:tcW w:w="1559"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9,7 %</w:t>
            </w:r>
          </w:p>
        </w:tc>
      </w:tr>
      <w:tr>
        <w:trPr>
          <w:trHeight w:val="300"/>
        </w:trPr>
        <w:tc>
          <w:tcPr>
            <w:tcW w:w="1985" w:type="dxa"/>
            <w:tcBorders>
              <w:top w:val="nil"/>
              <w:left w:val="single" w:sz="8" w:space="0" w:color="auto"/>
              <w:bottom w:val="single" w:sz="8" w:space="0" w:color="auto"/>
              <w:right w:val="nil"/>
            </w:tcBorders>
            <w:shd w:val="clear" w:color="auto" w:fill="auto"/>
            <w:noWrap/>
            <w:vAlign w:val="center"/>
            <w:hideMark/>
          </w:tcPr>
          <w:p>
            <w:pPr>
              <w:autoSpaceDE w:val="0"/>
              <w:autoSpaceDN w:val="0"/>
              <w:adjustRightInd w:val="0"/>
              <w:spacing w:after="0" w:line="240" w:lineRule="auto"/>
              <w:rPr>
                <w:rFonts w:ascii="Verdana" w:hAnsi="Verdana" w:cs="Verdana"/>
                <w:b/>
                <w:bCs/>
                <w:noProof/>
                <w:color w:val="000000"/>
                <w:sz w:val="16"/>
                <w:szCs w:val="16"/>
              </w:rPr>
            </w:pPr>
            <w:r>
              <w:rPr>
                <w:rFonts w:ascii="Verdana" w:hAnsi="Verdana"/>
                <w:b/>
                <w:noProof/>
                <w:color w:val="000000"/>
                <w:sz w:val="16"/>
              </w:rPr>
              <w:t>Total</w:t>
            </w:r>
          </w:p>
        </w:tc>
        <w:tc>
          <w:tcPr>
            <w:tcW w:w="1417" w:type="dxa"/>
            <w:tcBorders>
              <w:top w:val="single" w:sz="8" w:space="0" w:color="000000"/>
              <w:left w:val="single" w:sz="8" w:space="0" w:color="auto"/>
              <w:bottom w:val="single" w:sz="8" w:space="0" w:color="auto"/>
              <w:right w:val="single" w:sz="8" w:space="0" w:color="auto"/>
            </w:tcBorders>
            <w:shd w:val="clear" w:color="auto" w:fill="auto"/>
            <w:noWrap/>
            <w:vAlign w:val="center"/>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695 255</w:t>
            </w:r>
          </w:p>
        </w:tc>
        <w:tc>
          <w:tcPr>
            <w:tcW w:w="1418" w:type="dxa"/>
            <w:tcBorders>
              <w:top w:val="single" w:sz="8" w:space="0" w:color="auto"/>
              <w:left w:val="nil"/>
              <w:bottom w:val="single" w:sz="8" w:space="0" w:color="auto"/>
              <w:right w:val="single" w:sz="8" w:space="0" w:color="auto"/>
            </w:tcBorders>
            <w:shd w:val="clear" w:color="auto" w:fill="auto"/>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100,0 %</w:t>
            </w:r>
          </w:p>
        </w:tc>
        <w:tc>
          <w:tcPr>
            <w:tcW w:w="1417" w:type="dxa"/>
            <w:tcBorders>
              <w:top w:val="single" w:sz="8" w:space="0" w:color="000000"/>
              <w:left w:val="nil"/>
              <w:bottom w:val="single" w:sz="8" w:space="0" w:color="auto"/>
              <w:right w:val="single" w:sz="8" w:space="0" w:color="auto"/>
            </w:tcBorders>
            <w:shd w:val="clear" w:color="auto" w:fill="auto"/>
            <w:noWrap/>
            <w:vAlign w:val="center"/>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11 766</w:t>
            </w:r>
          </w:p>
        </w:tc>
        <w:tc>
          <w:tcPr>
            <w:tcW w:w="1418" w:type="dxa"/>
            <w:tcBorders>
              <w:top w:val="single" w:sz="8" w:space="0" w:color="auto"/>
              <w:left w:val="nil"/>
              <w:bottom w:val="single" w:sz="8" w:space="0" w:color="auto"/>
              <w:right w:val="single" w:sz="8" w:space="0" w:color="auto"/>
            </w:tcBorders>
            <w:shd w:val="clear" w:color="auto" w:fill="auto"/>
            <w:noWrap/>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1,7 %</w:t>
            </w:r>
          </w:p>
        </w:tc>
        <w:tc>
          <w:tcPr>
            <w:tcW w:w="1559" w:type="dxa"/>
            <w:tcBorders>
              <w:top w:val="single" w:sz="8" w:space="0" w:color="auto"/>
              <w:left w:val="nil"/>
              <w:bottom w:val="single" w:sz="8" w:space="0" w:color="auto"/>
              <w:right w:val="single" w:sz="8" w:space="0" w:color="auto"/>
            </w:tcBorders>
            <w:shd w:val="clear" w:color="auto" w:fill="auto"/>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100,0 %</w:t>
            </w:r>
          </w:p>
        </w:tc>
      </w:tr>
    </w:tbl>
    <w:p>
      <w:pPr>
        <w:spacing w:after="0" w:line="240" w:lineRule="auto"/>
        <w:rPr>
          <w:rFonts w:ascii="Verdana" w:hAnsi="Verdana"/>
          <w:b/>
          <w:i/>
          <w:noProof/>
          <w:sz w:val="20"/>
        </w:rPr>
      </w:pPr>
    </w:p>
    <w:p>
      <w:pPr>
        <w:spacing w:after="0" w:line="240" w:lineRule="auto"/>
        <w:rPr>
          <w:rFonts w:ascii="Verdana" w:hAnsi="Verdana"/>
          <w:b/>
          <w:i/>
          <w:noProof/>
          <w:sz w:val="18"/>
        </w:rPr>
      </w:pPr>
      <w:r>
        <w:rPr>
          <w:noProof/>
        </w:rPr>
        <w:br w:type="page"/>
      </w:r>
    </w:p>
    <w:p>
      <w:pPr>
        <w:spacing w:after="240" w:line="240" w:lineRule="auto"/>
        <w:jc w:val="both"/>
        <w:rPr>
          <w:rFonts w:ascii="Verdana" w:hAnsi="Verdana"/>
          <w:b/>
          <w:i/>
          <w:noProof/>
          <w:sz w:val="20"/>
        </w:rPr>
      </w:pPr>
      <w:r>
        <w:rPr>
          <w:rFonts w:ascii="Verdana" w:hAnsi="Verdana"/>
          <w:b/>
          <w:i/>
          <w:noProof/>
          <w:sz w:val="18"/>
        </w:rPr>
        <w:t>Graphique 4.4: Corrections financières FEAGA cumulées effectuées dans les États membres dans le cadre de l’apurement de conformité, entre 1999 et fin 2015, par rapport aux paiements provenant du budget de l’UE</w:t>
      </w:r>
    </w:p>
    <w:p>
      <w:pPr>
        <w:spacing w:after="240" w:line="240" w:lineRule="auto"/>
        <w:jc w:val="both"/>
        <w:rPr>
          <w:rFonts w:ascii="Verdana" w:hAnsi="Verdana"/>
          <w:b/>
          <w:i/>
          <w:noProof/>
          <w:sz w:val="20"/>
        </w:rPr>
      </w:pPr>
      <w:r>
        <w:rPr>
          <w:rFonts w:ascii="Verdana" w:hAnsi="Verdana"/>
          <w:b/>
          <w:i/>
          <w:noProof/>
          <w:sz w:val="20"/>
          <w:lang w:val="en-US" w:eastAsia="en-US" w:bidi="ar-SA"/>
        </w:rPr>
        <w:drawing>
          <wp:inline distT="0" distB="0" distL="0" distR="0">
            <wp:extent cx="5663565" cy="2749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63565" cy="2749550"/>
                    </a:xfrm>
                    <a:prstGeom prst="rect">
                      <a:avLst/>
                    </a:prstGeom>
                    <a:noFill/>
                  </pic:spPr>
                </pic:pic>
              </a:graphicData>
            </a:graphic>
          </wp:inline>
        </w:drawing>
      </w:r>
    </w:p>
    <w:p>
      <w:pPr>
        <w:pStyle w:val="ManualHeading2"/>
        <w:rPr>
          <w:noProof/>
          <w:szCs w:val="22"/>
        </w:rPr>
      </w:pPr>
      <w:bookmarkStart w:id="71" w:name="_Toc456258169"/>
      <w:bookmarkStart w:id="72" w:name="_Toc461437494"/>
      <w:r>
        <w:t>4.5.</w:t>
      </w:r>
      <w:r>
        <w:tab/>
      </w:r>
      <w:r>
        <w:rPr>
          <w:noProof/>
        </w:rPr>
        <w:t>Corrections des États membres</w:t>
      </w:r>
      <w:bookmarkEnd w:id="71"/>
      <w:bookmarkEnd w:id="72"/>
    </w:p>
    <w:p>
      <w:pPr>
        <w:spacing w:after="120" w:line="240" w:lineRule="auto"/>
        <w:jc w:val="both"/>
        <w:rPr>
          <w:rFonts w:ascii="Verdana" w:hAnsi="Verdana"/>
          <w:noProof/>
          <w:sz w:val="18"/>
          <w:szCs w:val="20"/>
        </w:rPr>
      </w:pPr>
      <w:r>
        <w:rPr>
          <w:rFonts w:ascii="Verdana" w:hAnsi="Verdana"/>
          <w:noProof/>
          <w:sz w:val="18"/>
        </w:rPr>
        <w:t>Les États membres sont tenus d’instaurer des systèmes pour le contrôle ex ante ainsi que pour la réduction ou l'exclusion du financement.</w:t>
      </w:r>
    </w:p>
    <w:p>
      <w:pPr>
        <w:numPr>
          <w:ilvl w:val="0"/>
          <w:numId w:val="39"/>
        </w:numPr>
        <w:spacing w:after="120" w:line="240" w:lineRule="auto"/>
        <w:jc w:val="both"/>
        <w:rPr>
          <w:rFonts w:ascii="Verdana" w:hAnsi="Verdana"/>
          <w:noProof/>
          <w:sz w:val="18"/>
          <w:szCs w:val="20"/>
        </w:rPr>
      </w:pPr>
      <w:r>
        <w:rPr>
          <w:rFonts w:ascii="Verdana" w:hAnsi="Verdana"/>
          <w:noProof/>
          <w:sz w:val="18"/>
        </w:rPr>
        <w:t>Pour chaque régime d’aide/de soutien financé par le FEAGA ou le Feader, des contrôles administratifs ex ante et sur place sont effectués, et des sanctions dissuasives sont infligées en cas de manquement de la part du bénéficiaire. Ces systèmes de contrôle, qui sont à appliquer par les organismes payeurs, comportent à la fois des caractéristiques communes et des règles spécifiques adaptées aux particularités de chaque régime d’aide. Ces systèmes permettent d’effectuer des contrôles administratifs ex ante exhaustifs sur l’intégralité des demandes d’aide, des contrôles croisés avec d’autres bases de données lorsque cela est jugé approprié, ainsi que des contrôles sur place avant paiement sur la base d’un échantillon d’opérations représentant entre 1 et 100 % de la population, en fonction du risque associé au régime en question. Si ces contrôles sur place révèlent un nombre élevé d’irrégularités, des contrôles supplémentaires doivent être effectués.</w:t>
      </w:r>
    </w:p>
    <w:p>
      <w:pPr>
        <w:numPr>
          <w:ilvl w:val="0"/>
          <w:numId w:val="36"/>
        </w:numPr>
        <w:spacing w:after="120" w:line="240" w:lineRule="auto"/>
        <w:ind w:left="714" w:hanging="357"/>
        <w:jc w:val="both"/>
        <w:rPr>
          <w:rFonts w:ascii="Verdana" w:hAnsi="Verdana"/>
          <w:noProof/>
          <w:sz w:val="18"/>
          <w:szCs w:val="20"/>
        </w:rPr>
      </w:pPr>
      <w:r>
        <w:rPr>
          <w:rFonts w:ascii="Verdana" w:hAnsi="Verdana"/>
          <w:noProof/>
          <w:sz w:val="18"/>
        </w:rPr>
        <w:t>Dans ce contexte, le système le plus important est de loin le système intégré de gestion et de contrôle (SIGC) qui, au cours de l’exercice 2015, a couvert 93,8 % des dépenses du FEAGA. Dans la mesure du possible, le SIGC est également utilisé pour la gestion et le contrôle des mesures de développement rural relatives aux parcelles ou au cheptel, qui en 2015 ont représenté 54,1 % des paiements au titre du Feader. Pour les deux Fonds pris ensemble, le SIGC a couvert 85,6 % des dépenses totales.</w:t>
      </w:r>
    </w:p>
    <w:p>
      <w:pPr>
        <w:numPr>
          <w:ilvl w:val="0"/>
          <w:numId w:val="36"/>
        </w:numPr>
        <w:spacing w:after="120" w:line="240" w:lineRule="auto"/>
        <w:ind w:left="714" w:hanging="357"/>
        <w:jc w:val="both"/>
        <w:rPr>
          <w:rFonts w:ascii="Verdana" w:hAnsi="Verdana"/>
          <w:noProof/>
          <w:sz w:val="18"/>
          <w:szCs w:val="20"/>
        </w:rPr>
      </w:pPr>
      <w:r>
        <w:rPr>
          <w:rFonts w:ascii="Verdana" w:hAnsi="Verdana"/>
          <w:noProof/>
          <w:sz w:val="18"/>
        </w:rPr>
        <w:t>La législation prévoit que les États membres adressent à la Commission un rapport détaillé sur les contrôles effectués par eux et sur les sanctions appliquées. Ce système de rapports permet de calculer, pour les principaux régimes d’aide, le niveau d’erreur constaté par les États membres à l’échelon des bénéficiaires finals. En outre, l’exactitude des informations statistiques communiquées et la qualité des contrôles sur place sous-jacents sont vérifiées et validées par les organismes de certification pour les aides directes et les mesures de développement rural.</w:t>
      </w:r>
    </w:p>
    <w:p>
      <w:pPr>
        <w:spacing w:after="240" w:line="240" w:lineRule="auto"/>
        <w:jc w:val="both"/>
        <w:rPr>
          <w:rFonts w:ascii="Verdana" w:hAnsi="Verdana"/>
          <w:noProof/>
          <w:sz w:val="18"/>
          <w:szCs w:val="20"/>
        </w:rPr>
      </w:pPr>
      <w:r>
        <w:rPr>
          <w:rFonts w:ascii="Verdana" w:hAnsi="Verdana"/>
          <w:noProof/>
          <w:sz w:val="18"/>
        </w:rPr>
        <w:t>Les derniers rapports transmis par les États membres font ressortir l’effet préventif des contrôles administratifs ex ante et sur place effectués, qui ont abouti à des corrections d'un montant total de 353 millions d'EUR. Les corrections les plus importantes concernaient l’Espagne (70 millions d’EUR), l’Italie (39 millions d’EUR) et la Pologne (35 millions d’EUR). Voir l’</w:t>
      </w:r>
      <w:r>
        <w:rPr>
          <w:rFonts w:ascii="Verdana" w:hAnsi="Verdana"/>
          <w:b/>
          <w:noProof/>
          <w:sz w:val="18"/>
        </w:rPr>
        <w:t>annexe 6</w:t>
      </w:r>
      <w:r>
        <w:rPr>
          <w:rFonts w:ascii="Verdana" w:hAnsi="Verdana"/>
          <w:noProof/>
          <w:sz w:val="18"/>
        </w:rPr>
        <w:t xml:space="preserve"> pour le détail des chiffres communiqués en 2015.</w:t>
      </w:r>
    </w:p>
    <w:p>
      <w:pPr>
        <w:pStyle w:val="ManualHeading1"/>
        <w:rPr>
          <w:caps/>
          <w:noProof/>
          <w:szCs w:val="22"/>
        </w:rPr>
      </w:pPr>
      <w:bookmarkStart w:id="73" w:name="_Toc456258170"/>
      <w:bookmarkStart w:id="74" w:name="_Toc461437495"/>
      <w:r>
        <w:t>5.</w:t>
      </w:r>
      <w:r>
        <w:tab/>
      </w:r>
      <w:r>
        <w:rPr>
          <w:noProof/>
        </w:rPr>
        <w:t>POLITIQUE DE COHÉSION</w:t>
      </w:r>
      <w:bookmarkEnd w:id="73"/>
      <w:bookmarkEnd w:id="74"/>
    </w:p>
    <w:p>
      <w:pPr>
        <w:pStyle w:val="ManualHeading2"/>
        <w:rPr>
          <w:noProof/>
          <w:szCs w:val="22"/>
        </w:rPr>
      </w:pPr>
      <w:bookmarkStart w:id="75" w:name="_Toc456258171"/>
      <w:bookmarkStart w:id="76" w:name="_Toc461437496"/>
      <w:r>
        <w:t>5.1.</w:t>
      </w:r>
      <w:r>
        <w:tab/>
      </w:r>
      <w:r>
        <w:rPr>
          <w:noProof/>
        </w:rPr>
        <w:t>Mesures préventives</w:t>
      </w:r>
      <w:bookmarkEnd w:id="75"/>
      <w:bookmarkEnd w:id="76"/>
    </w:p>
    <w:p>
      <w:pPr>
        <w:pStyle w:val="Textstand-alone"/>
        <w:spacing w:before="120" w:after="120"/>
        <w:rPr>
          <w:rFonts w:cs="Calibri"/>
          <w:color w:val="000000" w:themeColor="text1"/>
          <w:szCs w:val="20"/>
        </w:rPr>
      </w:pPr>
      <w:r>
        <w:rPr>
          <w:color w:val="000000" w:themeColor="text1"/>
        </w:rPr>
        <w:t>En 2015, la Commission a continué d’appliquer la politique stricte d’interruption et de suspension des paiements arrêtée dans son plan d’action de 2008 pour le renforcement de sa fonction de surveillance dans le contexte de la gestion partagée des actions structurelles, de façon à protéger le budget de l’UE. Cette politique, en vigueur durant la période 2007-2013, fonctionne sur une base préventive: l'existence d'éléments probants suggérant une déficience majeure du système de gestion et de contrôle de tout ou partie d’un programme opérationnel entraîne automatiquement l’interruption des paiements intermédiaires — ou l’envoi d’une lettre d’avertissement si aucune demande de paiement n’est en suspens —, évitant ainsi que des montants susceptibles d'être entachés de graves irrégularités ne soient remboursés par le budget de l’UE.</w:t>
      </w:r>
    </w:p>
    <w:p>
      <w:pPr>
        <w:pStyle w:val="Textstand-alone"/>
        <w:spacing w:before="120" w:after="120"/>
        <w:rPr>
          <w:rFonts w:cs="Calibri"/>
          <w:color w:val="000000" w:themeColor="text1"/>
          <w:szCs w:val="20"/>
        </w:rPr>
      </w:pPr>
      <w:r>
        <w:rPr>
          <w:color w:val="000000" w:themeColor="text1"/>
        </w:rPr>
        <w:t xml:space="preserve">En ce qui concerne les programmes du </w:t>
      </w:r>
      <w:r>
        <w:rPr>
          <w:b/>
          <w:color w:val="000000" w:themeColor="text1"/>
        </w:rPr>
        <w:t>FEDER/FC</w:t>
      </w:r>
      <w:r>
        <w:rPr>
          <w:color w:val="000000" w:themeColor="text1"/>
        </w:rPr>
        <w:t xml:space="preserve"> et du </w:t>
      </w:r>
      <w:r>
        <w:rPr>
          <w:b/>
          <w:color w:val="000000" w:themeColor="text1"/>
        </w:rPr>
        <w:t>FSE</w:t>
      </w:r>
      <w:r>
        <w:rPr>
          <w:color w:val="000000" w:themeColor="text1"/>
        </w:rPr>
        <w:t>, il convient de souligner que les plans d'actions correctrices adoptés par les États membres comme suite à l'exercice, par la Commission, de sa fonction de surveillance ont aussi un effet préventif sur les dépenses déjà exposées par les bénéficiaires et inscrites au niveau national dans les comptes de l’autorité de certification, mais non encore déclarées à la Commission. Dans ces cas, l'autorité de certification applique la correction financière demandée par la Commission avant de déclarer les dépenses.</w:t>
      </w:r>
    </w:p>
    <w:tbl>
      <w:tblPr>
        <w:tblStyle w:val="TableGrid"/>
        <w:tblW w:w="9464" w:type="dxa"/>
        <w:tblLook w:val="04A0" w:firstRow="1" w:lastRow="0" w:firstColumn="1" w:lastColumn="0" w:noHBand="0" w:noVBand="1"/>
      </w:tblPr>
      <w:tblGrid>
        <w:gridCol w:w="2943"/>
        <w:gridCol w:w="6521"/>
      </w:tblGrid>
      <w:tr>
        <w:trPr>
          <w:trHeight w:val="963"/>
        </w:trPr>
        <w:tc>
          <w:tcPr>
            <w:tcW w:w="2943"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after="120"/>
              <w:rPr>
                <w:rFonts w:ascii="Verdana" w:hAnsi="Verdana"/>
                <w:b/>
                <w:i/>
                <w:noProof/>
                <w:sz w:val="20"/>
              </w:rPr>
            </w:pPr>
            <w:r>
              <w:rPr>
                <w:rFonts w:ascii="Verdana" w:hAnsi="Verdana"/>
                <w:b/>
                <w:noProof/>
                <w:color w:val="000000" w:themeColor="text1"/>
                <w:sz w:val="18"/>
              </w:rPr>
              <w:t>Les montants irréguliers sont déjà déduits des dépenses déclarées à la Commission.</w:t>
            </w:r>
          </w:p>
        </w:tc>
        <w:tc>
          <w:tcPr>
            <w:tcW w:w="6521" w:type="dxa"/>
            <w:tcBorders>
              <w:top w:val="nil"/>
              <w:left w:val="single" w:sz="12" w:space="0" w:color="auto"/>
              <w:bottom w:val="nil"/>
              <w:right w:val="nil"/>
            </w:tcBorders>
          </w:tcPr>
          <w:p>
            <w:pPr>
              <w:spacing w:after="120" w:line="240" w:lineRule="auto"/>
              <w:jc w:val="both"/>
              <w:rPr>
                <w:rFonts w:ascii="Verdana" w:hAnsi="Verdana"/>
                <w:b/>
                <w:i/>
                <w:noProof/>
                <w:sz w:val="20"/>
              </w:rPr>
            </w:pPr>
            <w:r>
              <w:rPr>
                <w:rFonts w:ascii="Verdana" w:hAnsi="Verdana"/>
                <w:noProof/>
                <w:color w:val="000000" w:themeColor="text1"/>
                <w:sz w:val="18"/>
              </w:rPr>
              <w:t>Les montants corrigés à titre préventif par les autorités de certification, avant la certification, peuvent être considérables, en particulier lorsque des corrections extrapolées ou forfaitaires sont appliquées en raison de déficiences des systèmes de gestion et de contrôle.</w:t>
            </w:r>
          </w:p>
        </w:tc>
      </w:tr>
    </w:tbl>
    <w:p>
      <w:pPr>
        <w:pStyle w:val="Textstand-alone"/>
        <w:spacing w:before="120" w:after="0"/>
        <w:rPr>
          <w:rFonts w:cs="Calibri"/>
          <w:color w:val="000000" w:themeColor="text1"/>
          <w:szCs w:val="20"/>
        </w:rPr>
      </w:pPr>
      <w:r>
        <w:rPr>
          <w:color w:val="000000" w:themeColor="text1"/>
        </w:rPr>
        <w:t>On en citera pour preuve les corrections financières à la source appliquées en 2015 à la Roumanie (345 millions d’EUR) ou en 2014 par la République tchèque (398 millions d’EUR) et la Hongrie (135 millions d’EUR) dans le cadre de plans d'actions correctrices portant sur différents programmes. En ce qui concerne le FSE, les principales corrections financières à la source confirmées ont été appliquées en 2015 à la Roumanie (77 millions d’EUR).</w:t>
      </w:r>
    </w:p>
    <w:p>
      <w:pPr>
        <w:pStyle w:val="Textstand-alone"/>
        <w:spacing w:before="120" w:after="0"/>
        <w:rPr>
          <w:rFonts w:cs="Calibri"/>
          <w:color w:val="000000" w:themeColor="text1"/>
          <w:szCs w:val="20"/>
        </w:rPr>
      </w:pPr>
      <w:r>
        <w:rPr>
          <w:color w:val="000000" w:themeColor="text1"/>
        </w:rPr>
        <w:t>Les lettres d’avertissement envoyées par la Commission lorsqu'elle détecte une insuffisance des systèmes avant qu’une demande de paiement ne lui soit soumise peuvent également avoir un effet préventif sur la protection du budget de l’UE. Toutefois, dans ce cas, aucun montant n’est communiqué par la Commission ou les États membres, cet effet étant plus difficile à quantifier. L’effet préventif de la fonction de surveillance de la Commission a pour conséquence une meilleure protection du budget de l’UE (et une diminution des erreurs détectées par les autorités d’audit lorsqu’elles vérifient les montants demandés à la Commission) et doit donc également être pris en considération dans les informations communiquées.</w:t>
      </w:r>
    </w:p>
    <w:p>
      <w:pPr>
        <w:pStyle w:val="Textstand-alone"/>
        <w:spacing w:before="120" w:after="0"/>
        <w:rPr>
          <w:rFonts w:cs="Calibri"/>
          <w:color w:val="000000" w:themeColor="text1"/>
        </w:rPr>
      </w:pPr>
      <w:r>
        <w:t>Les interruptions et suspensions ne sont levées que si des assurances raisonnables sont fournies concernant la mise en œuvre de mesures correctrices et/ou après application des corrections financières. Les corrections financières doivent être incluses dans la demande de paiement soumise à la Commission ou convenues avec celle-ci. L’adéquation des mesures correctrices, dont les corrections financières, est évaluée, en particulier, sur la base des informations probantes fournies par l’autorité d’audit nationale ou issues d'un audit de la Commission (audit de suivi) et au terme d'un examen au cas par cas, visant à garantir la cohérence, la transparence et l’égalité de traitement entre les États membres.</w:t>
      </w:r>
    </w:p>
    <w:p>
      <w:pPr>
        <w:pStyle w:val="Textstand-alone"/>
        <w:spacing w:before="120" w:after="0"/>
        <w:rPr>
          <w:rFonts w:cs="Calibri"/>
          <w:color w:val="000000" w:themeColor="text1"/>
          <w:szCs w:val="20"/>
        </w:rPr>
      </w:pPr>
    </w:p>
    <w:p>
      <w:pPr>
        <w:spacing w:after="0" w:line="240" w:lineRule="auto"/>
        <w:rPr>
          <w:rFonts w:ascii="Verdana" w:hAnsi="Verdana"/>
          <w:i/>
          <w:noProof/>
          <w:sz w:val="20"/>
          <w:szCs w:val="20"/>
        </w:rPr>
      </w:pPr>
      <w:r>
        <w:rPr>
          <w:noProof/>
        </w:rPr>
        <w:br w:type="page"/>
      </w:r>
    </w:p>
    <w:p>
      <w:pPr>
        <w:spacing w:after="120" w:line="240" w:lineRule="auto"/>
        <w:rPr>
          <w:rFonts w:ascii="Verdana" w:hAnsi="Verdana"/>
          <w:i/>
          <w:noProof/>
          <w:sz w:val="20"/>
          <w:szCs w:val="20"/>
        </w:rPr>
      </w:pPr>
      <w:r>
        <w:rPr>
          <w:rFonts w:ascii="Verdana" w:hAnsi="Verdana"/>
          <w:i/>
          <w:noProof/>
          <w:sz w:val="20"/>
        </w:rPr>
        <w:t>5.1.1 Interruptions et suspensions</w:t>
      </w:r>
    </w:p>
    <w:p>
      <w:pPr>
        <w:spacing w:after="0" w:line="240" w:lineRule="auto"/>
        <w:jc w:val="both"/>
        <w:rPr>
          <w:rFonts w:ascii="Verdana" w:hAnsi="Verdana"/>
          <w:b/>
          <w:i/>
          <w:noProof/>
          <w:sz w:val="20"/>
        </w:rPr>
      </w:pPr>
      <w:r>
        <w:rPr>
          <w:rFonts w:ascii="Verdana" w:hAnsi="Verdana"/>
          <w:b/>
          <w:i/>
          <w:noProof/>
          <w:sz w:val="20"/>
        </w:rPr>
        <w:t>Tableau 5.1.1: Interruptions</w:t>
      </w:r>
    </w:p>
    <w:tbl>
      <w:tblPr>
        <w:tblW w:w="5000" w:type="pct"/>
        <w:tblLook w:val="04A0" w:firstRow="1" w:lastRow="0" w:firstColumn="1" w:lastColumn="0" w:noHBand="0" w:noVBand="1"/>
      </w:tblPr>
      <w:tblGrid>
        <w:gridCol w:w="2330"/>
        <w:gridCol w:w="892"/>
        <w:gridCol w:w="885"/>
        <w:gridCol w:w="890"/>
        <w:gridCol w:w="886"/>
        <w:gridCol w:w="890"/>
        <w:gridCol w:w="886"/>
        <w:gridCol w:w="890"/>
        <w:gridCol w:w="881"/>
      </w:tblGrid>
      <w:tr>
        <w:trPr>
          <w:trHeight w:val="255"/>
        </w:trPr>
        <w:tc>
          <w:tcPr>
            <w:tcW w:w="5000" w:type="pct"/>
            <w:gridSpan w:val="9"/>
            <w:tcBorders>
              <w:top w:val="nil"/>
              <w:left w:val="nil"/>
              <w:bottom w:val="nil"/>
              <w:right w:val="nil"/>
            </w:tcBorders>
            <w:shd w:val="clear" w:color="auto" w:fill="auto"/>
            <w:noWrap/>
            <w:vAlign w:val="bottom"/>
            <w:hideMark/>
          </w:tcPr>
          <w:p>
            <w:pPr>
              <w:spacing w:after="0" w:line="240" w:lineRule="auto"/>
              <w:jc w:val="right"/>
              <w:rPr>
                <w:rFonts w:ascii="Verdana" w:eastAsia="Times New Roman" w:hAnsi="Verdana"/>
                <w:i/>
                <w:noProof/>
                <w:color w:val="000000"/>
                <w:sz w:val="16"/>
                <w:szCs w:val="16"/>
              </w:rPr>
            </w:pPr>
            <w:r>
              <w:rPr>
                <w:rFonts w:ascii="Verdana" w:hAnsi="Verdana"/>
                <w:i/>
                <w:noProof/>
                <w:color w:val="000000"/>
                <w:sz w:val="16"/>
              </w:rPr>
              <w:t>En Mio EUR</w:t>
            </w:r>
          </w:p>
        </w:tc>
      </w:tr>
      <w:tr>
        <w:trPr>
          <w:trHeight w:val="513"/>
        </w:trPr>
        <w:tc>
          <w:tcPr>
            <w:tcW w:w="1235" w:type="pct"/>
            <w:vMerge w:val="restart"/>
            <w:tcBorders>
              <w:top w:val="single" w:sz="4" w:space="0" w:color="auto"/>
              <w:left w:val="single" w:sz="4" w:space="0" w:color="auto"/>
              <w:right w:val="single" w:sz="4"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Fonds</w:t>
            </w:r>
          </w:p>
        </w:tc>
        <w:tc>
          <w:tcPr>
            <w:tcW w:w="3765" w:type="pct"/>
            <w:gridSpan w:val="8"/>
            <w:tcBorders>
              <w:top w:val="single" w:sz="4" w:space="0" w:color="auto"/>
              <w:left w:val="nil"/>
              <w:bottom w:val="nil"/>
              <w:right w:val="single" w:sz="4" w:space="0" w:color="000000"/>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Politique de cohésion: Période de programmation 2007-2013</w:t>
            </w:r>
          </w:p>
        </w:tc>
      </w:tr>
      <w:tr>
        <w:trPr>
          <w:trHeight w:val="570"/>
        </w:trPr>
        <w:tc>
          <w:tcPr>
            <w:tcW w:w="1235" w:type="pct"/>
            <w:vMerge/>
            <w:tcBorders>
              <w:left w:val="single" w:sz="4" w:space="0" w:color="auto"/>
              <w:right w:val="single" w:sz="4"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p>
        </w:tc>
        <w:tc>
          <w:tcPr>
            <w:tcW w:w="942" w:type="pct"/>
            <w:gridSpan w:val="2"/>
            <w:tcBorders>
              <w:top w:val="single" w:sz="4" w:space="0" w:color="auto"/>
              <w:left w:val="single" w:sz="4" w:space="0" w:color="auto"/>
              <w:bottom w:val="single" w:sz="4" w:space="0" w:color="auto"/>
              <w:right w:val="single" w:sz="4"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Nombre total de cas en cours au 31.12.2014</w:t>
            </w:r>
          </w:p>
        </w:tc>
        <w:tc>
          <w:tcPr>
            <w:tcW w:w="942" w:type="pct"/>
            <w:gridSpan w:val="2"/>
            <w:tcBorders>
              <w:top w:val="single" w:sz="4" w:space="0" w:color="auto"/>
              <w:left w:val="nil"/>
              <w:bottom w:val="single" w:sz="4" w:space="0" w:color="auto"/>
              <w:right w:val="single" w:sz="4"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Nouveaux cas 2015</w:t>
            </w:r>
          </w:p>
        </w:tc>
        <w:tc>
          <w:tcPr>
            <w:tcW w:w="942" w:type="pct"/>
            <w:gridSpan w:val="2"/>
            <w:tcBorders>
              <w:top w:val="single" w:sz="4" w:space="0" w:color="auto"/>
              <w:left w:val="nil"/>
              <w:bottom w:val="single" w:sz="4" w:space="0" w:color="auto"/>
              <w:right w:val="single" w:sz="4"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Cas clôturés en 2015</w:t>
            </w:r>
          </w:p>
        </w:tc>
        <w:tc>
          <w:tcPr>
            <w:tcW w:w="939" w:type="pct"/>
            <w:gridSpan w:val="2"/>
            <w:tcBorders>
              <w:top w:val="single" w:sz="4" w:space="0" w:color="auto"/>
              <w:left w:val="nil"/>
              <w:bottom w:val="single" w:sz="4" w:space="0" w:color="auto"/>
              <w:right w:val="single" w:sz="4"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Nombre total de cas en cours au 31.12.2015</w:t>
            </w:r>
          </w:p>
        </w:tc>
      </w:tr>
      <w:tr>
        <w:trPr>
          <w:trHeight w:val="510"/>
        </w:trPr>
        <w:tc>
          <w:tcPr>
            <w:tcW w:w="1235" w:type="pct"/>
            <w:vMerge/>
            <w:tcBorders>
              <w:left w:val="single" w:sz="4" w:space="0" w:color="auto"/>
              <w:bottom w:val="single" w:sz="4" w:space="0" w:color="000000"/>
              <w:right w:val="single" w:sz="4" w:space="0" w:color="auto"/>
            </w:tcBorders>
            <w:vAlign w:val="center"/>
            <w:hideMark/>
          </w:tcPr>
          <w:p>
            <w:pPr>
              <w:spacing w:after="0" w:line="240" w:lineRule="auto"/>
              <w:rPr>
                <w:rFonts w:ascii="Verdana" w:eastAsia="Times New Roman" w:hAnsi="Verdana"/>
                <w:b/>
                <w:bCs/>
                <w:noProof/>
                <w:color w:val="000000"/>
                <w:sz w:val="16"/>
                <w:szCs w:val="16"/>
              </w:rPr>
            </w:pPr>
          </w:p>
        </w:tc>
        <w:tc>
          <w:tcPr>
            <w:tcW w:w="473" w:type="pct"/>
            <w:tcBorders>
              <w:top w:val="nil"/>
              <w:left w:val="single" w:sz="4" w:space="0" w:color="auto"/>
              <w:bottom w:val="single" w:sz="4" w:space="0" w:color="auto"/>
              <w:right w:val="single" w:sz="4" w:space="0" w:color="auto"/>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Nombre de cas</w:t>
            </w:r>
          </w:p>
        </w:tc>
        <w:tc>
          <w:tcPr>
            <w:tcW w:w="469" w:type="pct"/>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Montant</w:t>
            </w:r>
          </w:p>
        </w:tc>
        <w:tc>
          <w:tcPr>
            <w:tcW w:w="472" w:type="pct"/>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Nombre de cas</w:t>
            </w:r>
          </w:p>
        </w:tc>
        <w:tc>
          <w:tcPr>
            <w:tcW w:w="470" w:type="pct"/>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Montant</w:t>
            </w:r>
          </w:p>
        </w:tc>
        <w:tc>
          <w:tcPr>
            <w:tcW w:w="472" w:type="pct"/>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Nombre de cas</w:t>
            </w:r>
          </w:p>
        </w:tc>
        <w:tc>
          <w:tcPr>
            <w:tcW w:w="470" w:type="pct"/>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Montant</w:t>
            </w:r>
          </w:p>
        </w:tc>
        <w:tc>
          <w:tcPr>
            <w:tcW w:w="472" w:type="pct"/>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Nombre de cas</w:t>
            </w:r>
          </w:p>
        </w:tc>
        <w:tc>
          <w:tcPr>
            <w:tcW w:w="467" w:type="pct"/>
            <w:tcBorders>
              <w:top w:val="nil"/>
              <w:left w:val="nil"/>
              <w:bottom w:val="single" w:sz="4" w:space="0" w:color="auto"/>
              <w:right w:val="single" w:sz="4" w:space="0" w:color="auto"/>
            </w:tcBorders>
            <w:shd w:val="clear" w:color="000000" w:fill="99CCFF"/>
            <w:vAlign w:val="center"/>
            <w:hideMark/>
          </w:tcPr>
          <w:p>
            <w:pPr>
              <w:spacing w:after="0" w:line="240" w:lineRule="auto"/>
              <w:jc w:val="center"/>
              <w:rPr>
                <w:rFonts w:ascii="Verdana" w:eastAsia="Times New Roman" w:hAnsi="Verdana"/>
                <w:b/>
                <w:bCs/>
                <w:noProof/>
                <w:color w:val="000000"/>
                <w:sz w:val="14"/>
                <w:szCs w:val="14"/>
              </w:rPr>
            </w:pPr>
            <w:r>
              <w:rPr>
                <w:rFonts w:ascii="Verdana" w:hAnsi="Verdana"/>
                <w:b/>
                <w:noProof/>
                <w:color w:val="000000"/>
                <w:sz w:val="14"/>
              </w:rPr>
              <w:t>Montant</w:t>
            </w:r>
          </w:p>
        </w:tc>
      </w:tr>
      <w:tr>
        <w:trPr>
          <w:trHeight w:val="270"/>
        </w:trPr>
        <w:tc>
          <w:tcPr>
            <w:tcW w:w="1235" w:type="pct"/>
            <w:tcBorders>
              <w:top w:val="nil"/>
              <w:left w:val="single" w:sz="4" w:space="0" w:color="auto"/>
              <w:bottom w:val="nil"/>
              <w:right w:val="single" w:sz="4" w:space="0" w:color="auto"/>
            </w:tcBorders>
            <w:shd w:val="clear" w:color="auto" w:fill="auto"/>
            <w:noWrap/>
            <w:vAlign w:val="bottom"/>
            <w:hideMark/>
          </w:tcPr>
          <w:p>
            <w:pPr>
              <w:widowControl w:val="0"/>
              <w:spacing w:after="0" w:line="240" w:lineRule="auto"/>
              <w:rPr>
                <w:rFonts w:ascii="Verdana" w:eastAsia="Times New Roman" w:hAnsi="Verdana"/>
                <w:b/>
                <w:bCs/>
                <w:i/>
                <w:iCs/>
                <w:noProof/>
                <w:color w:val="000000"/>
                <w:sz w:val="16"/>
                <w:szCs w:val="16"/>
              </w:rPr>
            </w:pPr>
            <w:r>
              <w:rPr>
                <w:rFonts w:ascii="Verdana" w:hAnsi="Verdana"/>
                <w:b/>
                <w:i/>
                <w:noProof/>
                <w:color w:val="000000"/>
                <w:sz w:val="16"/>
              </w:rPr>
              <w:t>FEDER et FC</w:t>
            </w:r>
          </w:p>
        </w:tc>
        <w:tc>
          <w:tcPr>
            <w:tcW w:w="473" w:type="pct"/>
            <w:tcBorders>
              <w:top w:val="nil"/>
              <w:left w:val="nil"/>
              <w:bottom w:val="nil"/>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99</w:t>
            </w:r>
          </w:p>
        </w:tc>
        <w:tc>
          <w:tcPr>
            <w:tcW w:w="469" w:type="pct"/>
            <w:tcBorders>
              <w:top w:val="nil"/>
              <w:left w:val="nil"/>
              <w:bottom w:val="nil"/>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3 818</w:t>
            </w:r>
          </w:p>
        </w:tc>
        <w:tc>
          <w:tcPr>
            <w:tcW w:w="472" w:type="pct"/>
            <w:tcBorders>
              <w:top w:val="nil"/>
              <w:left w:val="nil"/>
              <w:bottom w:val="nil"/>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87</w:t>
            </w:r>
          </w:p>
        </w:tc>
        <w:tc>
          <w:tcPr>
            <w:tcW w:w="470" w:type="pct"/>
            <w:tcBorders>
              <w:top w:val="nil"/>
              <w:left w:val="nil"/>
              <w:bottom w:val="nil"/>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5 299</w:t>
            </w:r>
          </w:p>
        </w:tc>
        <w:tc>
          <w:tcPr>
            <w:tcW w:w="472" w:type="pct"/>
            <w:tcBorders>
              <w:top w:val="nil"/>
              <w:left w:val="nil"/>
              <w:bottom w:val="nil"/>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135</w:t>
            </w:r>
          </w:p>
        </w:tc>
        <w:tc>
          <w:tcPr>
            <w:tcW w:w="470" w:type="pct"/>
            <w:tcBorders>
              <w:top w:val="nil"/>
              <w:left w:val="nil"/>
              <w:bottom w:val="nil"/>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7 387</w:t>
            </w:r>
          </w:p>
        </w:tc>
        <w:tc>
          <w:tcPr>
            <w:tcW w:w="472" w:type="pct"/>
            <w:tcBorders>
              <w:top w:val="nil"/>
              <w:left w:val="nil"/>
              <w:bottom w:val="nil"/>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51</w:t>
            </w:r>
          </w:p>
        </w:tc>
        <w:tc>
          <w:tcPr>
            <w:tcW w:w="467" w:type="pct"/>
            <w:tcBorders>
              <w:top w:val="nil"/>
              <w:left w:val="nil"/>
              <w:bottom w:val="nil"/>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1 730</w:t>
            </w:r>
          </w:p>
        </w:tc>
      </w:tr>
      <w:tr>
        <w:trPr>
          <w:trHeight w:val="255"/>
        </w:trPr>
        <w:tc>
          <w:tcPr>
            <w:tcW w:w="1235" w:type="pct"/>
            <w:tcBorders>
              <w:top w:val="nil"/>
              <w:left w:val="single" w:sz="4" w:space="0" w:color="auto"/>
              <w:bottom w:val="nil"/>
              <w:right w:val="single" w:sz="4" w:space="0" w:color="auto"/>
            </w:tcBorders>
            <w:shd w:val="clear" w:color="auto" w:fill="auto"/>
            <w:noWrap/>
            <w:vAlign w:val="bottom"/>
            <w:hideMark/>
          </w:tcPr>
          <w:p>
            <w:pPr>
              <w:widowControl w:val="0"/>
              <w:spacing w:after="0" w:line="240" w:lineRule="auto"/>
              <w:rPr>
                <w:rFonts w:ascii="Verdana" w:eastAsia="Times New Roman" w:hAnsi="Verdana"/>
                <w:b/>
                <w:bCs/>
                <w:i/>
                <w:iCs/>
                <w:noProof/>
                <w:color w:val="000000"/>
                <w:sz w:val="16"/>
                <w:szCs w:val="16"/>
              </w:rPr>
            </w:pPr>
            <w:r>
              <w:rPr>
                <w:rFonts w:ascii="Verdana" w:hAnsi="Verdana"/>
                <w:b/>
                <w:i/>
                <w:noProof/>
                <w:color w:val="000000"/>
                <w:sz w:val="16"/>
              </w:rPr>
              <w:t>FSE</w:t>
            </w:r>
          </w:p>
        </w:tc>
        <w:tc>
          <w:tcPr>
            <w:tcW w:w="473" w:type="pct"/>
            <w:tcBorders>
              <w:top w:val="nil"/>
              <w:left w:val="nil"/>
              <w:bottom w:val="nil"/>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32</w:t>
            </w:r>
          </w:p>
        </w:tc>
        <w:tc>
          <w:tcPr>
            <w:tcW w:w="469" w:type="pct"/>
            <w:tcBorders>
              <w:top w:val="nil"/>
              <w:left w:val="nil"/>
              <w:bottom w:val="nil"/>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970</w:t>
            </w:r>
          </w:p>
        </w:tc>
        <w:tc>
          <w:tcPr>
            <w:tcW w:w="472" w:type="pct"/>
            <w:tcBorders>
              <w:top w:val="nil"/>
              <w:left w:val="nil"/>
              <w:bottom w:val="nil"/>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27</w:t>
            </w:r>
          </w:p>
        </w:tc>
        <w:tc>
          <w:tcPr>
            <w:tcW w:w="470" w:type="pct"/>
            <w:tcBorders>
              <w:top w:val="nil"/>
              <w:left w:val="nil"/>
              <w:bottom w:val="nil"/>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1 392</w:t>
            </w:r>
          </w:p>
        </w:tc>
        <w:tc>
          <w:tcPr>
            <w:tcW w:w="472" w:type="pct"/>
            <w:tcBorders>
              <w:top w:val="nil"/>
              <w:left w:val="nil"/>
              <w:bottom w:val="nil"/>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33</w:t>
            </w:r>
          </w:p>
        </w:tc>
        <w:tc>
          <w:tcPr>
            <w:tcW w:w="470" w:type="pct"/>
            <w:tcBorders>
              <w:top w:val="nil"/>
              <w:left w:val="nil"/>
              <w:bottom w:val="nil"/>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1 599</w:t>
            </w:r>
          </w:p>
        </w:tc>
        <w:tc>
          <w:tcPr>
            <w:tcW w:w="472" w:type="pct"/>
            <w:tcBorders>
              <w:top w:val="nil"/>
              <w:left w:val="nil"/>
              <w:bottom w:val="nil"/>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26</w:t>
            </w:r>
          </w:p>
        </w:tc>
        <w:tc>
          <w:tcPr>
            <w:tcW w:w="467" w:type="pct"/>
            <w:tcBorders>
              <w:top w:val="nil"/>
              <w:left w:val="nil"/>
              <w:bottom w:val="nil"/>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762</w:t>
            </w:r>
          </w:p>
        </w:tc>
      </w:tr>
      <w:tr>
        <w:trPr>
          <w:trHeight w:val="25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pPr>
              <w:widowControl w:val="0"/>
              <w:spacing w:after="0" w:line="240" w:lineRule="auto"/>
              <w:rPr>
                <w:rFonts w:ascii="Verdana" w:eastAsia="Times New Roman" w:hAnsi="Verdana"/>
                <w:b/>
                <w:bCs/>
                <w:i/>
                <w:iCs/>
                <w:noProof/>
                <w:color w:val="000000"/>
                <w:sz w:val="16"/>
                <w:szCs w:val="16"/>
              </w:rPr>
            </w:pPr>
            <w:r>
              <w:rPr>
                <w:rFonts w:ascii="Verdana" w:hAnsi="Verdana"/>
                <w:b/>
                <w:i/>
                <w:noProof/>
                <w:color w:val="000000"/>
                <w:sz w:val="16"/>
              </w:rPr>
              <w:t>FEP</w:t>
            </w:r>
          </w:p>
        </w:tc>
        <w:tc>
          <w:tcPr>
            <w:tcW w:w="473" w:type="pct"/>
            <w:tcBorders>
              <w:top w:val="nil"/>
              <w:left w:val="nil"/>
              <w:bottom w:val="single" w:sz="4" w:space="0" w:color="auto"/>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7</w:t>
            </w:r>
          </w:p>
        </w:tc>
        <w:tc>
          <w:tcPr>
            <w:tcW w:w="469" w:type="pct"/>
            <w:tcBorders>
              <w:top w:val="nil"/>
              <w:left w:val="nil"/>
              <w:bottom w:val="single" w:sz="4" w:space="0" w:color="auto"/>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14</w:t>
            </w:r>
          </w:p>
        </w:tc>
        <w:tc>
          <w:tcPr>
            <w:tcW w:w="472" w:type="pct"/>
            <w:tcBorders>
              <w:top w:val="nil"/>
              <w:left w:val="nil"/>
              <w:bottom w:val="single" w:sz="4" w:space="0" w:color="auto"/>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25</w:t>
            </w:r>
          </w:p>
        </w:tc>
        <w:tc>
          <w:tcPr>
            <w:tcW w:w="470" w:type="pct"/>
            <w:tcBorders>
              <w:top w:val="nil"/>
              <w:left w:val="nil"/>
              <w:bottom w:val="single" w:sz="4" w:space="0" w:color="auto"/>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157</w:t>
            </w:r>
          </w:p>
        </w:tc>
        <w:tc>
          <w:tcPr>
            <w:tcW w:w="472" w:type="pct"/>
            <w:tcBorders>
              <w:top w:val="nil"/>
              <w:left w:val="nil"/>
              <w:bottom w:val="single" w:sz="4" w:space="0" w:color="auto"/>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30</w:t>
            </w:r>
          </w:p>
        </w:tc>
        <w:tc>
          <w:tcPr>
            <w:tcW w:w="470" w:type="pct"/>
            <w:tcBorders>
              <w:top w:val="nil"/>
              <w:left w:val="nil"/>
              <w:bottom w:val="single" w:sz="4" w:space="0" w:color="auto"/>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162</w:t>
            </w:r>
          </w:p>
        </w:tc>
        <w:tc>
          <w:tcPr>
            <w:tcW w:w="472" w:type="pct"/>
            <w:tcBorders>
              <w:top w:val="nil"/>
              <w:left w:val="nil"/>
              <w:bottom w:val="single" w:sz="4" w:space="0" w:color="auto"/>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2</w:t>
            </w:r>
          </w:p>
        </w:tc>
        <w:tc>
          <w:tcPr>
            <w:tcW w:w="467" w:type="pct"/>
            <w:tcBorders>
              <w:top w:val="nil"/>
              <w:left w:val="nil"/>
              <w:bottom w:val="single" w:sz="4" w:space="0" w:color="auto"/>
              <w:right w:val="single" w:sz="4" w:space="0" w:color="auto"/>
            </w:tcBorders>
            <w:shd w:val="clear" w:color="auto" w:fill="auto"/>
            <w:noWrap/>
            <w:vAlign w:val="center"/>
          </w:tcPr>
          <w:p>
            <w:pPr>
              <w:widowControl w:val="0"/>
              <w:spacing w:after="0" w:line="240" w:lineRule="auto"/>
              <w:jc w:val="right"/>
              <w:rPr>
                <w:rFonts w:ascii="Verdana" w:hAnsi="Verdana"/>
                <w:noProof/>
                <w:color w:val="000000"/>
                <w:sz w:val="16"/>
                <w:szCs w:val="16"/>
              </w:rPr>
            </w:pPr>
            <w:r>
              <w:rPr>
                <w:rFonts w:ascii="Verdana" w:hAnsi="Verdana"/>
                <w:noProof/>
                <w:color w:val="000000"/>
                <w:sz w:val="16"/>
              </w:rPr>
              <w:t>8</w:t>
            </w:r>
          </w:p>
        </w:tc>
      </w:tr>
      <w:tr>
        <w:trPr>
          <w:trHeight w:val="25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pPr>
              <w:widowControl w:val="0"/>
              <w:spacing w:after="0" w:line="240" w:lineRule="auto"/>
              <w:rPr>
                <w:rFonts w:ascii="Verdana" w:eastAsia="Times New Roman" w:hAnsi="Verdana"/>
                <w:b/>
                <w:bCs/>
                <w:noProof/>
                <w:color w:val="000000"/>
                <w:sz w:val="16"/>
                <w:szCs w:val="16"/>
              </w:rPr>
            </w:pPr>
            <w:r>
              <w:rPr>
                <w:rFonts w:ascii="Verdana" w:hAnsi="Verdana"/>
                <w:b/>
                <w:noProof/>
                <w:color w:val="000000"/>
                <w:sz w:val="16"/>
              </w:rPr>
              <w:t>Total</w:t>
            </w:r>
          </w:p>
        </w:tc>
        <w:tc>
          <w:tcPr>
            <w:tcW w:w="473" w:type="pct"/>
            <w:tcBorders>
              <w:top w:val="nil"/>
              <w:left w:val="nil"/>
              <w:bottom w:val="single" w:sz="4" w:space="0" w:color="auto"/>
              <w:right w:val="single" w:sz="4" w:space="0" w:color="auto"/>
            </w:tcBorders>
            <w:shd w:val="clear" w:color="auto" w:fill="auto"/>
            <w:noWrap/>
            <w:vAlign w:val="center"/>
          </w:tcPr>
          <w:p>
            <w:pPr>
              <w:widowControl w:val="0"/>
              <w:spacing w:after="0" w:line="240" w:lineRule="auto"/>
              <w:jc w:val="right"/>
              <w:rPr>
                <w:rFonts w:ascii="Verdana" w:hAnsi="Verdana"/>
                <w:b/>
                <w:bCs/>
                <w:noProof/>
                <w:color w:val="000000"/>
                <w:sz w:val="16"/>
                <w:szCs w:val="16"/>
              </w:rPr>
            </w:pPr>
            <w:r>
              <w:rPr>
                <w:rFonts w:ascii="Verdana" w:hAnsi="Verdana"/>
                <w:b/>
                <w:noProof/>
                <w:color w:val="000000"/>
                <w:sz w:val="16"/>
              </w:rPr>
              <w:t>138</w:t>
            </w:r>
          </w:p>
        </w:tc>
        <w:tc>
          <w:tcPr>
            <w:tcW w:w="469" w:type="pct"/>
            <w:tcBorders>
              <w:top w:val="nil"/>
              <w:left w:val="nil"/>
              <w:bottom w:val="single" w:sz="4" w:space="0" w:color="auto"/>
              <w:right w:val="single" w:sz="4" w:space="0" w:color="auto"/>
            </w:tcBorders>
            <w:shd w:val="clear" w:color="auto" w:fill="auto"/>
            <w:noWrap/>
            <w:vAlign w:val="center"/>
          </w:tcPr>
          <w:p>
            <w:pPr>
              <w:widowControl w:val="0"/>
              <w:spacing w:after="0" w:line="240" w:lineRule="auto"/>
              <w:jc w:val="right"/>
              <w:rPr>
                <w:rFonts w:ascii="Verdana" w:hAnsi="Verdana"/>
                <w:b/>
                <w:bCs/>
                <w:noProof/>
                <w:color w:val="000000"/>
                <w:sz w:val="16"/>
                <w:szCs w:val="16"/>
              </w:rPr>
            </w:pPr>
            <w:r>
              <w:rPr>
                <w:rFonts w:ascii="Verdana" w:hAnsi="Verdana"/>
                <w:b/>
                <w:noProof/>
                <w:color w:val="000000"/>
                <w:sz w:val="16"/>
              </w:rPr>
              <w:t>4 802</w:t>
            </w:r>
          </w:p>
        </w:tc>
        <w:tc>
          <w:tcPr>
            <w:tcW w:w="472" w:type="pct"/>
            <w:tcBorders>
              <w:top w:val="nil"/>
              <w:left w:val="nil"/>
              <w:bottom w:val="single" w:sz="4" w:space="0" w:color="auto"/>
              <w:right w:val="single" w:sz="4" w:space="0" w:color="auto"/>
            </w:tcBorders>
            <w:shd w:val="clear" w:color="auto" w:fill="auto"/>
            <w:noWrap/>
            <w:vAlign w:val="center"/>
          </w:tcPr>
          <w:p>
            <w:pPr>
              <w:widowControl w:val="0"/>
              <w:spacing w:after="0" w:line="240" w:lineRule="auto"/>
              <w:jc w:val="right"/>
              <w:rPr>
                <w:rFonts w:ascii="Verdana" w:hAnsi="Verdana"/>
                <w:b/>
                <w:bCs/>
                <w:noProof/>
                <w:color w:val="000000"/>
                <w:sz w:val="16"/>
                <w:szCs w:val="16"/>
              </w:rPr>
            </w:pPr>
            <w:r>
              <w:rPr>
                <w:rFonts w:ascii="Verdana" w:hAnsi="Verdana"/>
                <w:b/>
                <w:noProof/>
                <w:color w:val="000000"/>
                <w:sz w:val="16"/>
              </w:rPr>
              <w:t>139</w:t>
            </w:r>
          </w:p>
        </w:tc>
        <w:tc>
          <w:tcPr>
            <w:tcW w:w="470" w:type="pct"/>
            <w:tcBorders>
              <w:top w:val="nil"/>
              <w:left w:val="nil"/>
              <w:bottom w:val="single" w:sz="4" w:space="0" w:color="auto"/>
              <w:right w:val="single" w:sz="4" w:space="0" w:color="auto"/>
            </w:tcBorders>
            <w:shd w:val="clear" w:color="auto" w:fill="auto"/>
            <w:noWrap/>
            <w:vAlign w:val="center"/>
          </w:tcPr>
          <w:p>
            <w:pPr>
              <w:widowControl w:val="0"/>
              <w:spacing w:after="0" w:line="240" w:lineRule="auto"/>
              <w:jc w:val="right"/>
              <w:rPr>
                <w:rFonts w:ascii="Verdana" w:hAnsi="Verdana"/>
                <w:b/>
                <w:bCs/>
                <w:noProof/>
                <w:color w:val="000000"/>
                <w:sz w:val="16"/>
                <w:szCs w:val="16"/>
              </w:rPr>
            </w:pPr>
            <w:r>
              <w:rPr>
                <w:rFonts w:ascii="Verdana" w:hAnsi="Verdana"/>
                <w:b/>
                <w:noProof/>
                <w:color w:val="000000"/>
                <w:sz w:val="16"/>
              </w:rPr>
              <w:t>6 848</w:t>
            </w:r>
          </w:p>
        </w:tc>
        <w:tc>
          <w:tcPr>
            <w:tcW w:w="472" w:type="pct"/>
            <w:tcBorders>
              <w:top w:val="nil"/>
              <w:left w:val="nil"/>
              <w:bottom w:val="single" w:sz="4" w:space="0" w:color="auto"/>
              <w:right w:val="single" w:sz="4" w:space="0" w:color="auto"/>
            </w:tcBorders>
            <w:shd w:val="clear" w:color="auto" w:fill="auto"/>
            <w:noWrap/>
            <w:vAlign w:val="center"/>
          </w:tcPr>
          <w:p>
            <w:pPr>
              <w:widowControl w:val="0"/>
              <w:spacing w:after="0" w:line="240" w:lineRule="auto"/>
              <w:jc w:val="right"/>
              <w:rPr>
                <w:rFonts w:ascii="Verdana" w:hAnsi="Verdana"/>
                <w:b/>
                <w:bCs/>
                <w:noProof/>
                <w:color w:val="000000"/>
                <w:sz w:val="16"/>
                <w:szCs w:val="16"/>
              </w:rPr>
            </w:pPr>
            <w:r>
              <w:rPr>
                <w:rFonts w:ascii="Verdana" w:hAnsi="Verdana"/>
                <w:b/>
                <w:noProof/>
                <w:color w:val="000000"/>
                <w:sz w:val="16"/>
              </w:rPr>
              <w:t>198</w:t>
            </w:r>
          </w:p>
        </w:tc>
        <w:tc>
          <w:tcPr>
            <w:tcW w:w="470" w:type="pct"/>
            <w:tcBorders>
              <w:top w:val="nil"/>
              <w:left w:val="nil"/>
              <w:bottom w:val="single" w:sz="4" w:space="0" w:color="auto"/>
              <w:right w:val="single" w:sz="4" w:space="0" w:color="auto"/>
            </w:tcBorders>
            <w:shd w:val="clear" w:color="auto" w:fill="auto"/>
            <w:noWrap/>
            <w:vAlign w:val="center"/>
          </w:tcPr>
          <w:p>
            <w:pPr>
              <w:widowControl w:val="0"/>
              <w:spacing w:after="0" w:line="240" w:lineRule="auto"/>
              <w:jc w:val="right"/>
              <w:rPr>
                <w:rFonts w:ascii="Verdana" w:hAnsi="Verdana"/>
                <w:b/>
                <w:bCs/>
                <w:noProof/>
                <w:color w:val="000000"/>
                <w:sz w:val="16"/>
                <w:szCs w:val="16"/>
              </w:rPr>
            </w:pPr>
            <w:r>
              <w:rPr>
                <w:rFonts w:ascii="Verdana" w:hAnsi="Verdana"/>
                <w:b/>
                <w:noProof/>
                <w:color w:val="000000"/>
                <w:sz w:val="16"/>
              </w:rPr>
              <w:t>9 148</w:t>
            </w:r>
          </w:p>
        </w:tc>
        <w:tc>
          <w:tcPr>
            <w:tcW w:w="472" w:type="pct"/>
            <w:tcBorders>
              <w:top w:val="nil"/>
              <w:left w:val="nil"/>
              <w:bottom w:val="single" w:sz="4" w:space="0" w:color="auto"/>
              <w:right w:val="single" w:sz="4" w:space="0" w:color="auto"/>
            </w:tcBorders>
            <w:shd w:val="clear" w:color="auto" w:fill="auto"/>
            <w:noWrap/>
            <w:vAlign w:val="center"/>
          </w:tcPr>
          <w:p>
            <w:pPr>
              <w:widowControl w:val="0"/>
              <w:spacing w:after="0" w:line="240" w:lineRule="auto"/>
              <w:jc w:val="right"/>
              <w:rPr>
                <w:rFonts w:ascii="Verdana" w:hAnsi="Verdana"/>
                <w:b/>
                <w:bCs/>
                <w:noProof/>
                <w:color w:val="000000"/>
                <w:sz w:val="16"/>
                <w:szCs w:val="16"/>
              </w:rPr>
            </w:pPr>
            <w:r>
              <w:rPr>
                <w:rFonts w:ascii="Verdana" w:hAnsi="Verdana"/>
                <w:b/>
                <w:noProof/>
                <w:color w:val="000000"/>
                <w:sz w:val="16"/>
              </w:rPr>
              <w:t>79</w:t>
            </w:r>
          </w:p>
        </w:tc>
        <w:tc>
          <w:tcPr>
            <w:tcW w:w="467" w:type="pct"/>
            <w:tcBorders>
              <w:top w:val="nil"/>
              <w:left w:val="nil"/>
              <w:bottom w:val="single" w:sz="4" w:space="0" w:color="auto"/>
              <w:right w:val="single" w:sz="4" w:space="0" w:color="auto"/>
            </w:tcBorders>
            <w:shd w:val="clear" w:color="auto" w:fill="auto"/>
            <w:noWrap/>
            <w:vAlign w:val="center"/>
          </w:tcPr>
          <w:p>
            <w:pPr>
              <w:widowControl w:val="0"/>
              <w:spacing w:after="0" w:line="240" w:lineRule="auto"/>
              <w:jc w:val="right"/>
              <w:rPr>
                <w:rFonts w:ascii="Verdana" w:hAnsi="Verdana"/>
                <w:b/>
                <w:bCs/>
                <w:noProof/>
                <w:color w:val="000000"/>
                <w:sz w:val="16"/>
                <w:szCs w:val="16"/>
              </w:rPr>
            </w:pPr>
            <w:r>
              <w:rPr>
                <w:rFonts w:ascii="Verdana" w:hAnsi="Verdana"/>
                <w:b/>
                <w:noProof/>
                <w:color w:val="000000"/>
                <w:sz w:val="16"/>
              </w:rPr>
              <w:t>2 501</w:t>
            </w:r>
          </w:p>
        </w:tc>
      </w:tr>
    </w:tbl>
    <w:p>
      <w:pPr>
        <w:spacing w:before="120" w:after="240" w:line="240" w:lineRule="auto"/>
        <w:jc w:val="both"/>
        <w:rPr>
          <w:rFonts w:ascii="Verdana" w:hAnsi="Verdana"/>
          <w:noProof/>
          <w:sz w:val="14"/>
          <w:szCs w:val="14"/>
        </w:rPr>
      </w:pPr>
      <w:r>
        <w:rPr>
          <w:rFonts w:ascii="Verdana" w:hAnsi="Verdana"/>
          <w:noProof/>
          <w:sz w:val="14"/>
        </w:rPr>
        <w:t>Le tableau ci-dessus présente, pour le FEDER/FC, le FSE et le FEP, l’évolution des cas d’interruption, en indiquant tant leur nombre que les montants en jeu. Le chiffre de départ comprend tous les cas en cours à la fin de 2014, quelle que soit l’année durant laquelle l’interruption a été notifiée à l’État membre. Les nouveaux cas portent exclusivement sur les interruptions notifiées au cours de l’année 2015. Les cas clôturés sont les cas pour lesquels les paiements correspondant aux déclarations de coûts ont repris en 2015, quelle que soit l’année durant laquelle l’interruption a commencé. Les cas en cours à la fin de 2015 représentent les interruptions qui restent actives au 31 décembre 2015, ce qui signifie que la date limite pour le paiement des déclarations de coûts est toujours sous le coup d’une interruption dans l’attente de mesures correctrices à prendre par l’État membre concerné.</w:t>
      </w:r>
    </w:p>
    <w:p>
      <w:pPr>
        <w:spacing w:before="120" w:after="120" w:line="240" w:lineRule="auto"/>
        <w:jc w:val="both"/>
        <w:rPr>
          <w:rFonts w:ascii="Verdana" w:hAnsi="Verdana"/>
          <w:noProof/>
          <w:sz w:val="18"/>
          <w:szCs w:val="20"/>
        </w:rPr>
      </w:pPr>
      <w:r>
        <w:rPr>
          <w:rFonts w:ascii="Verdana" w:hAnsi="Verdana"/>
          <w:noProof/>
          <w:sz w:val="18"/>
        </w:rPr>
        <w:t xml:space="preserve">En ce qui concerne </w:t>
      </w:r>
      <w:r>
        <w:rPr>
          <w:rFonts w:ascii="Verdana" w:hAnsi="Verdana"/>
          <w:b/>
          <w:noProof/>
          <w:sz w:val="18"/>
        </w:rPr>
        <w:t>le FEDER et le FC</w:t>
      </w:r>
      <w:r>
        <w:rPr>
          <w:rFonts w:ascii="Verdana" w:hAnsi="Verdana"/>
          <w:noProof/>
          <w:sz w:val="18"/>
        </w:rPr>
        <w:t>, les cinquante-et-un paiements qui faisaient encore l'objet d'une interruption fin 2015 concernent l’Espagne (39), la Hongrie (5), les programmes transfrontières (4) et la République tchèque (3). La plupart de ces cas résultent de l’analyse des rapports de contrôle annuels transmis par les États membres et, dans une certaine mesure, d’autres sources, comme les médias ou les missions d'audit de la Commission.</w:t>
      </w:r>
    </w:p>
    <w:p>
      <w:pPr>
        <w:spacing w:before="120" w:after="120" w:line="240" w:lineRule="auto"/>
        <w:jc w:val="both"/>
        <w:rPr>
          <w:rFonts w:ascii="Verdana" w:hAnsi="Verdana"/>
          <w:noProof/>
          <w:sz w:val="18"/>
          <w:szCs w:val="20"/>
        </w:rPr>
      </w:pPr>
      <w:r>
        <w:rPr>
          <w:rFonts w:ascii="Verdana" w:hAnsi="Verdana"/>
          <w:noProof/>
          <w:sz w:val="18"/>
        </w:rPr>
        <w:t xml:space="preserve">Concernant le </w:t>
      </w:r>
      <w:r>
        <w:rPr>
          <w:rFonts w:ascii="Verdana" w:hAnsi="Verdana"/>
          <w:b/>
          <w:noProof/>
          <w:sz w:val="18"/>
        </w:rPr>
        <w:t>FSE</w:t>
      </w:r>
      <w:r>
        <w:rPr>
          <w:rFonts w:ascii="Verdana" w:hAnsi="Verdana"/>
          <w:noProof/>
          <w:sz w:val="18"/>
        </w:rPr>
        <w:t>, sur les vingt-six paiements qui faisaient encore l'objet d'une interruption fin 2015 [concernant l'Espagne (11), l'Italie (8), la France (2), la Hongrie (2), le Royaume-Uni (2) et l'Allemagne (1)], quinze étaient déjà interrompus à la fin de 2014.</w:t>
      </w:r>
    </w:p>
    <w:p>
      <w:pPr>
        <w:spacing w:before="120" w:after="240" w:line="240" w:lineRule="auto"/>
        <w:jc w:val="both"/>
        <w:rPr>
          <w:rFonts w:ascii="Verdana" w:hAnsi="Verdana"/>
          <w:b/>
          <w:i/>
          <w:noProof/>
          <w:sz w:val="14"/>
          <w:szCs w:val="14"/>
        </w:rPr>
      </w:pPr>
      <w:r>
        <w:rPr>
          <w:rFonts w:ascii="Verdana" w:hAnsi="Verdana"/>
          <w:noProof/>
          <w:sz w:val="18"/>
        </w:rPr>
        <w:t xml:space="preserve">Pour le </w:t>
      </w:r>
      <w:r>
        <w:rPr>
          <w:rFonts w:ascii="Verdana" w:hAnsi="Verdana"/>
          <w:b/>
          <w:noProof/>
          <w:sz w:val="18"/>
        </w:rPr>
        <w:t>FEP</w:t>
      </w:r>
      <w:r>
        <w:rPr>
          <w:rFonts w:ascii="Verdana" w:hAnsi="Verdana"/>
          <w:noProof/>
          <w:sz w:val="18"/>
        </w:rPr>
        <w:t>, la plupart des interruptions concernaient des questions découlant de l’analyse des rapports de contrôle annuels transmis par les États membres au début de chaque année (rapports manquants, peu fiables ou présentant des taux d’erreur élevés). Cinq programmes opérationnels ont fait l'objet de réserves dans le rapport d'activités annuel pour 2014 (avec interruption des paiements): dans chacun de ces cas, l’État membre concerné a pris les mesures correctrices qui s'imposaient et les paiements ont pu reprendre.</w:t>
      </w:r>
    </w:p>
    <w:p>
      <w:pPr>
        <w:keepNext/>
        <w:spacing w:after="120" w:line="240" w:lineRule="auto"/>
        <w:rPr>
          <w:rFonts w:ascii="Verdana" w:hAnsi="Verdana"/>
          <w:i/>
          <w:noProof/>
        </w:rPr>
      </w:pPr>
      <w:r>
        <w:rPr>
          <w:rFonts w:ascii="Verdana" w:hAnsi="Verdana"/>
          <w:i/>
          <w:noProof/>
        </w:rPr>
        <w:t>Suspensions</w:t>
      </w:r>
    </w:p>
    <w:p>
      <w:pPr>
        <w:spacing w:after="120" w:line="240" w:lineRule="auto"/>
        <w:jc w:val="both"/>
        <w:rPr>
          <w:rFonts w:ascii="Verdana" w:hAnsi="Verdana"/>
          <w:noProof/>
          <w:sz w:val="18"/>
          <w:szCs w:val="20"/>
        </w:rPr>
      </w:pPr>
      <w:r>
        <w:rPr>
          <w:rFonts w:ascii="Verdana" w:hAnsi="Verdana"/>
          <w:noProof/>
          <w:sz w:val="18"/>
        </w:rPr>
        <w:t xml:space="preserve">En ce qui concerne </w:t>
      </w:r>
      <w:r>
        <w:rPr>
          <w:rFonts w:ascii="Verdana" w:hAnsi="Verdana"/>
          <w:b/>
          <w:noProof/>
          <w:sz w:val="18"/>
        </w:rPr>
        <w:t>le FEDER et le FC</w:t>
      </w:r>
      <w:r>
        <w:rPr>
          <w:rFonts w:ascii="Verdana" w:hAnsi="Verdana"/>
          <w:noProof/>
          <w:sz w:val="18"/>
        </w:rPr>
        <w:t>, six programmes opérationnels ont fait l'objet de suspensions à la fin de 2014, dont trois ont été levées dans le courant de l’année 2015. Dix nouvelles décisions de suspension ont été adoptées en 2015, concernant l’Espagne (3), les programmes transfrontières (3), la Hongrie (2), l’Italie (1) et le Royaume-Uni (1). Parmi ces nouvelles décisions, six étaient encore en vigueur à la fin de l’année, ce qui a porté à neuf le nombre total de décisions de suspension en cours à la fin de l’année 2015.</w:t>
      </w:r>
    </w:p>
    <w:p>
      <w:pPr>
        <w:spacing w:after="120" w:line="240" w:lineRule="auto"/>
        <w:jc w:val="both"/>
        <w:rPr>
          <w:rFonts w:ascii="Verdana" w:hAnsi="Verdana"/>
          <w:noProof/>
          <w:sz w:val="18"/>
          <w:szCs w:val="20"/>
        </w:rPr>
      </w:pPr>
      <w:r>
        <w:rPr>
          <w:rFonts w:ascii="Verdana" w:hAnsi="Verdana"/>
          <w:noProof/>
          <w:sz w:val="18"/>
        </w:rPr>
        <w:t xml:space="preserve">En ce qui concerne le </w:t>
      </w:r>
      <w:r>
        <w:rPr>
          <w:rFonts w:ascii="Verdana" w:hAnsi="Verdana"/>
          <w:b/>
          <w:noProof/>
          <w:sz w:val="18"/>
        </w:rPr>
        <w:t>FSE</w:t>
      </w:r>
      <w:r>
        <w:rPr>
          <w:rFonts w:ascii="Verdana" w:hAnsi="Verdana"/>
          <w:noProof/>
          <w:sz w:val="18"/>
        </w:rPr>
        <w:t>, dix-huit programmes opérationnels ont fait l'objet de suspensions à la fin de 2014, dont onze ont été levées dans le courant de l’année 2015. Dix décisions de suspension ont été adoptées en 2015 [pour la France (1), l’Allemagne (1), la Hongrie (1), l’Italie (2), la Slovaquie (1), l’Espagne (1) et le Royaume-Uni (3)], dont deux (celle de la Slovaquie et l'une de celles du Royaume-Uni) ont été levées ultérieurement en 2015. À la fin de 2015, quinze suspensions en tout restaient en vigueur [pour la France (1), l’Allemagne (1), la Hongrie (1), l’Italie (3), l’Espagne (7) et le Royaume-Uni (2)].</w:t>
      </w:r>
    </w:p>
    <w:p>
      <w:pPr>
        <w:spacing w:after="360" w:line="240" w:lineRule="auto"/>
        <w:jc w:val="both"/>
        <w:rPr>
          <w:rFonts w:ascii="Verdana" w:hAnsi="Verdana"/>
          <w:noProof/>
          <w:sz w:val="18"/>
          <w:szCs w:val="20"/>
        </w:rPr>
      </w:pPr>
      <w:r>
        <w:rPr>
          <w:rFonts w:ascii="Verdana" w:hAnsi="Verdana"/>
          <w:noProof/>
          <w:sz w:val="18"/>
        </w:rPr>
        <w:t xml:space="preserve">Les paiements intermédiaires relatifs au programme opérationnel du </w:t>
      </w:r>
      <w:r>
        <w:rPr>
          <w:rFonts w:ascii="Verdana" w:hAnsi="Verdana"/>
          <w:b/>
          <w:noProof/>
          <w:sz w:val="18"/>
        </w:rPr>
        <w:t>FEP</w:t>
      </w:r>
      <w:r>
        <w:rPr>
          <w:rFonts w:ascii="Verdana" w:hAnsi="Verdana"/>
          <w:noProof/>
          <w:sz w:val="18"/>
        </w:rPr>
        <w:t xml:space="preserve"> pour l’Estonie ont été suspendus en mai 2014 et ont repris en avril 2015. Aucune autre suspension n'est prévue pour l'instant.</w:t>
      </w:r>
    </w:p>
    <w:p>
      <w:pPr>
        <w:spacing w:after="120" w:line="240" w:lineRule="auto"/>
        <w:rPr>
          <w:rFonts w:ascii="Verdana" w:hAnsi="Verdana"/>
          <w:i/>
          <w:noProof/>
          <w:sz w:val="20"/>
        </w:rPr>
      </w:pPr>
    </w:p>
    <w:p>
      <w:pPr>
        <w:spacing w:after="120" w:line="240" w:lineRule="auto"/>
        <w:rPr>
          <w:rFonts w:ascii="Verdana" w:hAnsi="Verdana"/>
          <w:i/>
          <w:noProof/>
          <w:sz w:val="20"/>
          <w:szCs w:val="20"/>
        </w:rPr>
      </w:pPr>
      <w:r>
        <w:rPr>
          <w:rFonts w:ascii="Verdana" w:hAnsi="Verdana"/>
          <w:i/>
          <w:noProof/>
          <w:sz w:val="20"/>
        </w:rPr>
        <w:t>5.1.2</w:t>
      </w:r>
      <w:r>
        <w:rPr>
          <w:noProof/>
        </w:rPr>
        <w:tab/>
      </w:r>
      <w:r>
        <w:rPr>
          <w:rFonts w:ascii="Verdana" w:hAnsi="Verdana"/>
          <w:i/>
          <w:noProof/>
          <w:sz w:val="20"/>
        </w:rPr>
        <w:t>Mesures de prévention contre la fraude</w:t>
      </w:r>
    </w:p>
    <w:p>
      <w:pPr>
        <w:spacing w:after="120" w:line="240" w:lineRule="auto"/>
        <w:jc w:val="both"/>
        <w:rPr>
          <w:rFonts w:ascii="Verdana" w:hAnsi="Verdana"/>
          <w:noProof/>
          <w:sz w:val="18"/>
        </w:rPr>
      </w:pPr>
      <w:r>
        <w:rPr>
          <w:rFonts w:ascii="Verdana" w:hAnsi="Verdana"/>
          <w:noProof/>
          <w:sz w:val="18"/>
        </w:rPr>
        <w:t>La première et la meilleure mesure de prévention contre la fraude consiste à disposer d'un système solide de contrôle interne, conçu et utilisé comme une réponse proportionnée aux risques recensés. Un tel système peut diminuer le risque de voir des fraudes se produire ou passer inaperçues, mais il ne saurait éliminer totalement le risque de fraude. Depuis fin 2015, les directions opérationnelles de la DG Politique régionale et urbaine sont chargées du suivi de soixante</w:t>
      </w:r>
      <w:r>
        <w:rPr>
          <w:noProof/>
        </w:rPr>
        <w:noBreakHyphen/>
      </w:r>
      <w:r>
        <w:rPr>
          <w:rFonts w:ascii="Verdana" w:hAnsi="Verdana"/>
          <w:noProof/>
          <w:sz w:val="18"/>
        </w:rPr>
        <w:t>dix</w:t>
      </w:r>
      <w:r>
        <w:rPr>
          <w:rFonts w:ascii="Verdana" w:hAnsi="Verdana"/>
          <w:noProof/>
          <w:sz w:val="18"/>
          <w:vertAlign w:val="superscript"/>
        </w:rPr>
        <w:footnoteReference w:id="18"/>
      </w:r>
      <w:r>
        <w:rPr>
          <w:rFonts w:ascii="Verdana" w:hAnsi="Verdana"/>
          <w:noProof/>
          <w:sz w:val="18"/>
        </w:rPr>
        <w:t xml:space="preserve"> enquêtes de l’OLAF liées au FEDER et au FC. Selon les estimations de l'OLAF, un montant pouvant aller jusqu’à 1 milliard d’EUR pourrait être affecté par les présomptions de fraude ou d’irrégularités. Il s’agit là d’un montant maximal, qui devra être évalué par l’ordonnateur sur la base des constatations communiquées.</w:t>
      </w:r>
    </w:p>
    <w:p>
      <w:pPr>
        <w:spacing w:after="120" w:line="240" w:lineRule="auto"/>
        <w:jc w:val="both"/>
        <w:rPr>
          <w:noProof/>
        </w:rPr>
      </w:pPr>
      <w:r>
        <w:rPr>
          <w:rFonts w:ascii="Verdana" w:hAnsi="Verdana"/>
          <w:noProof/>
          <w:sz w:val="18"/>
        </w:rPr>
        <w:t>Le rapport de la Commission du 31 juillet 2015 relatif à la lutte contre la fraude</w:t>
      </w:r>
      <w:r>
        <w:rPr>
          <w:rFonts w:ascii="Verdana" w:hAnsi="Verdana"/>
          <w:noProof/>
          <w:sz w:val="18"/>
          <w:vertAlign w:val="superscript"/>
        </w:rPr>
        <w:footnoteReference w:id="19"/>
      </w:r>
      <w:r>
        <w:rPr>
          <w:rFonts w:ascii="Verdana" w:hAnsi="Verdana"/>
          <w:noProof/>
          <w:sz w:val="18"/>
        </w:rPr>
        <w:t xml:space="preserve"> fait état d'un total de 3 579 cas d’irrégularités signalés par les États membres à l’OLAF pour le FEDER et le FC, soit un montant potentiellement concerné de 1,68 milliard d’EUR. Selon ce même rapport, en 2014, la part de fraudes présumées parmi les irrégularités signalées à l’OLAF par les États membres représentait environ 0,51 % des paiements de 2014 au titre de la politique de cohésion. La Commission vérifie les actions menées par les autorités des États membres pour lutter contre la fraude, au moyen d'une approche fondée sur les risques. Néanmoins, étant donné le caractère très varié et changeant des stratagèmes de fraude et de corruption employés et le fait que la Commission ne peut se substituer aux autorités des États membres et vérifier l'intégralité des dépenses, l’ampleur de la fraude et/ou de la corruption, notamment dans les procédures de passation de marchés publics dans l’Union (dont une partie porte aussi sur des projets cofinancés par l’UE), pourrait être plus importante que ce que laissent penser les montants communiqués par les États membres. Aussi la Commission continue-t-elle à analyser les niveaux et les présomptions de risques de fraude dans les États membres, les régions et les programmes ainsi que les types de fraudes signalées (mode opératoire) et les mesures d’atténuation adoptées par les États membres.</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118"/>
      </w:tblGrid>
      <w:tr>
        <w:trPr>
          <w:trHeight w:val="1385"/>
        </w:trPr>
        <w:tc>
          <w:tcPr>
            <w:tcW w:w="6204" w:type="dxa"/>
            <w:tcBorders>
              <w:right w:val="single" w:sz="12" w:space="0" w:color="auto"/>
            </w:tcBorders>
          </w:tcPr>
          <w:p>
            <w:pPr>
              <w:spacing w:line="240" w:lineRule="auto"/>
              <w:jc w:val="both"/>
              <w:rPr>
                <w:rFonts w:ascii="Verdana" w:hAnsi="Verdana"/>
                <w:noProof/>
                <w:sz w:val="18"/>
              </w:rPr>
            </w:pPr>
            <w:r>
              <w:rPr>
                <w:rFonts w:ascii="Verdana" w:hAnsi="Verdana"/>
                <w:noProof/>
                <w:sz w:val="18"/>
              </w:rPr>
              <w:t>La stratégie antifraude conjointe 2015-2020</w:t>
            </w:r>
            <w:r>
              <w:rPr>
                <w:rStyle w:val="FootnoteReference"/>
                <w:rFonts w:ascii="Verdana" w:hAnsi="Verdana"/>
                <w:noProof/>
                <w:sz w:val="18"/>
              </w:rPr>
              <w:footnoteReference w:id="20"/>
            </w:r>
            <w:r>
              <w:rPr>
                <w:rFonts w:ascii="Verdana" w:hAnsi="Verdana"/>
                <w:noProof/>
                <w:sz w:val="18"/>
              </w:rPr>
              <w:t xml:space="preserve"> est entrée en vigueur et couvre le FEDER, le FSE, le FC et d’autres Fonds. Avec cette stratégie, les trois directions générales concernées</w:t>
            </w:r>
            <w:r>
              <w:rPr>
                <w:rStyle w:val="FootnoteReference"/>
                <w:rFonts w:ascii="Verdana" w:hAnsi="Verdana"/>
                <w:noProof/>
                <w:sz w:val="18"/>
              </w:rPr>
              <w:footnoteReference w:id="21"/>
            </w:r>
            <w:r>
              <w:rPr>
                <w:rFonts w:ascii="Verdana" w:hAnsi="Verdana"/>
                <w:noProof/>
                <w:sz w:val="18"/>
              </w:rPr>
              <w:t xml:space="preserve"> entendent intensifier leurs activités antifraude en cours grâce à une série de nouvelles initiatives, à savoir:</w:t>
            </w:r>
          </w:p>
        </w:tc>
        <w:tc>
          <w:tcPr>
            <w:tcW w:w="31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line="240" w:lineRule="auto"/>
              <w:rPr>
                <w:rFonts w:ascii="Verdana" w:hAnsi="Verdana"/>
                <w:noProof/>
                <w:sz w:val="18"/>
              </w:rPr>
            </w:pPr>
            <w:r>
              <w:rPr>
                <w:rFonts w:ascii="Verdana" w:hAnsi="Verdana"/>
                <w:b/>
                <w:noProof/>
                <w:color w:val="000000" w:themeColor="text1"/>
                <w:sz w:val="18"/>
              </w:rPr>
              <w:t>En décembre 2015, la stratégie antifraude conjointe des DG Fonds structurels a été lancée avec succès.</w:t>
            </w:r>
          </w:p>
        </w:tc>
      </w:tr>
    </w:tbl>
    <w:p>
      <w:pPr>
        <w:tabs>
          <w:tab w:val="left" w:pos="426"/>
        </w:tabs>
        <w:spacing w:before="60" w:after="120" w:line="240" w:lineRule="auto"/>
        <w:ind w:left="426" w:hanging="426"/>
        <w:jc w:val="both"/>
        <w:rPr>
          <w:rFonts w:ascii="Verdana" w:hAnsi="Verdana"/>
          <w:noProof/>
          <w:sz w:val="18"/>
          <w:szCs w:val="20"/>
        </w:rPr>
      </w:pPr>
      <w:r>
        <w:rPr>
          <w:rFonts w:ascii="Verdana" w:hAnsi="Verdana"/>
          <w:noProof/>
          <w:sz w:val="18"/>
        </w:rPr>
        <w:t xml:space="preserve">1) </w:t>
      </w:r>
      <w:r>
        <w:rPr>
          <w:noProof/>
        </w:rPr>
        <w:tab/>
      </w:r>
      <w:r>
        <w:rPr>
          <w:rFonts w:ascii="Verdana" w:hAnsi="Verdana"/>
          <w:noProof/>
          <w:sz w:val="18"/>
        </w:rPr>
        <w:t>l'analyse des résultats des évaluations du risque de fraude effectuées par les États membres au titre des dispositions législatives pour la période 2014-2020, en vue de renforcer et de mettre à jour le plan d’action de la nouvelle stratégie;</w:t>
      </w:r>
    </w:p>
    <w:p>
      <w:pPr>
        <w:tabs>
          <w:tab w:val="left" w:pos="426"/>
        </w:tabs>
        <w:spacing w:after="120" w:line="240" w:lineRule="auto"/>
        <w:ind w:left="426" w:hanging="426"/>
        <w:jc w:val="both"/>
        <w:rPr>
          <w:rFonts w:ascii="Verdana" w:hAnsi="Verdana"/>
          <w:noProof/>
          <w:sz w:val="18"/>
          <w:szCs w:val="20"/>
        </w:rPr>
      </w:pPr>
      <w:r>
        <w:rPr>
          <w:rFonts w:ascii="Verdana" w:hAnsi="Verdana"/>
          <w:noProof/>
          <w:sz w:val="18"/>
        </w:rPr>
        <w:t xml:space="preserve">2) </w:t>
      </w:r>
      <w:r>
        <w:rPr>
          <w:noProof/>
        </w:rPr>
        <w:tab/>
      </w:r>
      <w:r>
        <w:rPr>
          <w:rFonts w:ascii="Verdana" w:hAnsi="Verdana"/>
          <w:noProof/>
          <w:sz w:val="18"/>
        </w:rPr>
        <w:t>le renforcement du recours effectif, par les États membres, à l’outil ARACHNE, afin de détecter les fraudes potentielles;</w:t>
      </w:r>
    </w:p>
    <w:p>
      <w:pPr>
        <w:tabs>
          <w:tab w:val="left" w:pos="426"/>
        </w:tabs>
        <w:spacing w:after="120" w:line="240" w:lineRule="auto"/>
        <w:ind w:left="426" w:hanging="426"/>
        <w:jc w:val="both"/>
        <w:rPr>
          <w:rFonts w:ascii="Verdana" w:hAnsi="Verdana"/>
          <w:noProof/>
          <w:sz w:val="18"/>
          <w:szCs w:val="20"/>
        </w:rPr>
      </w:pPr>
      <w:r>
        <w:rPr>
          <w:rFonts w:ascii="Verdana" w:hAnsi="Verdana"/>
          <w:noProof/>
          <w:sz w:val="18"/>
        </w:rPr>
        <w:t xml:space="preserve">3) </w:t>
      </w:r>
      <w:r>
        <w:rPr>
          <w:noProof/>
        </w:rPr>
        <w:tab/>
      </w:r>
      <w:r>
        <w:rPr>
          <w:rFonts w:ascii="Verdana" w:hAnsi="Verdana"/>
          <w:noProof/>
          <w:sz w:val="18"/>
        </w:rPr>
        <w:t>l'organisation de séminaires consacrés à la lutte contre la corruption et la fraude à l’intention des États membres, afin que ceux-ci soient mieux armés pour faire face à ces deux fléaux;</w:t>
      </w:r>
    </w:p>
    <w:p>
      <w:pPr>
        <w:tabs>
          <w:tab w:val="left" w:pos="426"/>
        </w:tabs>
        <w:spacing w:after="120" w:line="240" w:lineRule="auto"/>
        <w:ind w:left="426" w:hanging="426"/>
        <w:jc w:val="both"/>
        <w:rPr>
          <w:rFonts w:ascii="Verdana" w:hAnsi="Verdana"/>
          <w:noProof/>
          <w:sz w:val="18"/>
          <w:szCs w:val="20"/>
        </w:rPr>
      </w:pPr>
      <w:r>
        <w:rPr>
          <w:rFonts w:ascii="Verdana" w:hAnsi="Verdana"/>
          <w:noProof/>
          <w:sz w:val="18"/>
        </w:rPr>
        <w:t xml:space="preserve">4) </w:t>
      </w:r>
      <w:r>
        <w:rPr>
          <w:noProof/>
        </w:rPr>
        <w:tab/>
      </w:r>
      <w:r>
        <w:rPr>
          <w:rFonts w:ascii="Verdana" w:hAnsi="Verdana"/>
          <w:noProof/>
          <w:sz w:val="18"/>
        </w:rPr>
        <w:t>d'autres actions, en faveur de la bonne gouvernance, de sensibilisation et de renforcement des capacités administratives des États membres, destinées à protéger les intérêts financiers nationaux et de l’UE.</w:t>
      </w:r>
    </w:p>
    <w:p>
      <w:pPr>
        <w:widowControl w:val="0"/>
        <w:autoSpaceDE w:val="0"/>
        <w:autoSpaceDN w:val="0"/>
        <w:adjustRightInd w:val="0"/>
        <w:spacing w:after="240" w:line="240" w:lineRule="auto"/>
        <w:jc w:val="both"/>
        <w:rPr>
          <w:rFonts w:ascii="Verdana" w:eastAsia="Times New Roman" w:hAnsi="Verdana"/>
          <w:noProof/>
          <w:color w:val="7030A0"/>
          <w:sz w:val="18"/>
        </w:rPr>
      </w:pPr>
      <w:r>
        <w:rPr>
          <w:rFonts w:ascii="Verdana" w:hAnsi="Verdana"/>
          <w:noProof/>
          <w:sz w:val="18"/>
        </w:rPr>
        <w:t>La stratégie antifraude conjointe est assortie d'un plan d’action établissant les activités antifraude que doivent mener ces DG, en étroite collaboration avec l’OLAF, au cours de la période concernée.</w:t>
      </w:r>
    </w:p>
    <w:p>
      <w:pPr>
        <w:spacing w:after="0" w:line="240" w:lineRule="auto"/>
        <w:jc w:val="both"/>
        <w:rPr>
          <w:rFonts w:ascii="Verdana" w:hAnsi="Verdana"/>
          <w:noProof/>
          <w:sz w:val="18"/>
        </w:rPr>
      </w:pPr>
      <w:r>
        <w:rPr>
          <w:rFonts w:ascii="Verdana" w:hAnsi="Verdana"/>
          <w:noProof/>
          <w:sz w:val="18"/>
        </w:rPr>
        <w:t>Parmi les autres mesures d'importance mises en œuvre en 2015 dans le contexte de la lutte contre la fraude, on citera les suivantes:</w:t>
      </w:r>
    </w:p>
    <w:p>
      <w:pPr>
        <w:pStyle w:val="ListParagraph"/>
        <w:numPr>
          <w:ilvl w:val="0"/>
          <w:numId w:val="35"/>
        </w:numPr>
        <w:spacing w:after="120"/>
        <w:rPr>
          <w:rFonts w:ascii="Verdana" w:hAnsi="Verdana"/>
          <w:noProof/>
          <w:sz w:val="18"/>
        </w:rPr>
      </w:pPr>
      <w:r>
        <w:rPr>
          <w:rFonts w:ascii="Verdana" w:hAnsi="Verdana"/>
          <w:noProof/>
          <w:sz w:val="18"/>
        </w:rPr>
        <w:t>formation interne et sensibilisation des responsables géographiques, des auditeurs et des autorités responsables des programmes dans les États membres;</w:t>
      </w:r>
    </w:p>
    <w:p>
      <w:pPr>
        <w:pStyle w:val="ListParagraph"/>
        <w:numPr>
          <w:ilvl w:val="0"/>
          <w:numId w:val="35"/>
        </w:numPr>
        <w:spacing w:after="0"/>
        <w:rPr>
          <w:rFonts w:ascii="Verdana" w:hAnsi="Verdana"/>
          <w:noProof/>
          <w:sz w:val="18"/>
        </w:rPr>
      </w:pPr>
      <w:r>
        <w:rPr>
          <w:rFonts w:ascii="Verdana" w:hAnsi="Verdana"/>
          <w:noProof/>
          <w:sz w:val="18"/>
        </w:rPr>
        <w:t>renforcement de la procédure interne de suivi des rapports d'enquête finaux élaborés par l’OLAF;</w:t>
      </w:r>
    </w:p>
    <w:p>
      <w:pPr>
        <w:pStyle w:val="ListParagraph"/>
        <w:widowControl w:val="0"/>
        <w:numPr>
          <w:ilvl w:val="0"/>
          <w:numId w:val="35"/>
        </w:numPr>
        <w:autoSpaceDE w:val="0"/>
        <w:autoSpaceDN w:val="0"/>
        <w:adjustRightInd w:val="0"/>
        <w:rPr>
          <w:rFonts w:ascii="Verdana" w:hAnsi="Verdana"/>
          <w:noProof/>
          <w:sz w:val="18"/>
        </w:rPr>
      </w:pPr>
      <w:r>
        <w:rPr>
          <w:rFonts w:ascii="Verdana" w:hAnsi="Verdana"/>
          <w:noProof/>
          <w:sz w:val="18"/>
        </w:rPr>
        <w:t>formation et sensibilisation pour les États membres qui doivent mettre en place des mesures antifraude efficaces et proportionnées afin d'atténuer les risques résiduels de fraude;</w:t>
      </w:r>
    </w:p>
    <w:p>
      <w:pPr>
        <w:pStyle w:val="ListParagraph"/>
        <w:widowControl w:val="0"/>
        <w:numPr>
          <w:ilvl w:val="0"/>
          <w:numId w:val="35"/>
        </w:numPr>
        <w:autoSpaceDE w:val="0"/>
        <w:autoSpaceDN w:val="0"/>
        <w:adjustRightInd w:val="0"/>
        <w:rPr>
          <w:rFonts w:ascii="Verdana" w:hAnsi="Verdana"/>
          <w:noProof/>
          <w:sz w:val="18"/>
        </w:rPr>
      </w:pPr>
      <w:r>
        <w:rPr>
          <w:rFonts w:ascii="Verdana" w:hAnsi="Verdana"/>
          <w:noProof/>
          <w:sz w:val="18"/>
        </w:rPr>
        <w:t>coopération avec l'OLAF dans la lutte contre la fraude;</w:t>
      </w:r>
    </w:p>
    <w:p>
      <w:pPr>
        <w:pStyle w:val="ListParagraph"/>
        <w:widowControl w:val="0"/>
        <w:numPr>
          <w:ilvl w:val="0"/>
          <w:numId w:val="35"/>
        </w:numPr>
        <w:autoSpaceDE w:val="0"/>
        <w:autoSpaceDN w:val="0"/>
        <w:adjustRightInd w:val="0"/>
        <w:rPr>
          <w:rFonts w:ascii="Verdana" w:hAnsi="Verdana"/>
          <w:noProof/>
          <w:sz w:val="18"/>
        </w:rPr>
      </w:pPr>
      <w:r>
        <w:rPr>
          <w:rFonts w:ascii="Verdana" w:hAnsi="Verdana"/>
          <w:noProof/>
          <w:sz w:val="18"/>
        </w:rPr>
        <w:t>promotion du programme informatique ARACHNE pour sou</w:t>
      </w:r>
      <w:bookmarkStart w:id="77" w:name="_Toc368660092"/>
      <w:bookmarkStart w:id="78" w:name="_Toc371677123"/>
      <w:bookmarkStart w:id="79" w:name="_Toc381282243"/>
      <w:bookmarkStart w:id="80" w:name="_Toc381283433"/>
      <w:bookmarkStart w:id="81" w:name="_Toc381287701"/>
      <w:bookmarkStart w:id="82" w:name="_Toc381291044"/>
      <w:bookmarkStart w:id="83" w:name="_Toc381291280"/>
      <w:bookmarkStart w:id="84" w:name="_Toc383712847"/>
      <w:bookmarkStart w:id="85" w:name="_Toc383713283"/>
      <w:bookmarkStart w:id="86" w:name="_Toc383713547"/>
      <w:bookmarkStart w:id="87" w:name="_Toc383795629"/>
      <w:bookmarkStart w:id="88" w:name="_Toc383795665"/>
      <w:bookmarkStart w:id="89" w:name="_Toc383796168"/>
      <w:bookmarkStart w:id="90" w:name="_Toc384054448"/>
      <w:bookmarkStart w:id="91" w:name="_Toc384055072"/>
      <w:bookmarkStart w:id="92" w:name="_Toc384055426"/>
      <w:bookmarkStart w:id="93" w:name="_Toc384055981"/>
      <w:bookmarkStart w:id="94" w:name="_Toc409612082"/>
      <w:bookmarkStart w:id="95" w:name="_Toc412732180"/>
      <w:bookmarkStart w:id="96" w:name="_Toc412738453"/>
      <w:bookmarkStart w:id="97" w:name="_Toc412746046"/>
      <w:bookmarkStart w:id="98" w:name="_Toc412748082"/>
      <w:bookmarkStart w:id="99" w:name="_Toc412749178"/>
      <w:bookmarkStart w:id="100" w:name="_Toc412800517"/>
      <w:bookmarkStart w:id="101" w:name="_Toc412804213"/>
      <w:bookmarkStart w:id="102" w:name="_Toc412822926"/>
      <w:bookmarkStart w:id="103" w:name="_Toc412823608"/>
      <w:bookmarkStart w:id="104" w:name="_Toc412827389"/>
      <w:bookmarkStart w:id="105" w:name="_Toc412827969"/>
      <w:bookmarkStart w:id="106" w:name="_Toc412828870"/>
      <w:bookmarkStart w:id="107" w:name="_Toc412829373"/>
      <w:bookmarkStart w:id="108" w:name="_Toc412829411"/>
      <w:r>
        <w:rPr>
          <w:rFonts w:ascii="Verdana" w:hAnsi="Verdana"/>
          <w:noProof/>
          <w:sz w:val="18"/>
        </w:rPr>
        <w:t>tenir les contrôles de gestion;</w:t>
      </w:r>
    </w:p>
    <w:p>
      <w:pPr>
        <w:pStyle w:val="ListParagraph"/>
        <w:widowControl w:val="0"/>
        <w:numPr>
          <w:ilvl w:val="0"/>
          <w:numId w:val="35"/>
        </w:numPr>
        <w:autoSpaceDE w:val="0"/>
        <w:autoSpaceDN w:val="0"/>
        <w:adjustRightInd w:val="0"/>
        <w:spacing w:after="120"/>
        <w:rPr>
          <w:rFonts w:ascii="Verdana" w:hAnsi="Verdana"/>
          <w:noProof/>
          <w:sz w:val="18"/>
        </w:rPr>
      </w:pPr>
      <w:r>
        <w:rPr>
          <w:rFonts w:ascii="Verdana" w:hAnsi="Verdana"/>
          <w:noProof/>
          <w:sz w:val="18"/>
        </w:rPr>
        <w:t>in</w:t>
      </w:r>
      <w:bookmarkStart w:id="109" w:name="_Toc413087919"/>
      <w:bookmarkStart w:id="110" w:name="_Toc413088463"/>
      <w:bookmarkStart w:id="111" w:name="_Toc413169613"/>
      <w:bookmarkStart w:id="112" w:name="_Toc414533087"/>
      <w:bookmarkStart w:id="113" w:name="_Toc414544196"/>
      <w:bookmarkStart w:id="114" w:name="_Toc414544991"/>
      <w:bookmarkStart w:id="115" w:name="_Toc414546811"/>
      <w:bookmarkStart w:id="116" w:name="_Toc414548063"/>
      <w:bookmarkStart w:id="117" w:name="_Toc414548145"/>
      <w:bookmarkStart w:id="118" w:name="_Toc414552869"/>
      <w:bookmarkStart w:id="119" w:name="_Toc414553854"/>
      <w:bookmarkStart w:id="120" w:name="_Toc41455732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ascii="Verdana" w:hAnsi="Verdana"/>
          <w:noProof/>
          <w:sz w:val="18"/>
        </w:rPr>
        <w:t>clusion de la société civile au moyen de «pactes d'intégrité».</w:t>
      </w:r>
      <w:bookmarkEnd w:id="109"/>
      <w:bookmarkEnd w:id="110"/>
      <w:bookmarkEnd w:id="111"/>
      <w:bookmarkEnd w:id="112"/>
      <w:bookmarkEnd w:id="113"/>
      <w:bookmarkEnd w:id="114"/>
      <w:bookmarkEnd w:id="115"/>
      <w:bookmarkEnd w:id="116"/>
      <w:bookmarkEnd w:id="117"/>
      <w:bookmarkEnd w:id="118"/>
      <w:bookmarkEnd w:id="119"/>
      <w:bookmarkEnd w:id="120"/>
    </w:p>
    <w:p>
      <w:pPr>
        <w:shd w:val="clear" w:color="auto" w:fill="FFFFFF" w:themeFill="background1"/>
        <w:spacing w:after="360" w:line="240" w:lineRule="auto"/>
        <w:jc w:val="both"/>
        <w:rPr>
          <w:rFonts w:ascii="Verdana" w:hAnsi="Verdana"/>
          <w:noProof/>
          <w:sz w:val="20"/>
          <w:szCs w:val="20"/>
        </w:rPr>
      </w:pPr>
      <w:r>
        <w:rPr>
          <w:rFonts w:ascii="Verdana" w:hAnsi="Verdana"/>
          <w:noProof/>
          <w:sz w:val="18"/>
        </w:rPr>
        <w:t>À la suite de sa politique de tolérance zéro à l’égard de la fraude, la Commission a envoyé en 2015 quarante-deux lettres d’avertissement en relation avec des rapports d'enquête finaux de l’OLAF et d'autres suspicions de fraude.</w:t>
      </w:r>
    </w:p>
    <w:p>
      <w:pPr>
        <w:spacing w:after="0" w:line="240" w:lineRule="auto"/>
        <w:rPr>
          <w:rFonts w:ascii="Verdana" w:eastAsia="Times New Roman" w:hAnsi="Verdana"/>
          <w:b/>
          <w:bCs/>
          <w:iCs/>
          <w:noProof/>
          <w:sz w:val="24"/>
          <w:szCs w:val="24"/>
        </w:rPr>
      </w:pPr>
      <w:r>
        <w:rPr>
          <w:noProof/>
        </w:rPr>
        <w:br w:type="page"/>
      </w:r>
    </w:p>
    <w:p>
      <w:pPr>
        <w:pStyle w:val="ManualHeading2"/>
        <w:rPr>
          <w:i/>
          <w:noProof/>
        </w:rPr>
      </w:pPr>
      <w:bookmarkStart w:id="121" w:name="_Toc456258172"/>
      <w:bookmarkStart w:id="122" w:name="_Toc461437497"/>
      <w:r>
        <w:t>5.2.</w:t>
      </w:r>
      <w:r>
        <w:tab/>
      </w:r>
      <w:r>
        <w:rPr>
          <w:noProof/>
        </w:rPr>
        <w:t>Mesures correctrices</w:t>
      </w:r>
      <w:bookmarkEnd w:id="121"/>
      <w:bookmarkEnd w:id="122"/>
    </w:p>
    <w:p>
      <w:pPr>
        <w:keepNext/>
        <w:spacing w:before="120" w:after="120"/>
        <w:outlineLvl w:val="3"/>
        <w:rPr>
          <w:rFonts w:ascii="Verdana" w:eastAsia="Times New Roman" w:hAnsi="Verdana"/>
          <w:bCs/>
          <w:i/>
          <w:noProof/>
          <w:sz w:val="20"/>
          <w:szCs w:val="20"/>
        </w:rPr>
      </w:pPr>
      <w:r>
        <w:rPr>
          <w:rFonts w:ascii="Verdana" w:hAnsi="Verdana"/>
          <w:i/>
          <w:noProof/>
          <w:sz w:val="20"/>
        </w:rPr>
        <w:t>5.2.1</w:t>
      </w:r>
      <w:r>
        <w:rPr>
          <w:noProof/>
        </w:rPr>
        <w:tab/>
      </w:r>
      <w:r>
        <w:rPr>
          <w:rFonts w:ascii="Verdana" w:hAnsi="Verdana"/>
          <w:i/>
          <w:noProof/>
          <w:sz w:val="20"/>
        </w:rPr>
        <w:t>Situation jusqu’à la période de programmation 2007-2013</w:t>
      </w:r>
    </w:p>
    <w:p>
      <w:pPr>
        <w:spacing w:after="120" w:line="240" w:lineRule="auto"/>
        <w:jc w:val="both"/>
        <w:rPr>
          <w:rFonts w:ascii="Verdana" w:eastAsia="Times New Roman" w:hAnsi="Verdana"/>
          <w:noProof/>
          <w:sz w:val="18"/>
        </w:rPr>
      </w:pPr>
      <w:r>
        <w:rPr>
          <w:rFonts w:ascii="Verdana" w:hAnsi="Verdana"/>
          <w:noProof/>
          <w:sz w:val="18"/>
        </w:rPr>
        <w:t xml:space="preserve">Le nombre de corrections financières communiquées en 2015 pour le </w:t>
      </w:r>
      <w:r>
        <w:rPr>
          <w:rFonts w:ascii="Verdana" w:hAnsi="Verdana"/>
          <w:b/>
          <w:noProof/>
          <w:sz w:val="18"/>
        </w:rPr>
        <w:t>FEDER/FC</w:t>
      </w:r>
      <w:r>
        <w:rPr>
          <w:rFonts w:ascii="Verdana" w:hAnsi="Verdana"/>
          <w:noProof/>
          <w:sz w:val="18"/>
        </w:rPr>
        <w:t>, toutes périodes de programmation confondues, est resté stable par rapport aux trois dernières années, malgré une augmentation marquée des corrections signalées pour la période de programmation 2007-2013</w:t>
      </w:r>
      <w:r>
        <w:rPr>
          <w:rStyle w:val="FootnoteReference"/>
          <w:rFonts w:ascii="Verdana" w:hAnsi="Verdana"/>
          <w:noProof/>
          <w:sz w:val="18"/>
        </w:rPr>
        <w:footnoteReference w:id="22"/>
      </w:r>
      <w:r>
        <w:rPr>
          <w:rFonts w:ascii="Verdana" w:hAnsi="Verdana"/>
          <w:noProof/>
          <w:sz w:val="18"/>
        </w:rPr>
        <w:t>.</w:t>
      </w:r>
    </w:p>
    <w:tbl>
      <w:tblPr>
        <w:tblStyle w:val="TableGrid"/>
        <w:tblW w:w="9322" w:type="dxa"/>
        <w:tblLook w:val="04A0" w:firstRow="1" w:lastRow="0" w:firstColumn="1" w:lastColumn="0" w:noHBand="0" w:noVBand="1"/>
      </w:tblPr>
      <w:tblGrid>
        <w:gridCol w:w="3369"/>
        <w:gridCol w:w="5953"/>
      </w:tblGrid>
      <w:tr>
        <w:trPr>
          <w:trHeight w:val="963"/>
        </w:trPr>
        <w:tc>
          <w:tcPr>
            <w:tcW w:w="336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after="120"/>
              <w:rPr>
                <w:rFonts w:ascii="Verdana" w:hAnsi="Verdana"/>
                <w:b/>
                <w:i/>
                <w:noProof/>
                <w:sz w:val="20"/>
              </w:rPr>
            </w:pPr>
            <w:r>
              <w:rPr>
                <w:rFonts w:ascii="Verdana" w:hAnsi="Verdana"/>
                <w:b/>
                <w:noProof/>
                <w:color w:val="000000" w:themeColor="text1"/>
                <w:sz w:val="18"/>
              </w:rPr>
              <w:t>Les corrections financières pour 2015 sont restées stables par rapport aux années précédentes, ce qui confirme la mise en œuvre d'une politique de corrections rigoureuse, notamment sous la forme d'interruptions et de suspensions.</w:t>
            </w:r>
          </w:p>
        </w:tc>
        <w:tc>
          <w:tcPr>
            <w:tcW w:w="5953" w:type="dxa"/>
            <w:tcBorders>
              <w:top w:val="nil"/>
              <w:left w:val="single" w:sz="12" w:space="0" w:color="auto"/>
              <w:bottom w:val="nil"/>
              <w:right w:val="nil"/>
            </w:tcBorders>
          </w:tcPr>
          <w:p>
            <w:pPr>
              <w:spacing w:after="120" w:line="240" w:lineRule="auto"/>
              <w:jc w:val="both"/>
              <w:rPr>
                <w:rFonts w:ascii="Verdana" w:hAnsi="Verdana"/>
                <w:b/>
                <w:i/>
                <w:noProof/>
                <w:sz w:val="20"/>
              </w:rPr>
            </w:pPr>
            <w:r>
              <w:rPr>
                <w:rFonts w:ascii="Verdana" w:hAnsi="Verdana"/>
                <w:noProof/>
                <w:sz w:val="18"/>
              </w:rPr>
              <w:t>Cette dernière augmentation est due au fait qu’en 2015, certains cas anciens, pour lesquels les demandes de paiement étaient bloquées depuis des mois, voire des années, ont été clôturés après exécution des corrections financières. Pour ces cas, les corrections appliquées par les États membres ne pouvaient être déclarées qu'en 2015, après la levée des procédures d’interruption ou de suspension.</w:t>
            </w:r>
          </w:p>
        </w:tc>
      </w:tr>
    </w:tbl>
    <w:p>
      <w:pPr>
        <w:spacing w:before="120" w:after="360" w:line="240" w:lineRule="auto"/>
        <w:jc w:val="both"/>
        <w:rPr>
          <w:rFonts w:ascii="Verdana" w:hAnsi="Verdana"/>
          <w:noProof/>
          <w:color w:val="000000" w:themeColor="text1"/>
          <w:sz w:val="18"/>
          <w:szCs w:val="20"/>
        </w:rPr>
      </w:pPr>
      <w:r>
        <w:rPr>
          <w:rFonts w:ascii="Verdana" w:hAnsi="Verdana"/>
          <w:noProof/>
          <w:color w:val="000000" w:themeColor="text1"/>
          <w:sz w:val="18"/>
        </w:rPr>
        <w:t xml:space="preserve">En ce qui concerne le </w:t>
      </w:r>
      <w:r>
        <w:rPr>
          <w:rFonts w:ascii="Verdana" w:hAnsi="Verdana"/>
          <w:b/>
          <w:noProof/>
          <w:color w:val="000000" w:themeColor="text1"/>
          <w:sz w:val="18"/>
        </w:rPr>
        <w:t>FSE</w:t>
      </w:r>
      <w:r>
        <w:rPr>
          <w:rFonts w:ascii="Verdana" w:hAnsi="Verdana"/>
          <w:noProof/>
          <w:color w:val="000000" w:themeColor="text1"/>
          <w:sz w:val="18"/>
        </w:rPr>
        <w:t>, le montant communiqué en 2015 des corrections financières exécutées a augmenté pour toutes les périodes de programmation, une augmentation principalement liée à l’acceptation des corrections financières dans le contexte de la clôture des programmes de la période 2000-2006 et à la levée des suspensions à long terme pour les programmes de la période 2007-2013.</w:t>
      </w:r>
    </w:p>
    <w:p>
      <w:pPr>
        <w:spacing w:after="120" w:line="240" w:lineRule="auto"/>
        <w:rPr>
          <w:rFonts w:ascii="Verdana" w:hAnsi="Verdana"/>
          <w:i/>
          <w:noProof/>
          <w:sz w:val="20"/>
        </w:rPr>
      </w:pPr>
      <w:r>
        <w:rPr>
          <w:rFonts w:ascii="Verdana" w:hAnsi="Verdana"/>
          <w:i/>
          <w:noProof/>
          <w:sz w:val="20"/>
        </w:rPr>
        <w:t>5.2.2</w:t>
      </w:r>
      <w:r>
        <w:rPr>
          <w:noProof/>
        </w:rPr>
        <w:tab/>
      </w:r>
      <w:r>
        <w:rPr>
          <w:rFonts w:ascii="Verdana" w:hAnsi="Verdana"/>
          <w:i/>
          <w:noProof/>
          <w:sz w:val="20"/>
        </w:rPr>
        <w:t>Améliorations apportées et à venir</w:t>
      </w:r>
    </w:p>
    <w:p>
      <w:pPr>
        <w:pStyle w:val="Text1"/>
        <w:spacing w:before="120" w:after="120"/>
        <w:ind w:left="0"/>
        <w:rPr>
          <w:rFonts w:ascii="Verdana" w:eastAsia="Calibri" w:hAnsi="Verdana"/>
          <w:noProof/>
          <w:sz w:val="18"/>
          <w:szCs w:val="22"/>
        </w:rPr>
      </w:pPr>
      <w:r>
        <w:rPr>
          <w:rFonts w:ascii="Verdana" w:hAnsi="Verdana"/>
          <w:noProof/>
          <w:sz w:val="18"/>
        </w:rPr>
        <w:t xml:space="preserve">En ce qui concerne les </w:t>
      </w:r>
      <w:r>
        <w:rPr>
          <w:rFonts w:ascii="Verdana" w:hAnsi="Verdana"/>
          <w:b/>
          <w:noProof/>
          <w:sz w:val="18"/>
        </w:rPr>
        <w:t>Fonds relevant de la politique de cohésion</w:t>
      </w:r>
      <w:r>
        <w:rPr>
          <w:rFonts w:ascii="Verdana" w:hAnsi="Verdana"/>
          <w:noProof/>
          <w:sz w:val="18"/>
        </w:rPr>
        <w:t>, en 2015, la Commission a continué à exercer de façon rigoureuse sa fonction de surveillance, en procédant à l'interruption ou à la suspension des paiements dès la mise en évidence de déficiences et en veillant à ce que les États membres remédient aux faiblesses constatées dans leurs systèmes de gestion et de contrôle. L’objectif était de cerner et de prendre en charge tout risque significatif majeur qui subsisterait, de manière à assurer une protection adéquate du budget de l’UE, et de parvenir à un risque résiduel acceptable avant la clôture des programmes. Il en a résulté une amélioration globale pour la période 2007-2013 par rapport à la période 2000-2006, et une tendance positive s’est dégagée en ce qui concerne l’incidence des erreurs dans les dépenses de cohésion au fil des années, grâce à une série de mesures prises par la Commission en coopération avec les États membres, comme décrit ci-après.</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118"/>
      </w:tblGrid>
      <w:tr>
        <w:trPr>
          <w:trHeight w:val="1349"/>
        </w:trPr>
        <w:tc>
          <w:tcPr>
            <w:tcW w:w="6204" w:type="dxa"/>
            <w:tcBorders>
              <w:right w:val="single" w:sz="12" w:space="0" w:color="auto"/>
            </w:tcBorders>
            <w:vAlign w:val="center"/>
          </w:tcPr>
          <w:p>
            <w:pPr>
              <w:spacing w:line="240" w:lineRule="auto"/>
              <w:jc w:val="both"/>
              <w:rPr>
                <w:rFonts w:ascii="Verdana" w:hAnsi="Verdana"/>
                <w:noProof/>
                <w:sz w:val="18"/>
              </w:rPr>
            </w:pPr>
            <w:r>
              <w:rPr>
                <w:rFonts w:ascii="Verdana" w:hAnsi="Verdana"/>
                <w:noProof/>
                <w:sz w:val="18"/>
              </w:rPr>
              <w:t>Qui plus est, le règlement portant dispositions communes (RPDC) pour la période 2014-2020 comprend des dispositions renforcées en matière de contrôle par rapport à la période 2007-2013, ainsi que des exigences qui améliorent l'obligation d'information des États membres afin de mieux remédier aux erreurs et de garantir la légalité et la régularité des dépenses cofinancées. Les principaux aspects à souligner sont:</w:t>
            </w:r>
          </w:p>
        </w:tc>
        <w:tc>
          <w:tcPr>
            <w:tcW w:w="31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line="240" w:lineRule="auto"/>
              <w:rPr>
                <w:rFonts w:ascii="Verdana" w:hAnsi="Verdana"/>
                <w:noProof/>
                <w:sz w:val="18"/>
              </w:rPr>
            </w:pPr>
            <w:r>
              <w:rPr>
                <w:rFonts w:ascii="Verdana" w:hAnsi="Verdana"/>
                <w:b/>
                <w:noProof/>
                <w:color w:val="000000" w:themeColor="text1"/>
                <w:sz w:val="18"/>
              </w:rPr>
              <w:t>Des améliorations notables dues à l'application d'interruptions et de suspensions et au recours aux options de présentation simplifiée des coûts.</w:t>
            </w:r>
          </w:p>
        </w:tc>
      </w:tr>
    </w:tbl>
    <w:p>
      <w:pPr>
        <w:pStyle w:val="Text1"/>
        <w:numPr>
          <w:ilvl w:val="0"/>
          <w:numId w:val="36"/>
        </w:numPr>
        <w:spacing w:before="120" w:after="120"/>
        <w:rPr>
          <w:rFonts w:ascii="Verdana" w:hAnsi="Verdana"/>
          <w:noProof/>
          <w:sz w:val="18"/>
        </w:rPr>
      </w:pPr>
      <w:r>
        <w:rPr>
          <w:rFonts w:ascii="Verdana" w:hAnsi="Verdana"/>
          <w:noProof/>
          <w:sz w:val="18"/>
        </w:rPr>
        <w:t xml:space="preserve">un </w:t>
      </w:r>
      <w:r>
        <w:rPr>
          <w:rFonts w:ascii="Verdana" w:hAnsi="Verdana"/>
          <w:noProof/>
          <w:sz w:val="18"/>
          <w:u w:val="single"/>
        </w:rPr>
        <w:t>nouveau cadre de gestion financière</w:t>
      </w:r>
      <w:r>
        <w:rPr>
          <w:rFonts w:ascii="Verdana" w:hAnsi="Verdana"/>
          <w:noProof/>
          <w:sz w:val="18"/>
        </w:rPr>
        <w:t>, prévoyant un exercice comptable pour les programmes allant du 1</w:t>
      </w:r>
      <w:r>
        <w:rPr>
          <w:rFonts w:ascii="Verdana" w:hAnsi="Verdana"/>
          <w:noProof/>
          <w:sz w:val="18"/>
          <w:vertAlign w:val="superscript"/>
        </w:rPr>
        <w:t>er</w:t>
      </w:r>
      <w:r>
        <w:rPr>
          <w:rFonts w:ascii="Verdana" w:hAnsi="Verdana"/>
          <w:noProof/>
          <w:sz w:val="18"/>
        </w:rPr>
        <w:t xml:space="preserve"> juillet au 30 juin. L’autorité de certification certifie à la Commission que les dépenses inscrites dans les comptes du programme établis pour chaque exercice comptable sont toutes des dépenses légales et régulières, déclarées de façon cumulée au cours de l’exercice comptable et apurées de toutes les irrégularités détectées à la suite des vérifications et audits nationaux;</w:t>
      </w:r>
    </w:p>
    <w:p>
      <w:pPr>
        <w:pStyle w:val="Text1"/>
        <w:numPr>
          <w:ilvl w:val="0"/>
          <w:numId w:val="36"/>
        </w:numPr>
        <w:spacing w:before="120" w:after="120"/>
        <w:rPr>
          <w:rFonts w:ascii="Verdana" w:hAnsi="Verdana"/>
          <w:noProof/>
          <w:sz w:val="18"/>
        </w:rPr>
      </w:pPr>
      <w:r>
        <w:rPr>
          <w:rFonts w:ascii="Verdana" w:hAnsi="Verdana"/>
          <w:noProof/>
          <w:sz w:val="18"/>
        </w:rPr>
        <w:t xml:space="preserve">un mécanisme de </w:t>
      </w:r>
      <w:r>
        <w:rPr>
          <w:rFonts w:ascii="Verdana" w:hAnsi="Verdana"/>
          <w:noProof/>
          <w:sz w:val="18"/>
          <w:u w:val="single"/>
        </w:rPr>
        <w:t>retenue de 10 %</w:t>
      </w:r>
      <w:r>
        <w:rPr>
          <w:rFonts w:ascii="Verdana" w:hAnsi="Verdana"/>
          <w:noProof/>
          <w:sz w:val="18"/>
        </w:rPr>
        <w:t xml:space="preserve"> sur tous les paiements intermédiaires de la Commission au cours de l’exercice comptable, ce qui veut dire que la Commission ne rembourse l’intégralité des dépenses déclarées qu’une fois que tous les contrôles nationaux, y compris les audits réalisés par l’autorité d’audit, ont été menés à bien et que leurs résultats ont été pleinement analysés et pris en considération par les autorités de gestion et de certification;</w:t>
      </w:r>
    </w:p>
    <w:p>
      <w:pPr>
        <w:pStyle w:val="Text1"/>
        <w:numPr>
          <w:ilvl w:val="0"/>
          <w:numId w:val="36"/>
        </w:numPr>
        <w:spacing w:before="120" w:after="120"/>
        <w:rPr>
          <w:rFonts w:ascii="Verdana" w:hAnsi="Verdana"/>
          <w:noProof/>
          <w:sz w:val="18"/>
        </w:rPr>
      </w:pPr>
      <w:r>
        <w:rPr>
          <w:rFonts w:ascii="Verdana" w:hAnsi="Verdana"/>
          <w:noProof/>
          <w:sz w:val="18"/>
        </w:rPr>
        <w:t xml:space="preserve">la soumission, par l’autorité de gestion du programme, d’une </w:t>
      </w:r>
      <w:r>
        <w:rPr>
          <w:rFonts w:ascii="Verdana" w:hAnsi="Verdana"/>
          <w:noProof/>
          <w:sz w:val="18"/>
          <w:u w:val="single"/>
        </w:rPr>
        <w:t>déclaration de gestion</w:t>
      </w:r>
      <w:r>
        <w:rPr>
          <w:rFonts w:ascii="Verdana" w:hAnsi="Verdana"/>
          <w:noProof/>
          <w:sz w:val="18"/>
        </w:rPr>
        <w:t xml:space="preserve"> confirmant les informations contenues dans les comptes et que le système de contrôle mis en place offre les garanties nécessaires quant à la légalité et à la régularité des opérations et des dépenses déclarées. Cette déclaration sera accompagnée d’un rapport contenant un résumé de l’ensemble des résultats des contrôles et des audits effectués jusqu’à la certification des comptes, une analyse de la nature et de l’étendue des erreurs et des faiblesses relevées dans les systèmes, ainsi que les mesures correctrices prises ou prévues;</w:t>
      </w:r>
    </w:p>
    <w:p>
      <w:pPr>
        <w:pStyle w:val="Text1"/>
        <w:numPr>
          <w:ilvl w:val="0"/>
          <w:numId w:val="36"/>
        </w:numPr>
        <w:spacing w:before="120" w:after="120"/>
        <w:rPr>
          <w:rFonts w:ascii="Verdana" w:hAnsi="Verdana"/>
          <w:noProof/>
          <w:sz w:val="18"/>
        </w:rPr>
      </w:pPr>
      <w:r>
        <w:rPr>
          <w:rFonts w:ascii="Verdana" w:hAnsi="Verdana"/>
          <w:noProof/>
          <w:sz w:val="18"/>
        </w:rPr>
        <w:t xml:space="preserve">des activités d’audit et un </w:t>
      </w:r>
      <w:r>
        <w:rPr>
          <w:rFonts w:ascii="Verdana" w:hAnsi="Verdana"/>
          <w:noProof/>
          <w:sz w:val="18"/>
          <w:u w:val="single"/>
        </w:rPr>
        <w:t>avis d’audit</w:t>
      </w:r>
      <w:r>
        <w:rPr>
          <w:rFonts w:ascii="Verdana" w:hAnsi="Verdana"/>
          <w:noProof/>
          <w:sz w:val="18"/>
        </w:rPr>
        <w:t xml:space="preserve"> indépendants sur les comptes, s'ajoutant aux audits portant sur le bon fonctionnement des systèmes et aux échantillons représentatifs des opérations et des dépenses comme dans la période en cours, par l’autorité d’audit du programme. Cette mesure permettra d'assurer que toutes les dépenses irrégulières détectées ont dûment et correctement été retirées de la certification et exclues des demandes de paiement intermédiaire ou des comptes annuels et que, dans les cas d'insuffisances graves, des mesures correctrices ont été appliquées;</w:t>
      </w:r>
    </w:p>
    <w:p>
      <w:pPr>
        <w:pStyle w:val="Text1"/>
        <w:numPr>
          <w:ilvl w:val="0"/>
          <w:numId w:val="36"/>
        </w:numPr>
        <w:spacing w:before="120" w:after="120"/>
        <w:rPr>
          <w:rFonts w:ascii="Verdana" w:hAnsi="Verdana"/>
          <w:noProof/>
          <w:sz w:val="18"/>
        </w:rPr>
      </w:pPr>
      <w:r>
        <w:rPr>
          <w:rFonts w:ascii="Verdana" w:hAnsi="Verdana"/>
          <w:noProof/>
          <w:sz w:val="18"/>
        </w:rPr>
        <w:t xml:space="preserve">l’introduction de </w:t>
      </w:r>
      <w:r>
        <w:rPr>
          <w:rFonts w:ascii="Verdana" w:hAnsi="Verdana"/>
          <w:noProof/>
          <w:sz w:val="18"/>
          <w:u w:val="single"/>
        </w:rPr>
        <w:t>corrections financières nettes obligatoires</w:t>
      </w:r>
      <w:r>
        <w:rPr>
          <w:rFonts w:ascii="Verdana" w:hAnsi="Verdana"/>
          <w:noProof/>
          <w:sz w:val="18"/>
        </w:rPr>
        <w:t xml:space="preserve"> que doit adopter la Commission lorsque les audits de l’UE mettent en évidence des irrégularités laissant supposer de graves insuffisances non décelées ou non signalées par les autorités du programme en ce qui concerne les comptes de chaque programme soumis avant le 15 février. En réduisant les crédits alloués aux États membres si des insuffisances graves ne sont pas détectées ou signalées, les corrections financières nettes seront une incitation supplémentaire à la réalisation en temps utile de contrôles rigoureux au niveau national, notamment par les autorités de gestion, avant la certification des comptes des programmes à la Commission;</w:t>
      </w:r>
    </w:p>
    <w:p>
      <w:pPr>
        <w:pStyle w:val="Text1"/>
        <w:numPr>
          <w:ilvl w:val="0"/>
          <w:numId w:val="36"/>
        </w:numPr>
        <w:spacing w:before="120" w:after="120"/>
        <w:rPr>
          <w:rFonts w:ascii="Verdana" w:eastAsia="Calibri" w:hAnsi="Verdana"/>
          <w:noProof/>
          <w:sz w:val="18"/>
          <w:szCs w:val="22"/>
        </w:rPr>
      </w:pPr>
      <w:r>
        <w:rPr>
          <w:rFonts w:ascii="Verdana" w:hAnsi="Verdana"/>
          <w:noProof/>
          <w:sz w:val="18"/>
          <w:u w:val="single"/>
        </w:rPr>
        <w:t>la simplification et l’harmonisation</w:t>
      </w:r>
      <w:r>
        <w:rPr>
          <w:rFonts w:ascii="Verdana" w:hAnsi="Verdana"/>
          <w:noProof/>
          <w:sz w:val="18"/>
        </w:rPr>
        <w:t xml:space="preserve"> des règles applicables aux cinq Fonds ESI, à savoir le recours accru aux options de présentation simplifiée des coûts et leur incidence positive sur la réduction des erreurs.</w:t>
      </w:r>
    </w:p>
    <w:p>
      <w:pPr>
        <w:spacing w:before="120" w:after="120" w:line="240" w:lineRule="auto"/>
        <w:jc w:val="both"/>
        <w:rPr>
          <w:rFonts w:ascii="Verdana" w:hAnsi="Verdana" w:cs="Arial"/>
          <w:noProof/>
          <w:sz w:val="18"/>
        </w:rPr>
      </w:pPr>
      <w:r>
        <w:rPr>
          <w:rFonts w:ascii="Verdana" w:hAnsi="Verdana"/>
          <w:noProof/>
          <w:sz w:val="18"/>
        </w:rPr>
        <w:t xml:space="preserve">En ce qui concerne le </w:t>
      </w:r>
      <w:r>
        <w:rPr>
          <w:rFonts w:ascii="Verdana" w:hAnsi="Verdana"/>
          <w:b/>
          <w:noProof/>
          <w:sz w:val="18"/>
        </w:rPr>
        <w:t>FSE</w:t>
      </w:r>
      <w:r>
        <w:rPr>
          <w:rFonts w:ascii="Verdana" w:hAnsi="Verdana"/>
          <w:noProof/>
          <w:sz w:val="18"/>
        </w:rPr>
        <w:t>, en 2015, la Commission a continué d'encourager activement l’utilisation des options de présentation simplifiée des coûts dans le cadre de séminaires et d’un réseau transnational lancé en 2015. Un rapport de synthèse sur ces options, présenté au Parlement européen en novembre 2015, fait déjà apparaître une progression très nette, des 7 % des fonds FSE exécutés sous le régime de ces options pour la période 2007-2013 aux 35 % escomptés par les autorités nationales pour la période 2014-2020. De nouvelles mesures axées sur les neuf États membres qui devraient le moins recourir aux options de présentation simplifiée des coûts ont été proposées en 2016, avec pour objectif général de parvenir à ce que la moitié des fonds provenant du FSE soient exécutés sous le régime de ces options. Des propositions de modification du règlement sont à l'étude dans le contexte du réexamen à mi-parcours du CFP.</w:t>
      </w:r>
    </w:p>
    <w:p>
      <w:pPr>
        <w:spacing w:before="120" w:after="120" w:line="240" w:lineRule="auto"/>
        <w:jc w:val="both"/>
        <w:rPr>
          <w:rFonts w:ascii="Verdana" w:hAnsi="Verdana" w:cs="Arial"/>
          <w:noProof/>
          <w:sz w:val="18"/>
        </w:rPr>
      </w:pPr>
    </w:p>
    <w:p>
      <w:pPr>
        <w:pStyle w:val="ManualHeading2"/>
        <w:rPr>
          <w:i/>
          <w:noProof/>
          <w:sz w:val="20"/>
          <w:szCs w:val="22"/>
        </w:rPr>
      </w:pPr>
      <w:bookmarkStart w:id="123" w:name="_Toc454809918"/>
      <w:bookmarkStart w:id="124" w:name="_Toc456258173"/>
      <w:bookmarkStart w:id="125" w:name="_Toc461437498"/>
      <w:r>
        <w:t>5.3.</w:t>
      </w:r>
      <w:r>
        <w:tab/>
      </w:r>
      <w:r>
        <w:rPr>
          <w:noProof/>
        </w:rPr>
        <w:t>Déficiences constatées dans la gestion et le contrôle des États membres et mesures adoptées</w:t>
      </w:r>
      <w:bookmarkEnd w:id="123"/>
      <w:bookmarkEnd w:id="124"/>
      <w:bookmarkEnd w:id="125"/>
    </w:p>
    <w:p>
      <w:pPr>
        <w:pStyle w:val="Text1"/>
        <w:spacing w:before="240" w:after="120"/>
        <w:ind w:left="0"/>
        <w:rPr>
          <w:rFonts w:ascii="Verdana" w:eastAsia="Calibri" w:hAnsi="Verdana"/>
          <w:noProof/>
          <w:sz w:val="18"/>
          <w:szCs w:val="22"/>
        </w:rPr>
      </w:pPr>
      <w:r>
        <w:rPr>
          <w:rFonts w:ascii="Verdana" w:hAnsi="Verdana"/>
          <w:noProof/>
          <w:sz w:val="18"/>
        </w:rPr>
        <w:t>Comme indiqué plus haut, dans le cadre de la gestion partagée, les États membres sont responsables au premier chef du fonctionnement effectif et efficient des systèmes de gestion et de contrôle au niveau national. Néanmoins, la Commission veut s'assurer que les systèmes nationaux sont mieux à même de prévenir les erreurs avant la certification et prend un certain nombre de mesures dans ce sens:</w:t>
      </w:r>
    </w:p>
    <w:p>
      <w:pPr>
        <w:pStyle w:val="ListParagraph"/>
        <w:numPr>
          <w:ilvl w:val="1"/>
          <w:numId w:val="43"/>
        </w:numPr>
        <w:spacing w:before="120" w:after="120"/>
        <w:ind w:left="426"/>
        <w:contextualSpacing w:val="0"/>
        <w:rPr>
          <w:rFonts w:ascii="Verdana" w:hAnsi="Verdana"/>
          <w:noProof/>
          <w:sz w:val="18"/>
        </w:rPr>
      </w:pPr>
      <w:r>
        <w:rPr>
          <w:rFonts w:ascii="Verdana" w:hAnsi="Verdana"/>
          <w:noProof/>
          <w:sz w:val="18"/>
        </w:rPr>
        <w:t xml:space="preserve">coopération avec les autorités de gestion pour parvenir à des </w:t>
      </w:r>
      <w:r>
        <w:rPr>
          <w:rFonts w:ascii="Verdana" w:hAnsi="Verdana"/>
          <w:noProof/>
          <w:sz w:val="18"/>
          <w:u w:val="single"/>
        </w:rPr>
        <w:t>vérifications de la gestion solides, effectuées en temps utile</w:t>
      </w:r>
      <w:r>
        <w:rPr>
          <w:rFonts w:ascii="Verdana" w:hAnsi="Verdana"/>
          <w:noProof/>
          <w:sz w:val="18"/>
        </w:rPr>
        <w:t>, afin d’empêcher avant tout que des irrégularités se produisent ou qu’elles se glissent dans des demandes de paiement certifiées vis-à-vis de la Commission;</w:t>
      </w:r>
    </w:p>
    <w:p>
      <w:pPr>
        <w:pStyle w:val="ListParagraph"/>
        <w:numPr>
          <w:ilvl w:val="1"/>
          <w:numId w:val="43"/>
        </w:numPr>
        <w:spacing w:before="120" w:after="120"/>
        <w:ind w:left="426"/>
        <w:contextualSpacing w:val="0"/>
        <w:rPr>
          <w:rFonts w:ascii="Verdana" w:hAnsi="Verdana"/>
          <w:noProof/>
          <w:sz w:val="18"/>
        </w:rPr>
      </w:pPr>
      <w:r>
        <w:rPr>
          <w:rFonts w:ascii="Verdana" w:hAnsi="Verdana"/>
          <w:noProof/>
          <w:sz w:val="18"/>
        </w:rPr>
        <w:t>réalisation d'</w:t>
      </w:r>
      <w:r>
        <w:rPr>
          <w:rFonts w:ascii="Verdana" w:hAnsi="Verdana"/>
          <w:noProof/>
          <w:sz w:val="18"/>
          <w:u w:val="single"/>
        </w:rPr>
        <w:t>actions de renforcement des capacités</w:t>
      </w:r>
      <w:r>
        <w:rPr>
          <w:rFonts w:ascii="Verdana" w:hAnsi="Verdana"/>
          <w:noProof/>
          <w:sz w:val="18"/>
        </w:rPr>
        <w:t>, notamment sous la forme de conseils, d'assistance et de formations destinés aux autorités responsables des programmes, en vue de renforcer, s'il y a lieu, leurs capacités administratives;</w:t>
      </w:r>
    </w:p>
    <w:p>
      <w:pPr>
        <w:pStyle w:val="ListParagraph"/>
        <w:numPr>
          <w:ilvl w:val="1"/>
          <w:numId w:val="43"/>
        </w:numPr>
        <w:spacing w:before="120" w:after="120"/>
        <w:ind w:left="426"/>
        <w:contextualSpacing w:val="0"/>
        <w:rPr>
          <w:rFonts w:ascii="Verdana" w:hAnsi="Verdana"/>
          <w:noProof/>
          <w:sz w:val="18"/>
        </w:rPr>
      </w:pPr>
      <w:r>
        <w:rPr>
          <w:rFonts w:ascii="Verdana" w:hAnsi="Verdana"/>
          <w:noProof/>
          <w:sz w:val="18"/>
        </w:rPr>
        <w:t xml:space="preserve">poursuite de la coopération avec les autorités d’audit conformément au </w:t>
      </w:r>
      <w:r>
        <w:rPr>
          <w:rFonts w:ascii="Verdana" w:hAnsi="Verdana"/>
          <w:noProof/>
          <w:sz w:val="18"/>
          <w:u w:val="single"/>
        </w:rPr>
        <w:t>principe de l’audit unique</w:t>
      </w:r>
      <w:r>
        <w:rPr>
          <w:rFonts w:ascii="Verdana" w:hAnsi="Verdana"/>
          <w:noProof/>
          <w:sz w:val="18"/>
        </w:rPr>
        <w:t xml:space="preserve"> pour une prise en charge efficace et rapide des risques;</w:t>
      </w:r>
    </w:p>
    <w:p>
      <w:pPr>
        <w:pStyle w:val="ListParagraph"/>
        <w:numPr>
          <w:ilvl w:val="1"/>
          <w:numId w:val="43"/>
        </w:numPr>
        <w:spacing w:before="120" w:after="120"/>
        <w:ind w:left="426"/>
        <w:contextualSpacing w:val="0"/>
        <w:rPr>
          <w:rFonts w:ascii="Verdana" w:hAnsi="Verdana"/>
          <w:noProof/>
          <w:sz w:val="18"/>
        </w:rPr>
      </w:pPr>
      <w:r>
        <w:rPr>
          <w:rFonts w:ascii="Verdana" w:hAnsi="Verdana"/>
          <w:noProof/>
          <w:sz w:val="18"/>
        </w:rPr>
        <w:t>réalisation d’</w:t>
      </w:r>
      <w:r>
        <w:rPr>
          <w:rFonts w:ascii="Verdana" w:hAnsi="Verdana"/>
          <w:noProof/>
          <w:sz w:val="18"/>
          <w:u w:val="single"/>
        </w:rPr>
        <w:t>audits</w:t>
      </w:r>
      <w:r>
        <w:rPr>
          <w:rFonts w:ascii="Verdana" w:hAnsi="Verdana"/>
          <w:noProof/>
          <w:sz w:val="18"/>
        </w:rPr>
        <w:t xml:space="preserve"> complémentaires </w:t>
      </w:r>
      <w:r>
        <w:rPr>
          <w:rFonts w:ascii="Verdana" w:hAnsi="Verdana"/>
          <w:noProof/>
          <w:sz w:val="18"/>
          <w:u w:val="single"/>
        </w:rPr>
        <w:t>fondés sur les risques</w:t>
      </w:r>
      <w:r>
        <w:rPr>
          <w:rFonts w:ascii="Verdana" w:hAnsi="Verdana"/>
          <w:noProof/>
          <w:sz w:val="18"/>
        </w:rPr>
        <w:t xml:space="preserve"> dans les domaines à risque et pour les autorités de gestion ou les organismes intermédiaires; et</w:t>
      </w:r>
    </w:p>
    <w:p>
      <w:pPr>
        <w:pStyle w:val="ListParagraph"/>
        <w:numPr>
          <w:ilvl w:val="1"/>
          <w:numId w:val="43"/>
        </w:numPr>
        <w:spacing w:before="120"/>
        <w:ind w:left="426"/>
        <w:contextualSpacing w:val="0"/>
        <w:rPr>
          <w:rFonts w:ascii="Verdana" w:hAnsi="Verdana"/>
          <w:noProof/>
          <w:sz w:val="18"/>
        </w:rPr>
      </w:pPr>
      <w:r>
        <w:rPr>
          <w:rFonts w:ascii="Verdana" w:hAnsi="Verdana"/>
          <w:noProof/>
          <w:sz w:val="18"/>
        </w:rPr>
        <w:t xml:space="preserve">exercice d'une supervision stricte de la gestion des programmes, en recourant aux outils juridiques disponibles, tels que les </w:t>
      </w:r>
      <w:r>
        <w:rPr>
          <w:rFonts w:ascii="Verdana" w:hAnsi="Verdana"/>
          <w:noProof/>
          <w:sz w:val="18"/>
          <w:u w:val="single"/>
        </w:rPr>
        <w:t>interruptions et suspensions</w:t>
      </w:r>
      <w:r>
        <w:rPr>
          <w:rFonts w:ascii="Verdana" w:hAnsi="Verdana"/>
          <w:noProof/>
          <w:sz w:val="18"/>
        </w:rPr>
        <w:t xml:space="preserve"> et, au besoin, des </w:t>
      </w:r>
      <w:r>
        <w:rPr>
          <w:rFonts w:ascii="Verdana" w:hAnsi="Verdana"/>
          <w:noProof/>
          <w:sz w:val="18"/>
          <w:u w:val="single"/>
        </w:rPr>
        <w:t>corrections financières</w:t>
      </w:r>
      <w:r>
        <w:rPr>
          <w:rFonts w:ascii="Verdana" w:hAnsi="Verdana"/>
          <w:noProof/>
          <w:sz w:val="18"/>
        </w:rPr>
        <w:t>.</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969"/>
      </w:tblGrid>
      <w:tr>
        <w:trPr>
          <w:trHeight w:val="1105"/>
        </w:trPr>
        <w:tc>
          <w:tcPr>
            <w:tcW w:w="5495" w:type="dxa"/>
            <w:tcBorders>
              <w:right w:val="single" w:sz="12" w:space="0" w:color="auto"/>
            </w:tcBorders>
          </w:tcPr>
          <w:p>
            <w:pPr>
              <w:spacing w:line="240" w:lineRule="auto"/>
              <w:jc w:val="both"/>
              <w:rPr>
                <w:rFonts w:ascii="Verdana" w:hAnsi="Verdana"/>
                <w:noProof/>
                <w:sz w:val="18"/>
              </w:rPr>
            </w:pPr>
            <w:r>
              <w:rPr>
                <w:rFonts w:ascii="Verdana" w:hAnsi="Verdana"/>
                <w:noProof/>
                <w:sz w:val="18"/>
              </w:rPr>
              <w:t>Au cours de la période 2007-2013, les principales causes sous-jacentes d’erreur résident, entre autres, dans la complexité des structures de gestion dans certains États membres, la forte rotation des effectifs de certaines autorités, entraînant une perte d’expertise, ou dans le recours à un personnel trop peu nombreux.</w:t>
            </w:r>
          </w:p>
        </w:tc>
        <w:tc>
          <w:tcPr>
            <w:tcW w:w="396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after="60"/>
              <w:rPr>
                <w:rFonts w:ascii="Verdana" w:hAnsi="Verdana" w:cs="Calibri"/>
                <w:b/>
                <w:noProof/>
                <w:color w:val="000000" w:themeColor="text1"/>
                <w:sz w:val="18"/>
                <w:szCs w:val="18"/>
              </w:rPr>
            </w:pPr>
            <w:r>
              <w:rPr>
                <w:rFonts w:ascii="Verdana" w:hAnsi="Verdana"/>
                <w:b/>
                <w:noProof/>
                <w:color w:val="000000" w:themeColor="text1"/>
                <w:sz w:val="18"/>
              </w:rPr>
              <w:t>Principales causes d’erreur pour le FEDER/FC:</w:t>
            </w:r>
          </w:p>
          <w:p>
            <w:pPr>
              <w:spacing w:after="60"/>
              <w:rPr>
                <w:rFonts w:ascii="Verdana" w:hAnsi="Verdana" w:cs="Calibri"/>
                <w:b/>
                <w:noProof/>
                <w:color w:val="000000" w:themeColor="text1"/>
                <w:sz w:val="18"/>
                <w:szCs w:val="18"/>
              </w:rPr>
            </w:pPr>
            <w:r>
              <w:rPr>
                <w:rFonts w:ascii="Verdana" w:hAnsi="Verdana"/>
                <w:b/>
                <w:noProof/>
                <w:color w:val="000000" w:themeColor="text1"/>
                <w:sz w:val="18"/>
              </w:rPr>
              <w:t>a) complexité des structures dans les États membres</w:t>
            </w:r>
          </w:p>
          <w:p>
            <w:pPr>
              <w:spacing w:after="60"/>
              <w:rPr>
                <w:rFonts w:ascii="Verdana" w:hAnsi="Verdana" w:cs="Calibri"/>
                <w:b/>
                <w:noProof/>
                <w:color w:val="000000" w:themeColor="text1"/>
                <w:sz w:val="18"/>
                <w:szCs w:val="18"/>
              </w:rPr>
            </w:pPr>
            <w:r>
              <w:rPr>
                <w:rFonts w:ascii="Verdana" w:hAnsi="Verdana"/>
                <w:b/>
                <w:noProof/>
                <w:color w:val="000000" w:themeColor="text1"/>
                <w:sz w:val="18"/>
              </w:rPr>
              <w:t>b) complexité de la législation</w:t>
            </w:r>
          </w:p>
          <w:p>
            <w:pPr>
              <w:spacing w:line="240" w:lineRule="auto"/>
              <w:rPr>
                <w:rFonts w:ascii="Verdana" w:hAnsi="Verdana"/>
                <w:noProof/>
                <w:sz w:val="18"/>
              </w:rPr>
            </w:pPr>
            <w:r>
              <w:rPr>
                <w:rFonts w:ascii="Verdana" w:hAnsi="Verdana"/>
                <w:b/>
                <w:noProof/>
                <w:color w:val="000000" w:themeColor="text1"/>
                <w:sz w:val="18"/>
              </w:rPr>
              <w:t>c) insuffisance des contrôles de gestion dans les États membres</w:t>
            </w:r>
          </w:p>
        </w:tc>
      </w:tr>
    </w:tbl>
    <w:p>
      <w:pPr>
        <w:pStyle w:val="Text1"/>
        <w:ind w:left="0"/>
        <w:rPr>
          <w:rFonts w:ascii="Verdana" w:hAnsi="Verdana"/>
          <w:noProof/>
          <w:sz w:val="18"/>
        </w:rPr>
      </w:pPr>
      <w:r>
        <w:rPr>
          <w:rFonts w:ascii="Verdana" w:hAnsi="Verdana"/>
          <w:noProof/>
          <w:sz w:val="18"/>
        </w:rPr>
        <w:t>Les erreurs proviennent aussi du fait que les règles nationales ou régionales appliquées à la politique de cohésion peuvent être plus exigeantes que celles prévues dans la législation de l'État membre pour des dépenses similaires financées au niveau national. Les vérifications de gestion réalisées par les États membres constituent toujours un problème majeur. Les principales difficultés recensées sont, en particulier, des vérifications insuffisantes des procédures de passation de marchés publics, une structure ou une organisation insuffisante de l’autorité de gestion ou de l’organisme intermédiaire ainsi que l’absence de formation et de supervision en cas de délégation des responsabilités. Les résultats des travaux d’audit sont utilisés par la Commission afin de déterminer si elle peut se fier essentiellement à l’avis de l’autorité d’audit pour ce qui est du bon fonctionnement des systèmes.</w:t>
      </w:r>
    </w:p>
    <w:tbl>
      <w:tblPr>
        <w:tblStyle w:val="TableGrid"/>
        <w:tblW w:w="9322" w:type="dxa"/>
        <w:tblLook w:val="04A0" w:firstRow="1" w:lastRow="0" w:firstColumn="1" w:lastColumn="0" w:noHBand="0" w:noVBand="1"/>
      </w:tblPr>
      <w:tblGrid>
        <w:gridCol w:w="3369"/>
        <w:gridCol w:w="5953"/>
      </w:tblGrid>
      <w:tr>
        <w:trPr>
          <w:trHeight w:val="963"/>
        </w:trPr>
        <w:tc>
          <w:tcPr>
            <w:tcW w:w="336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after="60"/>
              <w:rPr>
                <w:rFonts w:ascii="Verdana" w:hAnsi="Verdana" w:cs="Calibri"/>
                <w:b/>
                <w:noProof/>
                <w:color w:val="000000" w:themeColor="text1"/>
                <w:sz w:val="18"/>
                <w:szCs w:val="18"/>
              </w:rPr>
            </w:pPr>
            <w:r>
              <w:rPr>
                <w:rFonts w:ascii="Verdana" w:hAnsi="Verdana"/>
                <w:b/>
                <w:noProof/>
                <w:color w:val="000000" w:themeColor="text1"/>
                <w:sz w:val="18"/>
              </w:rPr>
              <w:t>Principales causes d’erreur pour le FSE:</w:t>
            </w:r>
          </w:p>
          <w:p>
            <w:pPr>
              <w:spacing w:after="60"/>
              <w:rPr>
                <w:rFonts w:ascii="Verdana" w:hAnsi="Verdana" w:cs="Calibri"/>
                <w:b/>
                <w:noProof/>
                <w:color w:val="000000" w:themeColor="text1"/>
                <w:sz w:val="18"/>
                <w:szCs w:val="18"/>
              </w:rPr>
            </w:pPr>
            <w:r>
              <w:rPr>
                <w:rFonts w:ascii="Verdana" w:hAnsi="Verdana"/>
                <w:b/>
                <w:noProof/>
                <w:color w:val="000000" w:themeColor="text1"/>
                <w:sz w:val="18"/>
              </w:rPr>
              <w:t>a) coûts inéligibles</w:t>
            </w:r>
          </w:p>
          <w:p>
            <w:pPr>
              <w:spacing w:after="120"/>
              <w:rPr>
                <w:rFonts w:ascii="Verdana" w:hAnsi="Verdana"/>
                <w:b/>
                <w:i/>
                <w:noProof/>
                <w:sz w:val="20"/>
              </w:rPr>
            </w:pPr>
            <w:r>
              <w:rPr>
                <w:rFonts w:ascii="Verdana" w:hAnsi="Verdana"/>
                <w:b/>
                <w:noProof/>
                <w:color w:val="000000" w:themeColor="text1"/>
                <w:sz w:val="18"/>
              </w:rPr>
              <w:t>b) projets ou bénéficiaires inéligibles</w:t>
            </w:r>
          </w:p>
        </w:tc>
        <w:tc>
          <w:tcPr>
            <w:tcW w:w="5953" w:type="dxa"/>
            <w:tcBorders>
              <w:top w:val="nil"/>
              <w:left w:val="single" w:sz="12" w:space="0" w:color="auto"/>
              <w:bottom w:val="nil"/>
              <w:right w:val="nil"/>
            </w:tcBorders>
          </w:tcPr>
          <w:p>
            <w:pPr>
              <w:spacing w:after="120" w:line="240" w:lineRule="auto"/>
              <w:jc w:val="both"/>
              <w:rPr>
                <w:rFonts w:ascii="Verdana" w:hAnsi="Verdana"/>
                <w:b/>
                <w:i/>
                <w:noProof/>
                <w:sz w:val="20"/>
              </w:rPr>
            </w:pPr>
            <w:r>
              <w:rPr>
                <w:rFonts w:ascii="Verdana" w:hAnsi="Verdana"/>
                <w:noProof/>
                <w:sz w:val="18"/>
              </w:rPr>
              <w:t>Pour le FSE, les coûts inéligibles restent la principale source d’erreur, de même que les projets ou les bénéficiaires inéligibles et les problèmes liés aux marchés publics. La Commission a amorcé des mesures ciblées, visant à s'attaquer aux causes sous-jacentes de ces erreurs. Les missions d’audit effectuées en 2015 ont porté sur les thèmes principaux suivants:</w:t>
            </w:r>
          </w:p>
        </w:tc>
      </w:tr>
    </w:tbl>
    <w:p>
      <w:pPr>
        <w:pStyle w:val="ListParagraph"/>
        <w:numPr>
          <w:ilvl w:val="0"/>
          <w:numId w:val="51"/>
        </w:numPr>
        <w:spacing w:before="120" w:after="0"/>
        <w:ind w:left="426" w:hanging="219"/>
        <w:contextualSpacing w:val="0"/>
        <w:rPr>
          <w:rFonts w:ascii="Verdana" w:hAnsi="Verdana"/>
          <w:noProof/>
          <w:sz w:val="18"/>
        </w:rPr>
      </w:pPr>
      <w:r>
        <w:rPr>
          <w:rFonts w:ascii="Verdana" w:hAnsi="Verdana"/>
          <w:noProof/>
          <w:sz w:val="18"/>
        </w:rPr>
        <w:t>suivi de la réception des rapports de contrôle annuels pour 2014;</w:t>
      </w:r>
    </w:p>
    <w:p>
      <w:pPr>
        <w:pStyle w:val="ListParagraph"/>
        <w:numPr>
          <w:ilvl w:val="0"/>
          <w:numId w:val="51"/>
        </w:numPr>
        <w:spacing w:before="120" w:after="0"/>
        <w:ind w:left="426" w:hanging="219"/>
        <w:contextualSpacing w:val="0"/>
        <w:rPr>
          <w:rFonts w:ascii="Verdana" w:hAnsi="Verdana"/>
          <w:noProof/>
          <w:sz w:val="18"/>
        </w:rPr>
      </w:pPr>
      <w:r>
        <w:rPr>
          <w:rFonts w:ascii="Verdana" w:hAnsi="Verdana"/>
          <w:noProof/>
          <w:sz w:val="18"/>
        </w:rPr>
        <w:t>l’audit thématique sur les vérifications de gestion, déjà effectué en 2013 et en 2014, s’est poursuivi en 2015 avec neuf missions supplémentaires. Des recommandations et, au besoin, des procédures d’interruption et de suspension ont été engagées pour les programmes affichant certains manquements ou des vérifications insuffisantes;</w:t>
      </w:r>
    </w:p>
    <w:p>
      <w:pPr>
        <w:pStyle w:val="ListParagraph"/>
        <w:numPr>
          <w:ilvl w:val="0"/>
          <w:numId w:val="51"/>
        </w:numPr>
        <w:spacing w:before="120" w:after="0"/>
        <w:ind w:left="426" w:hanging="219"/>
        <w:contextualSpacing w:val="0"/>
        <w:rPr>
          <w:rFonts w:ascii="Verdana" w:hAnsi="Verdana"/>
          <w:noProof/>
          <w:sz w:val="18"/>
        </w:rPr>
      </w:pPr>
      <w:r>
        <w:rPr>
          <w:rFonts w:ascii="Verdana" w:hAnsi="Verdana"/>
          <w:noProof/>
          <w:sz w:val="18"/>
        </w:rPr>
        <w:t>les vingt programmes ayant donné lieu à des réserves dans le rapport annuel d’activités pour 2014 ont fait l'objet d'une mission d’audit en 2015;</w:t>
      </w:r>
    </w:p>
    <w:p>
      <w:pPr>
        <w:pStyle w:val="ListParagraph"/>
        <w:numPr>
          <w:ilvl w:val="0"/>
          <w:numId w:val="51"/>
        </w:numPr>
        <w:spacing w:before="120" w:after="0"/>
        <w:ind w:left="426" w:hanging="219"/>
        <w:contextualSpacing w:val="0"/>
        <w:rPr>
          <w:rFonts w:ascii="Verdana" w:hAnsi="Verdana"/>
          <w:noProof/>
          <w:sz w:val="18"/>
        </w:rPr>
      </w:pPr>
      <w:r>
        <w:rPr>
          <w:rFonts w:ascii="Verdana" w:hAnsi="Verdana"/>
          <w:noProof/>
          <w:sz w:val="18"/>
        </w:rPr>
        <w:t>en 2015, six rapports de contrôle annuels ont été réexécutés et deux missions d'audit au titre de l’article 73 ont été effectuées.</w:t>
      </w:r>
    </w:p>
    <w:p>
      <w:pPr>
        <w:autoSpaceDE w:val="0"/>
        <w:autoSpaceDN w:val="0"/>
        <w:adjustRightInd w:val="0"/>
        <w:spacing w:before="240" w:after="360" w:line="240" w:lineRule="auto"/>
        <w:jc w:val="both"/>
        <w:rPr>
          <w:rFonts w:ascii="Verdana" w:hAnsi="Verdana"/>
          <w:noProof/>
          <w:color w:val="000000" w:themeColor="text1"/>
          <w:sz w:val="20"/>
          <w:szCs w:val="20"/>
        </w:rPr>
      </w:pPr>
      <w:r>
        <w:rPr>
          <w:rFonts w:ascii="Verdana" w:hAnsi="Verdana"/>
          <w:noProof/>
          <w:sz w:val="18"/>
        </w:rPr>
        <w:t xml:space="preserve">Le rapport annuel d’activités de la DG MARE pour 2015 comportait une réserve relative à des insuffisances dans les systèmes de gestion et de contrôle des programmes opérationnels suivants du </w:t>
      </w:r>
      <w:r>
        <w:rPr>
          <w:rFonts w:ascii="Verdana" w:hAnsi="Verdana"/>
          <w:b/>
          <w:noProof/>
          <w:sz w:val="18"/>
        </w:rPr>
        <w:t>FEP</w:t>
      </w:r>
      <w:r>
        <w:rPr>
          <w:rFonts w:ascii="Verdana" w:hAnsi="Verdana"/>
          <w:noProof/>
          <w:sz w:val="18"/>
        </w:rPr>
        <w:t>: la République tchèque, l’Italie, la Roumanie, la Slovaquie et l’Espagne (uniquement la Galice). L’Italie n’avait pas présenté son rapport de contrôle annuel; la Galice fait l’objet d’une limitation du champ d'application. Les autres programmes opérationnels présentaient tous des erreurs matérielles, comme l'indiquent les rapports de contrôle annuels. Les États membres ont tous été informés des résultats de l’analyse des rapports de contrôle annuels effectuée par la Commission. Des lettres d'interruption ont été envoyées aux États membres concernés lorsque des paiements étaient en suspens, précisant la mesure correctrice à prendre pour que les paiements puissent reprendre.</w:t>
      </w:r>
    </w:p>
    <w:p>
      <w:pPr>
        <w:pStyle w:val="ManualHeading2"/>
        <w:rPr>
          <w:i/>
          <w:noProof/>
          <w:szCs w:val="22"/>
        </w:rPr>
      </w:pPr>
      <w:bookmarkStart w:id="126" w:name="_Toc453328859"/>
      <w:bookmarkStart w:id="127" w:name="_Toc456258174"/>
      <w:bookmarkStart w:id="128" w:name="_Toc461437499"/>
      <w:bookmarkEnd w:id="126"/>
      <w:r>
        <w:t>5.4.</w:t>
      </w:r>
      <w:r>
        <w:tab/>
      </w:r>
      <w:r>
        <w:rPr>
          <w:noProof/>
        </w:rPr>
        <w:t>Chiffres cumulés</w:t>
      </w:r>
      <w:bookmarkEnd w:id="127"/>
      <w:bookmarkEnd w:id="128"/>
    </w:p>
    <w:p>
      <w:pPr>
        <w:spacing w:before="240" w:after="120"/>
        <w:jc w:val="both"/>
        <w:rPr>
          <w:rFonts w:ascii="Verdana" w:hAnsi="Verdana"/>
          <w:i/>
          <w:noProof/>
          <w:sz w:val="20"/>
        </w:rPr>
      </w:pPr>
      <w:r>
        <w:rPr>
          <w:rFonts w:ascii="Verdana" w:hAnsi="Verdana"/>
          <w:i/>
          <w:noProof/>
          <w:sz w:val="20"/>
        </w:rPr>
        <w:t>5.4.1</w:t>
      </w:r>
      <w:r>
        <w:rPr>
          <w:noProof/>
        </w:rPr>
        <w:tab/>
      </w:r>
      <w:r>
        <w:rPr>
          <w:rFonts w:ascii="Verdana" w:hAnsi="Verdana"/>
          <w:i/>
          <w:noProof/>
          <w:sz w:val="20"/>
        </w:rPr>
        <w:t>Politique de cohésion: FEDER et FSE 2000-2006</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119"/>
      </w:tblGrid>
      <w:tr>
        <w:trPr>
          <w:trHeight w:val="1105"/>
        </w:trPr>
        <w:tc>
          <w:tcPr>
            <w:tcW w:w="6487" w:type="dxa"/>
            <w:tcBorders>
              <w:right w:val="single" w:sz="12" w:space="0" w:color="auto"/>
            </w:tcBorders>
          </w:tcPr>
          <w:p>
            <w:pPr>
              <w:spacing w:line="240" w:lineRule="auto"/>
              <w:jc w:val="both"/>
              <w:rPr>
                <w:rFonts w:ascii="Verdana" w:hAnsi="Verdana"/>
                <w:noProof/>
                <w:sz w:val="18"/>
              </w:rPr>
            </w:pPr>
            <w:r>
              <w:rPr>
                <w:rFonts w:ascii="Verdana" w:hAnsi="Verdana"/>
                <w:noProof/>
                <w:sz w:val="18"/>
              </w:rPr>
              <w:t>Étant donné que la clôture de la période 2000-2006 touche à sa fin, il est possible de comparer utilement les résultats globaux des mesures correctrices et le total des fonds dépensés et d’avoir ainsi une idée plus précise de l’incidence des mécanismes de correction</w:t>
            </w:r>
            <w:r>
              <w:rPr>
                <w:rStyle w:val="FootnoteReference"/>
                <w:rFonts w:ascii="Verdana" w:hAnsi="Verdana"/>
                <w:noProof/>
                <w:sz w:val="18"/>
              </w:rPr>
              <w:footnoteReference w:id="23"/>
            </w:r>
            <w:r>
              <w:rPr>
                <w:rFonts w:ascii="Verdana" w:hAnsi="Verdana"/>
                <w:noProof/>
                <w:sz w:val="18"/>
              </w:rPr>
              <w:t>.</w:t>
            </w:r>
          </w:p>
        </w:tc>
        <w:tc>
          <w:tcPr>
            <w:tcW w:w="31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line="240" w:lineRule="auto"/>
              <w:rPr>
                <w:rFonts w:ascii="Verdana" w:hAnsi="Verdana"/>
                <w:noProof/>
                <w:sz w:val="18"/>
              </w:rPr>
            </w:pPr>
            <w:r>
              <w:rPr>
                <w:rFonts w:ascii="Verdana" w:hAnsi="Verdana"/>
                <w:b/>
                <w:noProof/>
                <w:color w:val="000000" w:themeColor="text1"/>
                <w:sz w:val="18"/>
              </w:rPr>
              <w:t>Corrections cumulées : 4,2 % des dotations budgétaires</w:t>
            </w:r>
          </w:p>
        </w:tc>
      </w:tr>
    </w:tbl>
    <w:p>
      <w:pPr>
        <w:spacing w:before="120" w:after="120" w:line="240" w:lineRule="auto"/>
        <w:jc w:val="both"/>
        <w:rPr>
          <w:rFonts w:ascii="Verdana" w:hAnsi="Verdana"/>
          <w:noProof/>
          <w:sz w:val="18"/>
        </w:rPr>
      </w:pPr>
      <w:r>
        <w:rPr>
          <w:rFonts w:ascii="Verdana" w:hAnsi="Verdana"/>
          <w:noProof/>
          <w:sz w:val="18"/>
        </w:rPr>
        <w:t>Pour les fonds relevant du FEDER et du FSE, à la fin de 2015, le montant combiné des corrections financières, sur la base des seuls travaux de surveillance de la Commission, s'élevait à 7 784 millions d'EUR.</w:t>
      </w:r>
    </w:p>
    <w:p>
      <w:pPr>
        <w:rPr>
          <w:noProof/>
        </w:rPr>
      </w:pPr>
      <w:r>
        <w:rPr>
          <w:noProof/>
        </w:rPr>
        <w:br w:type="page"/>
      </w:r>
    </w:p>
    <w:tbl>
      <w:tblPr>
        <w:tblW w:w="9606" w:type="dxa"/>
        <w:tblInd w:w="-34" w:type="dxa"/>
        <w:tblLook w:val="04A0" w:firstRow="1" w:lastRow="0" w:firstColumn="1" w:lastColumn="0" w:noHBand="0" w:noVBand="1"/>
      </w:tblPr>
      <w:tblGrid>
        <w:gridCol w:w="9606"/>
      </w:tblGrid>
      <w:tr>
        <w:trPr>
          <w:trHeight w:val="255"/>
        </w:trPr>
        <w:tc>
          <w:tcPr>
            <w:tcW w:w="9606" w:type="dxa"/>
            <w:tcBorders>
              <w:top w:val="nil"/>
              <w:left w:val="nil"/>
              <w:bottom w:val="nil"/>
              <w:right w:val="nil"/>
            </w:tcBorders>
            <w:shd w:val="clear" w:color="auto" w:fill="auto"/>
            <w:noWrap/>
            <w:vAlign w:val="center"/>
            <w:hideMark/>
          </w:tcPr>
          <w:tbl>
            <w:tblPr>
              <w:tblW w:w="9390" w:type="dxa"/>
              <w:tblLook w:val="04A0" w:firstRow="1" w:lastRow="0" w:firstColumn="1" w:lastColumn="0" w:noHBand="0" w:noVBand="1"/>
            </w:tblPr>
            <w:tblGrid>
              <w:gridCol w:w="1735"/>
              <w:gridCol w:w="1134"/>
              <w:gridCol w:w="1134"/>
              <w:gridCol w:w="1276"/>
              <w:gridCol w:w="992"/>
              <w:gridCol w:w="993"/>
              <w:gridCol w:w="1134"/>
              <w:gridCol w:w="992"/>
            </w:tblGrid>
            <w:tr>
              <w:trPr>
                <w:trHeight w:val="255"/>
              </w:trPr>
              <w:tc>
                <w:tcPr>
                  <w:tcW w:w="9390" w:type="dxa"/>
                  <w:gridSpan w:val="8"/>
                  <w:tcBorders>
                    <w:top w:val="nil"/>
                    <w:left w:val="nil"/>
                    <w:bottom w:val="nil"/>
                    <w:right w:val="nil"/>
                  </w:tcBorders>
                  <w:shd w:val="clear" w:color="auto" w:fill="auto"/>
                  <w:noWrap/>
                  <w:vAlign w:val="center"/>
                  <w:hideMark/>
                </w:tcPr>
                <w:p>
                  <w:pPr>
                    <w:spacing w:after="0" w:line="240" w:lineRule="auto"/>
                    <w:jc w:val="both"/>
                    <w:rPr>
                      <w:rFonts w:ascii="Verdana" w:eastAsia="Times New Roman" w:hAnsi="Verdana"/>
                      <w:b/>
                      <w:bCs/>
                      <w:i/>
                      <w:iCs/>
                      <w:noProof/>
                      <w:color w:val="000000"/>
                      <w:sz w:val="20"/>
                      <w:szCs w:val="20"/>
                    </w:rPr>
                  </w:pPr>
                  <w:r>
                    <w:rPr>
                      <w:rFonts w:ascii="Verdana" w:hAnsi="Verdana"/>
                      <w:b/>
                      <w:i/>
                      <w:noProof/>
                      <w:color w:val="000000"/>
                      <w:sz w:val="20"/>
                    </w:rPr>
                    <w:t>Tableau 5.4.1: Période de programmation 2000-2006 – Corrections financières FEDER et FSE confirmées et en cours au 31 décembre 2015; ventilation par État membre</w:t>
                  </w:r>
                </w:p>
              </w:tc>
            </w:tr>
            <w:tr>
              <w:trPr>
                <w:trHeight w:val="270"/>
              </w:trPr>
              <w:tc>
                <w:tcPr>
                  <w:tcW w:w="9390" w:type="dxa"/>
                  <w:gridSpan w:val="8"/>
                  <w:tcBorders>
                    <w:top w:val="nil"/>
                    <w:left w:val="nil"/>
                    <w:bottom w:val="single" w:sz="8" w:space="0" w:color="auto"/>
                    <w:right w:val="nil"/>
                  </w:tcBorders>
                  <w:shd w:val="clear" w:color="auto" w:fill="auto"/>
                  <w:noWrap/>
                  <w:vAlign w:val="bottom"/>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En Mio EUR</w:t>
                  </w:r>
                </w:p>
              </w:tc>
            </w:tr>
            <w:tr>
              <w:trPr>
                <w:trHeight w:val="1499"/>
              </w:trPr>
              <w:tc>
                <w:tcPr>
                  <w:tcW w:w="1735" w:type="dxa"/>
                  <w:tcBorders>
                    <w:top w:val="nil"/>
                    <w:left w:val="single" w:sz="8" w:space="0" w:color="auto"/>
                    <w:bottom w:val="single" w:sz="8" w:space="0" w:color="auto"/>
                    <w:right w:val="nil"/>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État membre</w:t>
                  </w:r>
                </w:p>
              </w:tc>
              <w:tc>
                <w:tcPr>
                  <w:tcW w:w="1134" w:type="dxa"/>
                  <w:tcBorders>
                    <w:top w:val="nil"/>
                    <w:left w:val="single" w:sz="8" w:space="0" w:color="auto"/>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Montant de la contribution FEDER+FSE</w:t>
                  </w:r>
                </w:p>
              </w:tc>
              <w:tc>
                <w:tcPr>
                  <w:tcW w:w="1134" w:type="dxa"/>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Montant de la contribution par rapport au total des contributions (en %)</w:t>
                  </w:r>
                </w:p>
              </w:tc>
              <w:tc>
                <w:tcPr>
                  <w:tcW w:w="1276" w:type="dxa"/>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Corrections financières confirmées</w:t>
                  </w:r>
                </w:p>
              </w:tc>
              <w:tc>
                <w:tcPr>
                  <w:tcW w:w="992" w:type="dxa"/>
                  <w:tcBorders>
                    <w:top w:val="nil"/>
                    <w:left w:val="nil"/>
                    <w:bottom w:val="single" w:sz="8" w:space="0" w:color="auto"/>
                    <w:right w:val="nil"/>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Corrections financières en cours (lettres de clôture envoyées)</w:t>
                  </w:r>
                </w:p>
              </w:tc>
              <w:tc>
                <w:tcPr>
                  <w:tcW w:w="993" w:type="dxa"/>
                  <w:tcBorders>
                    <w:top w:val="nil"/>
                    <w:left w:val="single" w:sz="8" w:space="0" w:color="auto"/>
                    <w:bottom w:val="single" w:sz="8" w:space="0" w:color="auto"/>
                    <w:right w:val="nil"/>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Total des corrections financières imposées pour 2000-2006</w:t>
                  </w:r>
                </w:p>
              </w:tc>
              <w:tc>
                <w:tcPr>
                  <w:tcW w:w="1134" w:type="dxa"/>
                  <w:tcBorders>
                    <w:top w:val="nil"/>
                    <w:left w:val="single" w:sz="8" w:space="0" w:color="auto"/>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Pourcentage des corrections financières par rapport aux contributions FEDER+FSE</w:t>
                  </w:r>
                </w:p>
              </w:tc>
              <w:tc>
                <w:tcPr>
                  <w:tcW w:w="992" w:type="dxa"/>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Part des corrections financières imposées dans le total des corrections financières</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Belgique</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1 945</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1,0 %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19</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19</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1,0 %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0,2 %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République tchèque</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1 456</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0,7 %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0,4 %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0,1 %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Danemark</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570</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0,3 %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0,1 %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0,0 %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Allemagne</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26 960</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13,7 %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53</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54</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0,2 %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0,7 %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Estonie</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305</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0,2 %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0,5 %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Irlande</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3 067</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1,6 %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36</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36</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1,2 %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0,4 %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Grèce</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20 211</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10,3 %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1 212</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1 212</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6,0 %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14,8 %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Espagne</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40 686</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20,7 %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3 494</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28</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3 522</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8,7 %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43,0 %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France</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14 825</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7,5 %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482</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482</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3,3 %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5,9 %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Italie</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27 501</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14,0 %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1 588</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373</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1 961</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7,1 %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24,0 %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Chypre</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53</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0,0 %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Lettonie</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518</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0,3 %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0,8 %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Lituanie</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773</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0,4 %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0,3 %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Luxembourg</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71</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0,0 %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2,6 %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Hongrie</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1 695</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0,9 %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13</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13</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0,8 %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0,2 %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Malte</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57</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0,0 %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Pays-Bas</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2 702</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1,4 %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44</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44</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1,6 %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0,5 %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Autriche</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1 647</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0,8 %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0,2 %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Pologne</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7 032</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3,6 %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180</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180</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2,6 %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2,2 %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Portugal</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18 178</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9,2 %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190</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190</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1,0 %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2,3 %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Slovénie</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215</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0,1 %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0,9 %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Slovaquie</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1 245</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0,6 %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45</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45</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3,6 %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0,5 %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Finlande</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1 789</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0,9 %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Suède</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1 634</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0,8 %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12</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12</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0,7 %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r>
            <w:tr>
              <w:trPr>
                <w:trHeight w:val="227"/>
              </w:trPr>
              <w:tc>
                <w:tcPr>
                  <w:tcW w:w="1735" w:type="dxa"/>
                  <w:tcBorders>
                    <w:top w:val="nil"/>
                    <w:left w:val="single" w:sz="8" w:space="0" w:color="auto"/>
                    <w:bottom w:val="nil"/>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Royaume-Uni</w:t>
                  </w:r>
                </w:p>
              </w:tc>
              <w:tc>
                <w:tcPr>
                  <w:tcW w:w="1134" w:type="dxa"/>
                  <w:tcBorders>
                    <w:top w:val="nil"/>
                    <w:left w:val="single" w:sz="8" w:space="0" w:color="auto"/>
                    <w:bottom w:val="nil"/>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16 129</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8,2 %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324</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324</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2,0 %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4,0 %</w:t>
                  </w:r>
                </w:p>
              </w:tc>
            </w:tr>
            <w:tr>
              <w:trPr>
                <w:trHeight w:val="227"/>
              </w:trPr>
              <w:tc>
                <w:tcPr>
                  <w:tcW w:w="1735" w:type="dxa"/>
                  <w:tcBorders>
                    <w:top w:val="nil"/>
                    <w:left w:val="single" w:sz="8" w:space="0" w:color="auto"/>
                    <w:bottom w:val="single" w:sz="8" w:space="0" w:color="auto"/>
                    <w:right w:val="nil"/>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Interreg</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right"/>
                    <w:rPr>
                      <w:rFonts w:ascii="Verdana" w:eastAsia="Times New Roman" w:hAnsi="Verdana"/>
                      <w:noProof/>
                      <w:color w:val="000000"/>
                      <w:sz w:val="16"/>
                      <w:szCs w:val="16"/>
                    </w:rPr>
                  </w:pPr>
                  <w:r>
                    <w:rPr>
                      <w:rFonts w:ascii="Verdana" w:hAnsi="Verdana"/>
                      <w:noProof/>
                      <w:color w:val="000000"/>
                      <w:sz w:val="16"/>
                    </w:rPr>
                    <w:t>5 645</w:t>
                  </w:r>
                </w:p>
              </w:tc>
              <w:tc>
                <w:tcPr>
                  <w:tcW w:w="1134" w:type="dxa"/>
                  <w:tcBorders>
                    <w:top w:val="nil"/>
                    <w:left w:val="nil"/>
                    <w:bottom w:val="nil"/>
                    <w:right w:val="single" w:sz="8" w:space="0" w:color="auto"/>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2,9 %</w:t>
                  </w:r>
                </w:p>
              </w:tc>
              <w:tc>
                <w:tcPr>
                  <w:tcW w:w="1276"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69</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993"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69</w:t>
                  </w:r>
                </w:p>
              </w:tc>
              <w:tc>
                <w:tcPr>
                  <w:tcW w:w="1134"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1,2 %</w:t>
                  </w:r>
                </w:p>
              </w:tc>
              <w:tc>
                <w:tcPr>
                  <w:tcW w:w="99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0,8 %</w:t>
                  </w:r>
                </w:p>
              </w:tc>
            </w:tr>
            <w:tr>
              <w:trPr>
                <w:trHeight w:val="227"/>
              </w:trPr>
              <w:tc>
                <w:tcPr>
                  <w:tcW w:w="1735" w:type="dxa"/>
                  <w:tcBorders>
                    <w:top w:val="nil"/>
                    <w:left w:val="single" w:sz="8" w:space="0" w:color="auto"/>
                    <w:bottom w:val="single" w:sz="8" w:space="0" w:color="auto"/>
                    <w:right w:val="nil"/>
                  </w:tcBorders>
                  <w:shd w:val="clear" w:color="auto" w:fill="auto"/>
                  <w:noWrap/>
                  <w:vAlign w:val="center"/>
                  <w:hideMark/>
                </w:tcPr>
                <w:p>
                  <w:pPr>
                    <w:spacing w:after="0" w:line="240" w:lineRule="auto"/>
                    <w:rPr>
                      <w:rFonts w:ascii="Verdana" w:eastAsia="Times New Roman" w:hAnsi="Verdana"/>
                      <w:b/>
                      <w:bCs/>
                      <w:noProof/>
                      <w:color w:val="000000"/>
                      <w:sz w:val="16"/>
                      <w:szCs w:val="16"/>
                    </w:rPr>
                  </w:pPr>
                  <w:r>
                    <w:rPr>
                      <w:rFonts w:ascii="Verdana" w:hAnsi="Verdana"/>
                      <w:b/>
                      <w:noProof/>
                      <w:color w:val="000000"/>
                      <w:sz w:val="16"/>
                    </w:rPr>
                    <w:t>Total</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right"/>
                    <w:rPr>
                      <w:rFonts w:ascii="Verdana" w:eastAsia="Times New Roman" w:hAnsi="Verdana"/>
                      <w:b/>
                      <w:bCs/>
                      <w:noProof/>
                      <w:color w:val="000000"/>
                      <w:sz w:val="16"/>
                      <w:szCs w:val="16"/>
                    </w:rPr>
                  </w:pPr>
                  <w:r>
                    <w:rPr>
                      <w:rFonts w:ascii="Verdana" w:hAnsi="Verdana"/>
                      <w:b/>
                      <w:noProof/>
                      <w:color w:val="000000"/>
                      <w:sz w:val="16"/>
                    </w:rPr>
                    <w:t>196 911</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pPr>
                    <w:spacing w:after="0" w:line="240" w:lineRule="auto"/>
                    <w:jc w:val="right"/>
                    <w:rPr>
                      <w:rFonts w:ascii="Verdana" w:eastAsia="Times New Roman" w:hAnsi="Verdana"/>
                      <w:b/>
                      <w:bCs/>
                      <w:i/>
                      <w:iCs/>
                      <w:noProof/>
                      <w:color w:val="000000"/>
                      <w:sz w:val="16"/>
                      <w:szCs w:val="16"/>
                    </w:rPr>
                  </w:pPr>
                  <w:r>
                    <w:rPr>
                      <w:rFonts w:ascii="Verdana" w:hAnsi="Verdana"/>
                      <w:b/>
                      <w:i/>
                      <w:noProof/>
                      <w:color w:val="000000"/>
                      <w:sz w:val="16"/>
                    </w:rPr>
                    <w:t>100,0 %</w:t>
                  </w:r>
                </w:p>
              </w:tc>
              <w:tc>
                <w:tcPr>
                  <w:tcW w:w="1276" w:type="dxa"/>
                  <w:tcBorders>
                    <w:top w:val="single" w:sz="8" w:space="0" w:color="auto"/>
                    <w:left w:val="nil"/>
                    <w:bottom w:val="single" w:sz="8" w:space="0" w:color="auto"/>
                    <w:right w:val="single" w:sz="8" w:space="0" w:color="auto"/>
                  </w:tcBorders>
                  <w:shd w:val="clear" w:color="auto" w:fill="auto"/>
                  <w:noWrap/>
                  <w:vAlign w:val="center"/>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7 784</w:t>
                  </w:r>
                </w:p>
              </w:tc>
              <w:tc>
                <w:tcPr>
                  <w:tcW w:w="992" w:type="dxa"/>
                  <w:tcBorders>
                    <w:top w:val="single" w:sz="8" w:space="0" w:color="auto"/>
                    <w:left w:val="nil"/>
                    <w:bottom w:val="single" w:sz="8" w:space="0" w:color="auto"/>
                    <w:right w:val="single" w:sz="8" w:space="0" w:color="auto"/>
                  </w:tcBorders>
                  <w:shd w:val="clear" w:color="auto" w:fill="auto"/>
                  <w:noWrap/>
                  <w:vAlign w:val="center"/>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403</w:t>
                  </w:r>
                </w:p>
              </w:tc>
              <w:tc>
                <w:tcPr>
                  <w:tcW w:w="993" w:type="dxa"/>
                  <w:tcBorders>
                    <w:top w:val="single" w:sz="8" w:space="0" w:color="auto"/>
                    <w:left w:val="nil"/>
                    <w:bottom w:val="single" w:sz="8" w:space="0" w:color="auto"/>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8 187</w:t>
                  </w:r>
                </w:p>
              </w:tc>
              <w:tc>
                <w:tcPr>
                  <w:tcW w:w="1134" w:type="dxa"/>
                  <w:tcBorders>
                    <w:top w:val="single" w:sz="8" w:space="0" w:color="auto"/>
                    <w:left w:val="nil"/>
                    <w:bottom w:val="single" w:sz="8" w:space="0" w:color="auto"/>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4,2 %</w:t>
                  </w:r>
                </w:p>
              </w:tc>
              <w:tc>
                <w:tcPr>
                  <w:tcW w:w="992" w:type="dxa"/>
                  <w:tcBorders>
                    <w:top w:val="single" w:sz="8" w:space="0" w:color="auto"/>
                    <w:left w:val="nil"/>
                    <w:bottom w:val="single" w:sz="8" w:space="0" w:color="auto"/>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100,0 %</w:t>
                  </w:r>
                </w:p>
              </w:tc>
            </w:tr>
          </w:tbl>
          <w:p>
            <w:pPr>
              <w:spacing w:after="0" w:line="240" w:lineRule="auto"/>
              <w:jc w:val="both"/>
              <w:rPr>
                <w:rFonts w:ascii="Verdana" w:eastAsia="Times New Roman" w:hAnsi="Verdana"/>
                <w:b/>
                <w:bCs/>
                <w:i/>
                <w:iCs/>
                <w:noProof/>
                <w:color w:val="000000"/>
                <w:sz w:val="20"/>
                <w:szCs w:val="20"/>
              </w:rPr>
            </w:pPr>
          </w:p>
        </w:tc>
      </w:tr>
    </w:tbl>
    <w:p>
      <w:pPr>
        <w:spacing w:line="240" w:lineRule="auto"/>
        <w:jc w:val="both"/>
        <w:rPr>
          <w:rFonts w:ascii="Verdana" w:hAnsi="Verdana"/>
          <w:noProof/>
          <w:sz w:val="18"/>
        </w:rPr>
      </w:pPr>
    </w:p>
    <w:p>
      <w:pPr>
        <w:spacing w:after="120" w:line="240" w:lineRule="auto"/>
        <w:jc w:val="both"/>
        <w:rPr>
          <w:rFonts w:ascii="Verdana" w:hAnsi="Verdana"/>
          <w:noProof/>
          <w:sz w:val="18"/>
        </w:rPr>
      </w:pPr>
      <w:r>
        <w:rPr>
          <w:rFonts w:ascii="Verdana" w:hAnsi="Verdana"/>
          <w:noProof/>
          <w:sz w:val="18"/>
        </w:rPr>
        <w:t xml:space="preserve">À la fin de 2015, la Commission avait clôturé 361 programmes du </w:t>
      </w:r>
      <w:r>
        <w:rPr>
          <w:rFonts w:ascii="Verdana" w:hAnsi="Verdana"/>
          <w:b/>
          <w:noProof/>
          <w:sz w:val="18"/>
        </w:rPr>
        <w:t>FEDER</w:t>
      </w:r>
      <w:r>
        <w:rPr>
          <w:rFonts w:ascii="Verdana" w:hAnsi="Verdana"/>
          <w:noProof/>
          <w:sz w:val="18"/>
        </w:rPr>
        <w:t xml:space="preserve"> (contre 338 à la fin de 2014) sur un total de 379 programmes. Les dix-huit programmes restants constituent des cas dans lesquels les États membres ont contesté les corrections financières proposées par la Commission, ont présenté des informations complémentaires à prendre en considération ou ont demandé le remboursement de montants irrécouvrables. Ces cas sont suivis par des procédures de correction financière (auditions) et des décisions relatives aux montants irrécouvrables.</w:t>
      </w:r>
    </w:p>
    <w:p>
      <w:pPr>
        <w:spacing w:after="120" w:line="240" w:lineRule="auto"/>
        <w:jc w:val="both"/>
        <w:rPr>
          <w:rFonts w:ascii="Verdana" w:hAnsi="Verdana"/>
          <w:noProof/>
          <w:sz w:val="18"/>
        </w:rPr>
      </w:pPr>
      <w:r>
        <w:rPr>
          <w:rFonts w:ascii="Verdana" w:hAnsi="Verdana"/>
          <w:noProof/>
          <w:sz w:val="18"/>
        </w:rPr>
        <w:t>Pour le FEDER, les corrections financières imposées par la Commission de manière cumulative à tous les États membres jusqu’à la fin de 2015 s’élèvent à 5,8 milliards d’EUR</w:t>
      </w:r>
      <w:r>
        <w:rPr>
          <w:rStyle w:val="FootnoteReference"/>
          <w:rFonts w:ascii="Verdana" w:hAnsi="Verdana"/>
          <w:noProof/>
          <w:sz w:val="18"/>
        </w:rPr>
        <w:footnoteReference w:id="24"/>
      </w:r>
      <w:r>
        <w:rPr>
          <w:rFonts w:ascii="Verdana" w:hAnsi="Verdana"/>
          <w:noProof/>
          <w:sz w:val="18"/>
        </w:rPr>
        <w:t>, ce qui représente environ 4,5 % du total des dotations pour l'ensemble des programmes 2000-2006. Ce processus se décompose comme suit: 4,1 milliards d’EUR de corrections financières durant le cycle de vie des programmes et 1,6 milliard d’EUR de corrections financières appliquées à la clôture des programmes. Les principaux États membres concernés sont l’Espagne (2,6 milliards d’EUR), l’Italie (1,2 milliard d’EUR) et la Grèce (1,2 milliard d’EUR).</w:t>
      </w:r>
    </w:p>
    <w:p>
      <w:pPr>
        <w:spacing w:after="120" w:line="240" w:lineRule="auto"/>
        <w:jc w:val="both"/>
        <w:rPr>
          <w:rFonts w:ascii="Verdana" w:hAnsi="Verdana"/>
          <w:noProof/>
          <w:sz w:val="18"/>
        </w:rPr>
      </w:pPr>
      <w:r>
        <w:rPr>
          <w:rFonts w:ascii="Verdana" w:hAnsi="Verdana"/>
          <w:noProof/>
          <w:sz w:val="18"/>
        </w:rPr>
        <w:t xml:space="preserve">Pour le </w:t>
      </w:r>
      <w:r>
        <w:rPr>
          <w:rFonts w:ascii="Verdana" w:hAnsi="Verdana"/>
          <w:b/>
          <w:noProof/>
          <w:sz w:val="18"/>
        </w:rPr>
        <w:t>FSE</w:t>
      </w:r>
      <w:r>
        <w:rPr>
          <w:rFonts w:ascii="Verdana" w:hAnsi="Verdana"/>
          <w:noProof/>
          <w:sz w:val="18"/>
        </w:rPr>
        <w:t>, le processus de clôture avait déjà été achevé à la fin de 2014. À la fin de  2015, le montant total des corrections financières pour la période de programmation 2000-2006 (compte tenu des corrections financières en cours) s’élevait à 2,4 milliards d’EUR, ce qui représente 3,6 % de la dotation du FSE. Ce processus se décompose comme suit: 1,2 milliard d’EUR de corrections financières durant le cycle de vie des programmes et 1,2 milliard d’EUR de corrections appliquées à la clôture.</w:t>
      </w:r>
    </w:p>
    <w:p>
      <w:pPr>
        <w:spacing w:after="240" w:line="240" w:lineRule="auto"/>
        <w:jc w:val="both"/>
        <w:rPr>
          <w:rFonts w:ascii="Verdana" w:hAnsi="Verdana"/>
          <w:b/>
          <w:bCs/>
          <w:i/>
          <w:noProof/>
          <w:sz w:val="18"/>
        </w:rPr>
      </w:pPr>
      <w:r>
        <w:rPr>
          <w:rFonts w:ascii="Verdana" w:hAnsi="Verdana"/>
          <w:b/>
          <w:i/>
          <w:noProof/>
          <w:sz w:val="18"/>
        </w:rPr>
        <w:t>Graphique 5.4.1: Corrections financières cumulées des États membres confirmées et en cours au 31 décembre 2015 pour la période de programmation 2000-2006 du FEDER et du FSE par rapport aux contributions reçues</w:t>
      </w:r>
    </w:p>
    <w:p>
      <w:pPr>
        <w:spacing w:after="240" w:line="240" w:lineRule="auto"/>
        <w:jc w:val="both"/>
        <w:rPr>
          <w:rFonts w:ascii="Verdana" w:hAnsi="Verdana"/>
          <w:b/>
          <w:bCs/>
          <w:i/>
          <w:noProof/>
          <w:sz w:val="18"/>
        </w:rPr>
      </w:pPr>
      <w:r>
        <w:rPr>
          <w:rFonts w:ascii="Verdana" w:hAnsi="Verdana"/>
          <w:b/>
          <w:bCs/>
          <w:i/>
          <w:noProof/>
          <w:sz w:val="18"/>
          <w:lang w:val="en-US" w:eastAsia="en-US" w:bidi="ar-SA"/>
        </w:rPr>
        <w:drawing>
          <wp:inline distT="0" distB="0" distL="0" distR="0">
            <wp:extent cx="5596890" cy="3133725"/>
            <wp:effectExtent l="0" t="0" r="381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96890" cy="3133725"/>
                    </a:xfrm>
                    <a:prstGeom prst="rect">
                      <a:avLst/>
                    </a:prstGeom>
                    <a:noFill/>
                  </pic:spPr>
                </pic:pic>
              </a:graphicData>
            </a:graphic>
          </wp:inline>
        </w:drawing>
      </w:r>
    </w:p>
    <w:p>
      <w:pPr>
        <w:spacing w:before="240" w:after="120"/>
        <w:jc w:val="both"/>
        <w:rPr>
          <w:rFonts w:ascii="Verdana" w:hAnsi="Verdana"/>
          <w:i/>
          <w:noProof/>
          <w:sz w:val="20"/>
        </w:rPr>
      </w:pPr>
      <w:r>
        <w:rPr>
          <w:rFonts w:ascii="Verdana" w:hAnsi="Verdana"/>
          <w:i/>
          <w:noProof/>
          <w:sz w:val="20"/>
        </w:rPr>
        <w:t>5.4.2</w:t>
      </w:r>
      <w:r>
        <w:rPr>
          <w:noProof/>
        </w:rPr>
        <w:tab/>
      </w:r>
      <w:r>
        <w:rPr>
          <w:rFonts w:ascii="Verdana" w:hAnsi="Verdana"/>
          <w:i/>
          <w:noProof/>
          <w:sz w:val="20"/>
        </w:rPr>
        <w:t>Politique de cohésion: FEDER/FC et FSE 2007-2013</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552"/>
      </w:tblGrid>
      <w:tr>
        <w:trPr>
          <w:trHeight w:val="1105"/>
        </w:trPr>
        <w:tc>
          <w:tcPr>
            <w:tcW w:w="6912" w:type="dxa"/>
            <w:tcBorders>
              <w:right w:val="single" w:sz="12" w:space="0" w:color="auto"/>
            </w:tcBorders>
          </w:tcPr>
          <w:p>
            <w:pPr>
              <w:spacing w:line="240" w:lineRule="auto"/>
              <w:jc w:val="both"/>
              <w:rPr>
                <w:rFonts w:ascii="Verdana" w:hAnsi="Verdana"/>
                <w:noProof/>
                <w:sz w:val="18"/>
              </w:rPr>
            </w:pPr>
            <w:r>
              <w:rPr>
                <w:rFonts w:ascii="Verdana" w:hAnsi="Verdana"/>
                <w:noProof/>
                <w:sz w:val="18"/>
              </w:rPr>
              <w:t>Tandis que les corrections financières relatives à la période 2007-2013 devraient encore augmenter dans les années à venir à mesure que les programmes entameront leur clôture, les chiffres indiquent jusqu’ici un volume global de corrections financières qui est inférieur à celui de la période de programmation précédente.</w:t>
            </w:r>
          </w:p>
        </w:tc>
        <w:tc>
          <w:tcPr>
            <w:tcW w:w="255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pPr>
              <w:spacing w:line="240" w:lineRule="auto"/>
              <w:rPr>
                <w:rFonts w:ascii="Verdana" w:hAnsi="Verdana"/>
                <w:noProof/>
                <w:sz w:val="18"/>
              </w:rPr>
            </w:pPr>
            <w:r>
              <w:rPr>
                <w:rFonts w:ascii="Verdana" w:hAnsi="Verdana"/>
                <w:b/>
                <w:noProof/>
                <w:color w:val="000000" w:themeColor="text1"/>
                <w:sz w:val="18"/>
              </w:rPr>
              <w:t>Corrections cumulées: 1,4 % des dotations budgétaires</w:t>
            </w:r>
          </w:p>
        </w:tc>
      </w:tr>
    </w:tbl>
    <w:p>
      <w:pPr>
        <w:spacing w:line="240" w:lineRule="auto"/>
        <w:jc w:val="both"/>
        <w:rPr>
          <w:rFonts w:ascii="Verdana" w:hAnsi="Verdana"/>
          <w:noProof/>
          <w:sz w:val="18"/>
        </w:rPr>
      </w:pPr>
      <w:r>
        <w:rPr>
          <w:rFonts w:ascii="Verdana" w:hAnsi="Verdana"/>
          <w:noProof/>
          <w:sz w:val="18"/>
        </w:rPr>
        <w:t>Le volume moindre des corrections financières démontre la capacité accrue des systèmes de gestion et de contrôle à détecter les problèmes et à corriger les erreurs avant que les dépenses ne soient déclarées à la Commission, comme en témoignent, pour la politique de cohésion, les taux d’erreur de la période 2007-2013, qui sont inférieurs à ceux de la période 2000-2006. Il est également fait référence aux corrections effectuées par les États membres durant cette période.</w:t>
      </w:r>
    </w:p>
    <w:p>
      <w:pPr>
        <w:rPr>
          <w:noProof/>
        </w:rPr>
      </w:pPr>
      <w:r>
        <w:rPr>
          <w:noProof/>
        </w:rPr>
        <w:br w:type="page"/>
      </w:r>
    </w:p>
    <w:tbl>
      <w:tblPr>
        <w:tblW w:w="9119" w:type="dxa"/>
        <w:tblInd w:w="108" w:type="dxa"/>
        <w:tblLook w:val="04A0" w:firstRow="1" w:lastRow="0" w:firstColumn="1" w:lastColumn="0" w:noHBand="0" w:noVBand="1"/>
      </w:tblPr>
      <w:tblGrid>
        <w:gridCol w:w="1560"/>
        <w:gridCol w:w="1249"/>
        <w:gridCol w:w="1114"/>
        <w:gridCol w:w="1079"/>
        <w:gridCol w:w="1042"/>
        <w:gridCol w:w="1012"/>
        <w:gridCol w:w="1249"/>
        <w:gridCol w:w="988"/>
      </w:tblGrid>
      <w:tr>
        <w:trPr>
          <w:trHeight w:val="720"/>
        </w:trPr>
        <w:tc>
          <w:tcPr>
            <w:tcW w:w="9119" w:type="dxa"/>
            <w:gridSpan w:val="8"/>
            <w:tcBorders>
              <w:top w:val="nil"/>
              <w:left w:val="nil"/>
              <w:bottom w:val="nil"/>
              <w:right w:val="nil"/>
            </w:tcBorders>
            <w:shd w:val="clear" w:color="auto" w:fill="auto"/>
            <w:noWrap/>
            <w:vAlign w:val="center"/>
            <w:hideMark/>
          </w:tcPr>
          <w:p>
            <w:pPr>
              <w:spacing w:after="0" w:line="240" w:lineRule="auto"/>
              <w:jc w:val="both"/>
              <w:rPr>
                <w:rFonts w:ascii="Verdana" w:eastAsia="Times New Roman" w:hAnsi="Verdana"/>
                <w:b/>
                <w:bCs/>
                <w:i/>
                <w:iCs/>
                <w:noProof/>
                <w:color w:val="000000"/>
                <w:sz w:val="18"/>
                <w:szCs w:val="20"/>
              </w:rPr>
            </w:pPr>
            <w:r>
              <w:rPr>
                <w:rFonts w:ascii="Verdana" w:hAnsi="Verdana"/>
                <w:b/>
                <w:i/>
                <w:noProof/>
                <w:color w:val="000000"/>
                <w:sz w:val="18"/>
              </w:rPr>
              <w:t>Tableau 5.4.2: Période de programmation 2007-2013 – Corrections financières FEDER/FC et FSE confirmées et en cours au 31 décembre 2015; ventilation par État membre</w:t>
            </w:r>
          </w:p>
        </w:tc>
      </w:tr>
      <w:tr>
        <w:trPr>
          <w:trHeight w:val="270"/>
        </w:trPr>
        <w:tc>
          <w:tcPr>
            <w:tcW w:w="9119" w:type="dxa"/>
            <w:gridSpan w:val="8"/>
            <w:tcBorders>
              <w:top w:val="nil"/>
              <w:left w:val="nil"/>
              <w:bottom w:val="single" w:sz="8" w:space="0" w:color="auto"/>
              <w:right w:val="nil"/>
            </w:tcBorders>
            <w:shd w:val="clear" w:color="auto" w:fill="auto"/>
            <w:noWrap/>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En Mio EUR</w:t>
            </w:r>
          </w:p>
        </w:tc>
      </w:tr>
      <w:tr>
        <w:trPr>
          <w:trHeight w:val="975"/>
        </w:trPr>
        <w:tc>
          <w:tcPr>
            <w:tcW w:w="1560" w:type="dxa"/>
            <w:tcBorders>
              <w:top w:val="nil"/>
              <w:left w:val="single" w:sz="8" w:space="0" w:color="auto"/>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État membre</w:t>
            </w:r>
          </w:p>
        </w:tc>
        <w:tc>
          <w:tcPr>
            <w:tcW w:w="1167" w:type="dxa"/>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Montant de la contribution FEDER/FC+FSE pour 2007-2013</w:t>
            </w:r>
          </w:p>
        </w:tc>
        <w:tc>
          <w:tcPr>
            <w:tcW w:w="1114" w:type="dxa"/>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Montant de la contribution par rapport au total des contributions (en %)</w:t>
            </w:r>
          </w:p>
        </w:tc>
        <w:tc>
          <w:tcPr>
            <w:tcW w:w="1079" w:type="dxa"/>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Corrections financières confirmées</w:t>
            </w:r>
          </w:p>
        </w:tc>
        <w:tc>
          <w:tcPr>
            <w:tcW w:w="1042" w:type="dxa"/>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Corrections financières en cours (lettres de clôture envoyées)*</w:t>
            </w:r>
          </w:p>
        </w:tc>
        <w:tc>
          <w:tcPr>
            <w:tcW w:w="1012" w:type="dxa"/>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Total des corrections financières imposées pour 2007-2013</w:t>
            </w:r>
          </w:p>
        </w:tc>
        <w:tc>
          <w:tcPr>
            <w:tcW w:w="1167" w:type="dxa"/>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Pourcentage des corrections financières par rapport aux contributions FEDER/FC+FSE</w:t>
            </w:r>
          </w:p>
        </w:tc>
        <w:tc>
          <w:tcPr>
            <w:tcW w:w="978" w:type="dxa"/>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Part des corrections financières imposées dans le total des corrections financières</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Belgique</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2 062</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0,6 %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24</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24</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1,2 %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0,5 %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Bulgarie</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6 668</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1,9 %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144</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144</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2,2 %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3,0 %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République tchèque</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26 425</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7,6 %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810</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810</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3,1 %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17,2 %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Danemark</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510</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0</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Allemagne</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25 465</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7,3 %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179</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179</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0,7 %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3,8 %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Estonie</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3 403</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1,0 %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12</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12</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0,3 %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0,2 %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Irlande</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751</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0,2 %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22</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22</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2,9 %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0,5 %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Grèce</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20 210</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5,8 %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338</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338</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1,7 %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7,2 %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Espagne</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34 527</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9,9 %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488</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488</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1,4 %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10,4 %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France</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13 549</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3,9 %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64</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64</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0,5 %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1,4 %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Croatie</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858</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0,2 %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Sans objet</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Sans objet</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Italie</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27 943</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8,0 %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293</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293</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1,0 %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6,2 %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Chypre</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612</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0,2 %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Sans objet</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Sans objet</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Lettonie</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4 530</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1,3 %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47</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47</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1,0 %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1,0 %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Lituanie</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6 775</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2,0 %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0</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Luxembourg</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50</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0</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Hongrie</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24 893</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7,2 %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432</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432</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1,7 %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9,1 %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Malte</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840</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0,2 %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0</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Pays-Bas</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1 660</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0,5 %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Sans objet</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Sans objet</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Autriche</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1 204</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0,3 %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16</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16</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1,3 %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0,3 %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Pologne</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67 186</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19,3 %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334</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334</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0,5 %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7,1 %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Portugal</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21 412</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6,2 %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22</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 xml:space="preserve"> 22</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0,5 %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Roumanie</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19 058</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5,5 %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961</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961</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5,0 %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20,4 %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Slovénie</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4 101</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1,2 %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33</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33</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0,8 %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0,7 %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Slovaquie</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11 483</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3,3 %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425</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425</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3,7 %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9,0 %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Finlande</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1 596</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0,5 %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Suède</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1 626</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0,5 %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r>
      <w:tr>
        <w:trPr>
          <w:trHeight w:val="227"/>
        </w:trPr>
        <w:tc>
          <w:tcPr>
            <w:tcW w:w="1560" w:type="dxa"/>
            <w:tcBorders>
              <w:top w:val="nil"/>
              <w:left w:val="single" w:sz="8" w:space="0" w:color="auto"/>
              <w:bottom w:val="nil"/>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Royaume-Uni</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9 883</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2,8 %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71</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71</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0,7 %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1,5 %</w:t>
            </w:r>
          </w:p>
        </w:tc>
      </w:tr>
      <w:tr>
        <w:trPr>
          <w:trHeight w:val="227"/>
        </w:trPr>
        <w:tc>
          <w:tcPr>
            <w:tcW w:w="1560" w:type="dxa"/>
            <w:tcBorders>
              <w:top w:val="nil"/>
              <w:left w:val="single" w:sz="8" w:space="0" w:color="auto"/>
              <w:bottom w:val="single" w:sz="8" w:space="0" w:color="auto"/>
              <w:right w:val="nil"/>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Transfrontières</w:t>
            </w:r>
          </w:p>
        </w:tc>
        <w:tc>
          <w:tcPr>
            <w:tcW w:w="1167" w:type="dxa"/>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7 987</w:t>
            </w:r>
          </w:p>
        </w:tc>
        <w:tc>
          <w:tcPr>
            <w:tcW w:w="1114" w:type="dxa"/>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2,3 %</w:t>
            </w:r>
          </w:p>
        </w:tc>
        <w:tc>
          <w:tcPr>
            <w:tcW w:w="1079"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w:t>
            </w:r>
          </w:p>
        </w:tc>
        <w:tc>
          <w:tcPr>
            <w:tcW w:w="104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1012"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w:t>
            </w:r>
          </w:p>
        </w:tc>
        <w:tc>
          <w:tcPr>
            <w:tcW w:w="1167"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0,0 %</w:t>
            </w:r>
          </w:p>
        </w:tc>
        <w:tc>
          <w:tcPr>
            <w:tcW w:w="978" w:type="dxa"/>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r>
      <w:tr>
        <w:trPr>
          <w:trHeight w:val="227"/>
        </w:trPr>
        <w:tc>
          <w:tcPr>
            <w:tcW w:w="1560" w:type="dxa"/>
            <w:tcBorders>
              <w:top w:val="nil"/>
              <w:left w:val="single" w:sz="8" w:space="0" w:color="auto"/>
              <w:bottom w:val="single" w:sz="8" w:space="0" w:color="auto"/>
              <w:right w:val="nil"/>
            </w:tcBorders>
            <w:shd w:val="clear" w:color="auto" w:fill="auto"/>
            <w:noWrap/>
            <w:hideMark/>
          </w:tcPr>
          <w:p>
            <w:pPr>
              <w:autoSpaceDE w:val="0"/>
              <w:autoSpaceDN w:val="0"/>
              <w:adjustRightInd w:val="0"/>
              <w:spacing w:after="0" w:line="240" w:lineRule="auto"/>
              <w:rPr>
                <w:rFonts w:ascii="Verdana" w:hAnsi="Verdana" w:cs="Verdana"/>
                <w:b/>
                <w:bCs/>
                <w:noProof/>
                <w:color w:val="000000"/>
                <w:sz w:val="16"/>
                <w:szCs w:val="16"/>
              </w:rPr>
            </w:pPr>
            <w:r>
              <w:rPr>
                <w:rFonts w:ascii="Verdana" w:hAnsi="Verdana"/>
                <w:b/>
                <w:noProof/>
                <w:color w:val="000000"/>
                <w:sz w:val="16"/>
              </w:rPr>
              <w:t>Total</w:t>
            </w:r>
          </w:p>
        </w:tc>
        <w:tc>
          <w:tcPr>
            <w:tcW w:w="1167" w:type="dxa"/>
            <w:tcBorders>
              <w:top w:val="single" w:sz="8" w:space="0" w:color="auto"/>
              <w:left w:val="single" w:sz="8" w:space="0" w:color="auto"/>
              <w:bottom w:val="single" w:sz="8" w:space="0" w:color="auto"/>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347 268</w:t>
            </w:r>
          </w:p>
        </w:tc>
        <w:tc>
          <w:tcPr>
            <w:tcW w:w="1114" w:type="dxa"/>
            <w:tcBorders>
              <w:top w:val="single" w:sz="8" w:space="0" w:color="auto"/>
              <w:left w:val="nil"/>
              <w:bottom w:val="single" w:sz="8" w:space="0" w:color="auto"/>
              <w:right w:val="single" w:sz="8" w:space="0" w:color="auto"/>
            </w:tcBorders>
            <w:shd w:val="clear" w:color="auto" w:fill="auto"/>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100,0 %</w:t>
            </w:r>
          </w:p>
        </w:tc>
        <w:tc>
          <w:tcPr>
            <w:tcW w:w="1079" w:type="dxa"/>
            <w:tcBorders>
              <w:top w:val="single" w:sz="8" w:space="0" w:color="auto"/>
              <w:left w:val="nil"/>
              <w:bottom w:val="single" w:sz="8" w:space="0" w:color="auto"/>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4 719</w:t>
            </w:r>
          </w:p>
        </w:tc>
        <w:tc>
          <w:tcPr>
            <w:tcW w:w="1042" w:type="dxa"/>
            <w:tcBorders>
              <w:top w:val="single" w:sz="8" w:space="0" w:color="auto"/>
              <w:left w:val="nil"/>
              <w:bottom w:val="single" w:sz="8" w:space="0" w:color="auto"/>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8</w:t>
            </w:r>
          </w:p>
        </w:tc>
        <w:tc>
          <w:tcPr>
            <w:tcW w:w="1012" w:type="dxa"/>
            <w:tcBorders>
              <w:top w:val="single" w:sz="8" w:space="0" w:color="auto"/>
              <w:left w:val="nil"/>
              <w:bottom w:val="single" w:sz="8" w:space="0" w:color="auto"/>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4 719</w:t>
            </w:r>
          </w:p>
        </w:tc>
        <w:tc>
          <w:tcPr>
            <w:tcW w:w="1167" w:type="dxa"/>
            <w:tcBorders>
              <w:top w:val="single" w:sz="8" w:space="0" w:color="auto"/>
              <w:left w:val="nil"/>
              <w:bottom w:val="single" w:sz="8" w:space="0" w:color="auto"/>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1,4 %</w:t>
            </w:r>
          </w:p>
        </w:tc>
        <w:tc>
          <w:tcPr>
            <w:tcW w:w="978" w:type="dxa"/>
            <w:tcBorders>
              <w:top w:val="single" w:sz="8" w:space="0" w:color="auto"/>
              <w:left w:val="nil"/>
              <w:bottom w:val="single" w:sz="8" w:space="0" w:color="auto"/>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100,0 %</w:t>
            </w:r>
          </w:p>
        </w:tc>
      </w:tr>
    </w:tbl>
    <w:p>
      <w:pPr>
        <w:pStyle w:val="Text1"/>
        <w:ind w:left="0"/>
        <w:rPr>
          <w:rFonts w:ascii="Verdana" w:eastAsia="Calibri" w:hAnsi="Verdana"/>
          <w:i/>
          <w:noProof/>
          <w:sz w:val="14"/>
          <w:szCs w:val="16"/>
        </w:rPr>
      </w:pPr>
      <w:r>
        <w:rPr>
          <w:rFonts w:ascii="Verdana" w:hAnsi="Verdana"/>
          <w:i/>
          <w:noProof/>
          <w:sz w:val="14"/>
        </w:rPr>
        <w:t>Étant donné que les programmes 2007-2013 font intervenir plusieurs Fonds, aucune répartition entre FEDER et FC n’est effectuée dans le tableau ci-dessus.</w:t>
      </w:r>
    </w:p>
    <w:p>
      <w:pPr>
        <w:pStyle w:val="Text1"/>
        <w:ind w:left="0"/>
        <w:rPr>
          <w:rFonts w:ascii="Verdana" w:eastAsia="Calibri" w:hAnsi="Verdana"/>
          <w:i/>
          <w:noProof/>
          <w:sz w:val="14"/>
          <w:szCs w:val="16"/>
        </w:rPr>
      </w:pPr>
      <w:r>
        <w:rPr>
          <w:rFonts w:ascii="Verdana" w:hAnsi="Verdana"/>
          <w:i/>
          <w:noProof/>
          <w:sz w:val="14"/>
        </w:rPr>
        <w:t>* Ces chiffres correspondent au nombre de corrections financières en cours pour le FSE; les chiffres relatifs aux corrections financières en cours pour le FEDER/FC ne sont pas disponibles.</w:t>
      </w:r>
    </w:p>
    <w:p>
      <w:pPr>
        <w:spacing w:after="0" w:line="240" w:lineRule="auto"/>
        <w:rPr>
          <w:rFonts w:ascii="Verdana" w:hAnsi="Verdana"/>
          <w:b/>
          <w:i/>
          <w:noProof/>
          <w:sz w:val="18"/>
        </w:rPr>
      </w:pPr>
      <w:r>
        <w:rPr>
          <w:noProof/>
        </w:rPr>
        <w:br w:type="page"/>
      </w:r>
    </w:p>
    <w:p>
      <w:pPr>
        <w:spacing w:after="120" w:line="240" w:lineRule="auto"/>
        <w:jc w:val="both"/>
        <w:rPr>
          <w:rFonts w:ascii="Verdana" w:hAnsi="Verdana"/>
          <w:b/>
          <w:bCs/>
          <w:i/>
          <w:noProof/>
          <w:sz w:val="18"/>
        </w:rPr>
      </w:pPr>
      <w:r>
        <w:rPr>
          <w:rFonts w:ascii="Verdana" w:hAnsi="Verdana"/>
          <w:b/>
          <w:i/>
          <w:noProof/>
          <w:sz w:val="18"/>
        </w:rPr>
        <w:t>Graphique 5.4.2: Corrections financières cumulées des États membres confirmées et en cours au 31 décembre 2015 pour la période de programmation 2007-2013 du FEDER/FC et du FSE par rapport aux contributions reçues</w:t>
      </w:r>
    </w:p>
    <w:p>
      <w:pPr>
        <w:spacing w:after="0" w:line="240" w:lineRule="auto"/>
        <w:jc w:val="both"/>
        <w:rPr>
          <w:rFonts w:ascii="Verdana" w:hAnsi="Verdana"/>
          <w:noProof/>
          <w:sz w:val="18"/>
        </w:rPr>
      </w:pPr>
      <w:r>
        <w:rPr>
          <w:rFonts w:ascii="Verdana" w:hAnsi="Verdana"/>
          <w:noProof/>
          <w:sz w:val="18"/>
          <w:lang w:val="en-US" w:eastAsia="en-US" w:bidi="ar-SA"/>
        </w:rPr>
        <w:drawing>
          <wp:inline distT="0" distB="0" distL="0" distR="0">
            <wp:extent cx="5694045" cy="269494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94045" cy="2694940"/>
                    </a:xfrm>
                    <a:prstGeom prst="rect">
                      <a:avLst/>
                    </a:prstGeom>
                    <a:noFill/>
                  </pic:spPr>
                </pic:pic>
              </a:graphicData>
            </a:graphic>
          </wp:inline>
        </w:drawing>
      </w:r>
    </w:p>
    <w:p>
      <w:pPr>
        <w:spacing w:before="120" w:after="0" w:line="240" w:lineRule="auto"/>
        <w:jc w:val="both"/>
        <w:rPr>
          <w:rFonts w:ascii="Verdana" w:hAnsi="Verdana"/>
          <w:noProof/>
          <w:sz w:val="18"/>
        </w:rPr>
      </w:pPr>
      <w:r>
        <w:rPr>
          <w:rFonts w:ascii="Verdana" w:hAnsi="Verdana"/>
          <w:noProof/>
          <w:sz w:val="18"/>
        </w:rPr>
        <w:t xml:space="preserve">Pour les programmes du </w:t>
      </w:r>
      <w:r>
        <w:rPr>
          <w:rFonts w:ascii="Verdana" w:hAnsi="Verdana"/>
          <w:b/>
          <w:noProof/>
          <w:sz w:val="18"/>
        </w:rPr>
        <w:t>FEDER/FC</w:t>
      </w:r>
      <w:r>
        <w:rPr>
          <w:rFonts w:ascii="Verdana" w:hAnsi="Verdana"/>
          <w:noProof/>
          <w:sz w:val="18"/>
        </w:rPr>
        <w:t>, la Commission a imposé environ 3,5 milliards d’EUR de corrections financières cumulées depuis le début de la période de programmation 2007-2013 (dont 1,2 milliard d’EUR de corrections financières appliquées par les États membres préalablement ou parallèlement à la déclaration des dépenses à la Commission en conséquence des mesures correctrices demandées). Les principaux États membres concernés sont la République tchèque (748 millions d’EUR), la Roumanie (506 millions d’EUR), la Hongrie (405 millions d’EUR), la Slovaquie (388 millions d’EUR), la Grèce (289 millions d’EUR), l’Espagne (273 millions d’EUR) et l’Italie (266 millions d’EUR).</w:t>
      </w:r>
    </w:p>
    <w:p>
      <w:pPr>
        <w:pStyle w:val="Text1"/>
        <w:spacing w:before="120"/>
        <w:ind w:left="0"/>
        <w:rPr>
          <w:rFonts w:ascii="Verdana" w:eastAsia="Calibri" w:hAnsi="Verdana"/>
          <w:noProof/>
          <w:sz w:val="20"/>
          <w:szCs w:val="22"/>
        </w:rPr>
      </w:pPr>
      <w:r>
        <w:rPr>
          <w:rFonts w:ascii="Verdana" w:hAnsi="Verdana"/>
          <w:noProof/>
          <w:sz w:val="18"/>
        </w:rPr>
        <w:t>En ce qui concerne le </w:t>
      </w:r>
      <w:r>
        <w:rPr>
          <w:rFonts w:ascii="Verdana" w:hAnsi="Verdana"/>
          <w:b/>
          <w:noProof/>
          <w:sz w:val="18"/>
        </w:rPr>
        <w:t>FSE</w:t>
      </w:r>
      <w:r>
        <w:rPr>
          <w:rFonts w:ascii="Verdana" w:hAnsi="Verdana"/>
          <w:noProof/>
          <w:sz w:val="18"/>
        </w:rPr>
        <w:t>, les États membres présentant les montants cumulés les plus élevés de corrections financières confirmées sont la Roumanie (455 millions d’EUR), l’Espagne (215 millions d’EUR) et la Pologne (157 millions d’EUR). À ce stade de l'exécution, et alors que les programmes touchent quasiment à leur fin, le montant cumulé des corrections financières (dont les corrections en cours) s’élève à 1,2 milliard d’EUR, ce qui représente 1,6 % de la dotation du FSE.</w:t>
      </w:r>
    </w:p>
    <w:p>
      <w:pPr>
        <w:pStyle w:val="ManualHeading2"/>
        <w:rPr>
          <w:noProof/>
          <w:szCs w:val="22"/>
        </w:rPr>
      </w:pPr>
      <w:bookmarkStart w:id="129" w:name="_Toc456258175"/>
      <w:bookmarkStart w:id="130" w:name="_Toc461437500"/>
      <w:r>
        <w:t>5.5.</w:t>
      </w:r>
      <w:r>
        <w:tab/>
      </w:r>
      <w:r>
        <w:rPr>
          <w:noProof/>
        </w:rPr>
        <w:t>Corrections des États membres</w:t>
      </w:r>
      <w:bookmarkEnd w:id="129"/>
      <w:bookmarkEnd w:id="130"/>
    </w:p>
    <w:p>
      <w:pPr>
        <w:spacing w:after="120" w:line="240" w:lineRule="auto"/>
        <w:jc w:val="both"/>
        <w:rPr>
          <w:rFonts w:ascii="Verdana" w:hAnsi="Verdana"/>
          <w:noProof/>
          <w:sz w:val="18"/>
          <w:szCs w:val="20"/>
        </w:rPr>
      </w:pPr>
      <w:r>
        <w:rPr>
          <w:rFonts w:ascii="Verdana" w:hAnsi="Verdana"/>
          <w:noProof/>
          <w:sz w:val="18"/>
        </w:rPr>
        <w:t>En vertu de la réglementation applicable à la période de programmation 2007-2013, les États membres sont tenus de communiquer chaque année à la Commission les corrections</w:t>
      </w:r>
      <w:r>
        <w:rPr>
          <w:rStyle w:val="FootnoteReference"/>
          <w:rFonts w:ascii="Verdana" w:hAnsi="Verdana"/>
          <w:noProof/>
          <w:sz w:val="18"/>
        </w:rPr>
        <w:footnoteReference w:id="25"/>
      </w:r>
      <w:r>
        <w:rPr>
          <w:rFonts w:ascii="Verdana" w:hAnsi="Verdana"/>
          <w:noProof/>
          <w:sz w:val="18"/>
        </w:rPr>
        <w:t xml:space="preserve"> résultant de l’ensemble des contrôles effectués. La Commission procède à des audits fondés sur le risque et à des examens documentaires pour contrôler la fiabilité de ces chiffres dans le cadre de son processus d’assurance.</w:t>
      </w:r>
    </w:p>
    <w:p>
      <w:pPr>
        <w:spacing w:after="0" w:line="240" w:lineRule="auto"/>
        <w:jc w:val="both"/>
        <w:rPr>
          <w:rFonts w:ascii="Verdana" w:hAnsi="Verdana"/>
          <w:noProof/>
          <w:sz w:val="18"/>
          <w:szCs w:val="20"/>
        </w:rPr>
      </w:pPr>
      <w:r>
        <w:rPr>
          <w:rFonts w:ascii="Verdana" w:hAnsi="Verdana"/>
          <w:noProof/>
          <w:sz w:val="18"/>
        </w:rPr>
        <w:t>Voir l’</w:t>
      </w:r>
      <w:r>
        <w:rPr>
          <w:rFonts w:ascii="Verdana" w:hAnsi="Verdana"/>
          <w:b/>
          <w:noProof/>
          <w:sz w:val="18"/>
        </w:rPr>
        <w:t>annexe 7</w:t>
      </w:r>
      <w:r>
        <w:rPr>
          <w:rFonts w:ascii="Verdana" w:hAnsi="Verdana"/>
          <w:noProof/>
          <w:sz w:val="18"/>
        </w:rPr>
        <w:t xml:space="preserve"> pour le détail des chiffres. Il convient de souligner qu'en raison de certaines lacunes dans les chiffres des États membres, la Commission a suivi une approche prudente</w:t>
      </w:r>
      <w:r>
        <w:rPr>
          <w:rStyle w:val="FootnoteReference"/>
          <w:rFonts w:ascii="Verdana" w:hAnsi="Verdana"/>
          <w:noProof/>
          <w:sz w:val="18"/>
        </w:rPr>
        <w:footnoteReference w:id="26"/>
      </w:r>
      <w:r>
        <w:rPr>
          <w:rFonts w:ascii="Verdana" w:hAnsi="Verdana"/>
          <w:noProof/>
          <w:sz w:val="18"/>
        </w:rPr>
        <w:t xml:space="preserve"> afin de garantir que les montants ne sont pas surévalués – en conséquence, il se peut que certains d’entre eux soient en réalité plus élevés. Ce phénomène n’a toutefois pas d’incidence sur la fiabilité des propres chiffres de la Commission. Les montants concernés sont très élevés et, s’ils sont ajoutés aux résultats des travaux de la Commission, donnent une indication très claire de l’efficacité des contrôles mis en place des deux côtés.</w:t>
      </w:r>
    </w:p>
    <w:p>
      <w:pPr>
        <w:spacing w:after="0" w:line="240" w:lineRule="auto"/>
        <w:jc w:val="both"/>
        <w:rPr>
          <w:rFonts w:ascii="Verdana" w:hAnsi="Verdana"/>
          <w:noProof/>
          <w:sz w:val="20"/>
          <w:szCs w:val="20"/>
        </w:rPr>
      </w:pPr>
    </w:p>
    <w:p>
      <w:pPr>
        <w:pStyle w:val="ManualHeading1"/>
        <w:rPr>
          <w:caps/>
          <w:noProof/>
          <w:szCs w:val="22"/>
        </w:rPr>
      </w:pPr>
      <w:bookmarkStart w:id="131" w:name="_Toc456258176"/>
      <w:bookmarkStart w:id="132" w:name="_Toc461437501"/>
      <w:r>
        <w:t>6.</w:t>
      </w:r>
      <w:r>
        <w:tab/>
      </w:r>
      <w:r>
        <w:rPr>
          <w:noProof/>
        </w:rPr>
        <w:t>GESTION DIRECTE ET INDIRECTE</w:t>
      </w:r>
      <w:bookmarkEnd w:id="131"/>
      <w:bookmarkEnd w:id="132"/>
    </w:p>
    <w:p>
      <w:pPr>
        <w:spacing w:after="120" w:line="240" w:lineRule="auto"/>
        <w:jc w:val="both"/>
        <w:rPr>
          <w:rFonts w:ascii="Verdana" w:hAnsi="Verdana"/>
          <w:noProof/>
          <w:sz w:val="18"/>
          <w:szCs w:val="20"/>
        </w:rPr>
      </w:pPr>
      <w:r>
        <w:rPr>
          <w:rFonts w:ascii="Verdana" w:hAnsi="Verdana"/>
          <w:noProof/>
          <w:sz w:val="18"/>
        </w:rPr>
        <w:t>Pour les dépenses relevant de la gestion directe et indirecte, la Commission dispose de cadres de contrôle ciblant les irrégularités sous l'angle de la prévention, de la détection, de la correction et donc de la dissuasion, aux différents stades de la procédure de gestion des subventions afin d’atteindre les objectifs tant opérationnels que financiers. Ci-dessous figure un aperçu des contrôles réalisés dans deux domaines de dépenses clés relevant de la gestion directe et indirecte, à savoir la recherche et l’aide internationale.</w:t>
      </w:r>
    </w:p>
    <w:p>
      <w:pPr>
        <w:spacing w:after="120" w:line="240" w:lineRule="auto"/>
        <w:jc w:val="both"/>
        <w:rPr>
          <w:rFonts w:ascii="Verdana" w:hAnsi="Verdana"/>
          <w:noProof/>
          <w:sz w:val="18"/>
          <w:szCs w:val="20"/>
        </w:rPr>
      </w:pPr>
      <w:r>
        <w:rPr>
          <w:rFonts w:ascii="Verdana" w:hAnsi="Verdana"/>
          <w:noProof/>
          <w:sz w:val="18"/>
        </w:rPr>
        <w:t xml:space="preserve">Pour les </w:t>
      </w:r>
      <w:r>
        <w:rPr>
          <w:rFonts w:ascii="Verdana" w:hAnsi="Verdana"/>
          <w:b/>
          <w:noProof/>
          <w:sz w:val="18"/>
        </w:rPr>
        <w:t>dépenses en matière de recherche</w:t>
      </w:r>
      <w:r>
        <w:rPr>
          <w:rFonts w:ascii="Verdana" w:hAnsi="Verdana"/>
          <w:noProof/>
          <w:sz w:val="18"/>
        </w:rPr>
        <w:t>, le cadre de contrôle applicable aux modes de gestion tant directe</w:t>
      </w:r>
      <w:r>
        <w:rPr>
          <w:rStyle w:val="FootnoteReference"/>
          <w:rFonts w:ascii="Verdana" w:hAnsi="Verdana"/>
          <w:noProof/>
          <w:sz w:val="18"/>
        </w:rPr>
        <w:footnoteReference w:id="27"/>
      </w:r>
      <w:r>
        <w:rPr>
          <w:rFonts w:ascii="Verdana" w:hAnsi="Verdana"/>
          <w:noProof/>
          <w:sz w:val="18"/>
        </w:rPr>
        <w:t xml:space="preserve"> qu'indirecte</w:t>
      </w:r>
      <w:r>
        <w:rPr>
          <w:rStyle w:val="FootnoteReference"/>
          <w:rFonts w:ascii="Verdana" w:hAnsi="Verdana"/>
          <w:noProof/>
          <w:sz w:val="18"/>
        </w:rPr>
        <w:footnoteReference w:id="28"/>
      </w:r>
      <w:r>
        <w:rPr>
          <w:rFonts w:ascii="Verdana" w:hAnsi="Verdana"/>
          <w:noProof/>
          <w:sz w:val="18"/>
        </w:rPr>
        <w:t xml:space="preserve"> commence par l’élaboration d’un programme de travail, qui passe par un vaste processus de consultation afin de s’assurer qu’il satisfait au mieux aux attentes de toutes les parties prenantes et qu’il maximisera les résultats de la recherche. À l’issue de l’évaluation des propositions, de nouveaux contrôles sont effectués lorsque les propositions retenues sont converties en contrats juridiquement contraignants. La mise en œuvre du projet fait l’objet d’un suivi sur toute la durée de vie de celui-ci. Tous les paiements correspondant aux déclarations de coûts donnent lieu à des vérifications ex ante conformément aux procédures habituelles, qui prévoient un certificat d’audit délivré par un auditeur qualifié. Mis à part ces contrôles habituels, des contrôles supplémentaires ciblés peuvent être menés en fonction des informations obtenues et du risque que comporte l’opération.</w:t>
      </w:r>
    </w:p>
    <w:p>
      <w:pPr>
        <w:spacing w:after="120" w:line="240" w:lineRule="auto"/>
        <w:jc w:val="both"/>
        <w:rPr>
          <w:rFonts w:ascii="Verdana" w:hAnsi="Verdana"/>
          <w:noProof/>
          <w:sz w:val="18"/>
          <w:szCs w:val="20"/>
        </w:rPr>
      </w:pPr>
      <w:r>
        <w:rPr>
          <w:rFonts w:ascii="Verdana" w:hAnsi="Verdana"/>
          <w:noProof/>
          <w:sz w:val="18"/>
        </w:rPr>
        <w:t>Une des principales sources de l’assurance est constituée par des contrôles ex post approfondis effectués par sondage sur un échantillon de déclarations dans les installations des bénéficiaires, après que les coûts ont été exposés et déclarés. Un grand nombre de ces contrôles approfondis sont menés durant l’ensemble du cycle de vie du programme. Tout montant payé dépassant le montant dû est récupéré et les erreurs systémiques sont étendues à toutes les participations en cours d’un bénéficiaire.</w:t>
      </w:r>
    </w:p>
    <w:p>
      <w:pPr>
        <w:spacing w:after="120" w:line="240" w:lineRule="auto"/>
        <w:jc w:val="both"/>
        <w:rPr>
          <w:rFonts w:ascii="Verdana" w:hAnsi="Verdana"/>
          <w:noProof/>
          <w:sz w:val="18"/>
          <w:szCs w:val="20"/>
        </w:rPr>
      </w:pPr>
      <w:r>
        <w:rPr>
          <w:rFonts w:ascii="Verdana" w:hAnsi="Verdana"/>
          <w:noProof/>
          <w:sz w:val="18"/>
        </w:rPr>
        <w:t xml:space="preserve">Dans le domaine de la </w:t>
      </w:r>
      <w:r>
        <w:rPr>
          <w:rFonts w:ascii="Verdana" w:hAnsi="Verdana"/>
          <w:b/>
          <w:noProof/>
          <w:sz w:val="18"/>
        </w:rPr>
        <w:t>coopération internationale et du développement</w:t>
      </w:r>
      <w:r>
        <w:rPr>
          <w:rFonts w:ascii="Verdana" w:hAnsi="Verdana"/>
          <w:noProof/>
          <w:sz w:val="18"/>
        </w:rPr>
        <w:t>, la Commission a mis en place un cadre de contrôle ciblant les irrégularités, sous l'angle de la prévention, de la détection, de la correction et donc de la dissuasion aux différents stades de l'exécution du financement, applicable aux deux modes de gestion (direct et indirect</w:t>
      </w:r>
      <w:r>
        <w:rPr>
          <w:rStyle w:val="FootnoteReference"/>
          <w:rFonts w:ascii="Verdana" w:hAnsi="Verdana"/>
          <w:noProof/>
          <w:sz w:val="18"/>
        </w:rPr>
        <w:footnoteReference w:id="29"/>
      </w:r>
      <w:r>
        <w:rPr>
          <w:rFonts w:ascii="Verdana" w:hAnsi="Verdana"/>
          <w:noProof/>
          <w:sz w:val="18"/>
        </w:rPr>
        <w:t>) utilisés pour cette exécution. Cette stratégie commence par le choix de l’outil le plus approprié lors de l’élaboration des documents de planification et des décisions financières et se traduit par des contrôles effectifs menés à chaque phase de la mise en œuvre. Du point de vue du contrôle financier, le système est composé de plusieurs instruments, systématiquement appliqués à l’exécution de marchés et de subventions pour tous les modes de gestion: contrôles ex ante des paiements, audits de la Commission prévus dans un plan d’audit, vérification des dépenses menée avant les paiements effectués par les bénéficiaires de subventions, missions de vérification auprès d’organisations internationales et contrôle ex post global sur la base de l’étude du taux d’erreur résiduel réalisée chaque année.</w:t>
      </w:r>
    </w:p>
    <w:p>
      <w:pPr>
        <w:spacing w:after="120" w:line="240" w:lineRule="auto"/>
        <w:jc w:val="both"/>
        <w:rPr>
          <w:rFonts w:ascii="Verdana" w:hAnsi="Verdana"/>
          <w:noProof/>
          <w:sz w:val="18"/>
          <w:szCs w:val="20"/>
        </w:rPr>
      </w:pPr>
      <w:r>
        <w:rPr>
          <w:rFonts w:ascii="Verdana" w:hAnsi="Verdana"/>
          <w:noProof/>
          <w:sz w:val="18"/>
        </w:rPr>
        <w:t>Ainsi, à tous les autres moyens possibles proposés par le règlement financier pour protéger les intérêts financiers de l’UE, s'ajoutent le contrôle ex ante effectué par la Commission sur les opérations individuelles ainsi que les contrôles ou audits ultérieurs, ainsi que la récupération qui en résulte de tous les fonds versés indûment en cas de non-respect des procédures convenues ou d'inéligibilité des activités à un financement de l’UE.</w:t>
      </w:r>
    </w:p>
    <w:p>
      <w:pPr>
        <w:spacing w:after="120" w:line="240" w:lineRule="auto"/>
        <w:jc w:val="both"/>
        <w:rPr>
          <w:rFonts w:ascii="Verdana" w:hAnsi="Verdana"/>
          <w:noProof/>
          <w:sz w:val="18"/>
          <w:szCs w:val="18"/>
        </w:rPr>
      </w:pPr>
      <w:r>
        <w:rPr>
          <w:rFonts w:ascii="Verdana" w:hAnsi="Verdana"/>
          <w:noProof/>
          <w:sz w:val="18"/>
        </w:rPr>
        <w:t>Enfin, la dernière révision partielle du règlement financier</w:t>
      </w:r>
      <w:r>
        <w:rPr>
          <w:rStyle w:val="FootnoteReference"/>
          <w:rFonts w:ascii="Verdana" w:hAnsi="Verdana"/>
          <w:noProof/>
          <w:sz w:val="18"/>
        </w:rPr>
        <w:footnoteReference w:id="30"/>
      </w:r>
      <w:r>
        <w:rPr>
          <w:rFonts w:ascii="Verdana" w:hAnsi="Verdana"/>
          <w:noProof/>
          <w:sz w:val="18"/>
        </w:rPr>
        <w:t xml:space="preserve"> a donné lieu à un nouveau système de détection rapide et d’exclusion (EDES) permettant la détection et la communication d’informations de diffusion restreinte concernant les opérateurs économiques qui constituent une menace pour les intérêts financiers de l’Union. Ces informations sont centralisées dans une nouvelle base de données depuis 2016.</w:t>
      </w:r>
    </w:p>
    <w:p>
      <w:pPr>
        <w:spacing w:after="120" w:line="240" w:lineRule="auto"/>
        <w:jc w:val="both"/>
        <w:rPr>
          <w:rFonts w:ascii="Verdana" w:hAnsi="Verdana"/>
          <w:noProof/>
          <w:sz w:val="18"/>
          <w:szCs w:val="20"/>
        </w:rPr>
      </w:pPr>
    </w:p>
    <w:p>
      <w:pPr>
        <w:pStyle w:val="ManualHeading1"/>
        <w:rPr>
          <w:noProof/>
        </w:rPr>
      </w:pPr>
      <w:bookmarkStart w:id="133" w:name="_Toc456258177"/>
      <w:bookmarkStart w:id="134" w:name="_Toc461437502"/>
      <w:r>
        <w:tab/>
      </w:r>
      <w:r>
        <w:rPr>
          <w:noProof/>
        </w:rPr>
        <w:t>ANNEXES: DÉTAIL DES CHIFFRES</w:t>
      </w:r>
      <w:bookmarkEnd w:id="133"/>
      <w:bookmarkEnd w:id="134"/>
    </w:p>
    <w:p>
      <w:pPr>
        <w:pStyle w:val="ManualHeading2"/>
        <w:rPr>
          <w:i/>
          <w:noProof/>
          <w:szCs w:val="22"/>
        </w:rPr>
      </w:pPr>
      <w:bookmarkStart w:id="135" w:name="_Toc456258178"/>
      <w:bookmarkStart w:id="136" w:name="_Toc461437503"/>
      <w:r>
        <w:t>1.</w:t>
      </w:r>
      <w:r>
        <w:tab/>
      </w:r>
      <w:r>
        <w:rPr>
          <w:noProof/>
        </w:rPr>
        <w:t>Corrections financières en 2015 par rapport aux paiements de l’UE reçus;</w:t>
      </w:r>
      <w:r>
        <w:rPr>
          <w:noProof/>
          <w:sz w:val="20"/>
        </w:rPr>
        <w:t xml:space="preserve"> ventilation par État membre</w:t>
      </w:r>
      <w:bookmarkEnd w:id="135"/>
      <w:bookmarkEnd w:id="136"/>
    </w:p>
    <w:p>
      <w:pPr>
        <w:pStyle w:val="NormalLeft"/>
        <w:jc w:val="both"/>
        <w:rPr>
          <w:rFonts w:ascii="Verdana" w:hAnsi="Verdana"/>
          <w:i/>
          <w:noProof/>
          <w:sz w:val="20"/>
        </w:rPr>
      </w:pPr>
    </w:p>
    <w:tbl>
      <w:tblPr>
        <w:tblpPr w:leftFromText="180" w:rightFromText="180" w:vertAnchor="text" w:horzAnchor="page" w:tblpX="1655" w:tblpY="83"/>
        <w:tblW w:w="8003" w:type="dxa"/>
        <w:tblLayout w:type="fixed"/>
        <w:tblLook w:val="04A0" w:firstRow="1" w:lastRow="0" w:firstColumn="1" w:lastColumn="0" w:noHBand="0" w:noVBand="1"/>
      </w:tblPr>
      <w:tblGrid>
        <w:gridCol w:w="1809"/>
        <w:gridCol w:w="1228"/>
        <w:gridCol w:w="1324"/>
        <w:gridCol w:w="1214"/>
        <w:gridCol w:w="1214"/>
        <w:gridCol w:w="1214"/>
      </w:tblGrid>
      <w:tr>
        <w:trPr>
          <w:trHeight w:val="1494"/>
        </w:trPr>
        <w:tc>
          <w:tcPr>
            <w:tcW w:w="1809" w:type="dxa"/>
            <w:tcBorders>
              <w:top w:val="single" w:sz="12" w:space="0" w:color="auto"/>
              <w:left w:val="single" w:sz="12" w:space="0" w:color="auto"/>
              <w:bottom w:val="single" w:sz="4" w:space="0" w:color="auto"/>
              <w:right w:val="single" w:sz="12" w:space="0" w:color="auto"/>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État membre</w:t>
            </w:r>
          </w:p>
        </w:tc>
        <w:tc>
          <w:tcPr>
            <w:tcW w:w="1228" w:type="dxa"/>
            <w:tcBorders>
              <w:top w:val="single" w:sz="12" w:space="0" w:color="auto"/>
              <w:left w:val="single" w:sz="12" w:space="0" w:color="auto"/>
              <w:bottom w:val="single" w:sz="4" w:space="0" w:color="auto"/>
              <w:right w:val="double" w:sz="12" w:space="0" w:color="auto"/>
            </w:tcBorders>
            <w:shd w:val="clear" w:color="000000" w:fill="99CCFF"/>
            <w:vAlign w:val="center"/>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Paiements provenant du budget de l’UE en 2015</w:t>
            </w:r>
            <w:r>
              <w:rPr>
                <w:rFonts w:ascii="Verdana" w:eastAsia="Times New Roman" w:hAnsi="Verdana"/>
                <w:b/>
                <w:bCs/>
                <w:noProof/>
                <w:color w:val="000000"/>
                <w:sz w:val="12"/>
                <w:szCs w:val="12"/>
              </w:rPr>
              <w:br/>
            </w:r>
            <w:r>
              <w:rPr>
                <w:rFonts w:ascii="Verdana" w:hAnsi="Verdana"/>
                <w:b/>
                <w:noProof/>
                <w:color w:val="000000"/>
                <w:sz w:val="12"/>
              </w:rPr>
              <w:t>(en Mio EUR)</w:t>
            </w:r>
          </w:p>
        </w:tc>
        <w:tc>
          <w:tcPr>
            <w:tcW w:w="1324" w:type="dxa"/>
            <w:tcBorders>
              <w:top w:val="single" w:sz="12" w:space="0" w:color="auto"/>
              <w:left w:val="double" w:sz="12" w:space="0" w:color="auto"/>
              <w:bottom w:val="single" w:sz="4" w:space="0" w:color="auto"/>
              <w:right w:val="single" w:sz="4" w:space="0" w:color="auto"/>
            </w:tcBorders>
            <w:shd w:val="clear" w:color="000000" w:fill="99CCFF"/>
            <w:vAlign w:val="center"/>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Corrections financières confirmées en 2015 (en Mio EUR)</w:t>
            </w:r>
          </w:p>
        </w:tc>
        <w:tc>
          <w:tcPr>
            <w:tcW w:w="1214" w:type="dxa"/>
            <w:tcBorders>
              <w:top w:val="single" w:sz="12" w:space="0" w:color="auto"/>
              <w:left w:val="single" w:sz="4" w:space="0" w:color="auto"/>
              <w:bottom w:val="single" w:sz="4" w:space="0" w:color="auto"/>
              <w:right w:val="double" w:sz="12" w:space="0" w:color="auto"/>
            </w:tcBorders>
            <w:shd w:val="clear" w:color="000000" w:fill="99CCFF"/>
            <w:vAlign w:val="center"/>
            <w:hideMark/>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Corrections financières confirmées en 2015 par rapport aux paiements provenant du budget de l’UE en 2014 (en %)</w:t>
            </w:r>
          </w:p>
        </w:tc>
        <w:tc>
          <w:tcPr>
            <w:tcW w:w="1214" w:type="dxa"/>
            <w:tcBorders>
              <w:top w:val="single" w:sz="12" w:space="0" w:color="auto"/>
              <w:left w:val="double" w:sz="12" w:space="0" w:color="auto"/>
              <w:bottom w:val="single" w:sz="4" w:space="0" w:color="auto"/>
              <w:right w:val="single" w:sz="8" w:space="0" w:color="auto"/>
            </w:tcBorders>
            <w:shd w:val="clear" w:color="000000" w:fill="99CCFF"/>
            <w:vAlign w:val="center"/>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Corrections financières exécutées en 2015 (en Mio EUR)</w:t>
            </w:r>
          </w:p>
        </w:tc>
        <w:tc>
          <w:tcPr>
            <w:tcW w:w="1214" w:type="dxa"/>
            <w:tcBorders>
              <w:top w:val="single" w:sz="12" w:space="0" w:color="auto"/>
              <w:left w:val="single" w:sz="4" w:space="0" w:color="auto"/>
              <w:bottom w:val="single" w:sz="4" w:space="0" w:color="auto"/>
              <w:right w:val="single" w:sz="12" w:space="0" w:color="auto"/>
            </w:tcBorders>
            <w:shd w:val="clear" w:color="000000" w:fill="99CCFF"/>
            <w:vAlign w:val="center"/>
          </w:tcPr>
          <w:p>
            <w:pPr>
              <w:spacing w:after="0" w:line="240" w:lineRule="auto"/>
              <w:jc w:val="center"/>
              <w:rPr>
                <w:rFonts w:ascii="Verdana" w:eastAsia="Times New Roman" w:hAnsi="Verdana"/>
                <w:b/>
                <w:bCs/>
                <w:noProof/>
                <w:color w:val="000000"/>
                <w:sz w:val="12"/>
                <w:szCs w:val="12"/>
              </w:rPr>
            </w:pPr>
            <w:r>
              <w:rPr>
                <w:rFonts w:ascii="Verdana" w:hAnsi="Verdana"/>
                <w:b/>
                <w:noProof/>
                <w:color w:val="000000"/>
                <w:sz w:val="12"/>
              </w:rPr>
              <w:t>Corrections financières exécutées en 2015 par rapport aux paiements provenant du budget de l’UE en 2015 (en %)</w:t>
            </w:r>
          </w:p>
        </w:tc>
      </w:tr>
      <w:tr>
        <w:trPr>
          <w:trHeight w:hRule="exact" w:val="227"/>
        </w:trPr>
        <w:tc>
          <w:tcPr>
            <w:tcW w:w="1809" w:type="dxa"/>
            <w:tcBorders>
              <w:top w:val="single" w:sz="4" w:space="0" w:color="auto"/>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Belgique</w:t>
            </w:r>
          </w:p>
        </w:tc>
        <w:tc>
          <w:tcPr>
            <w:tcW w:w="1228" w:type="dxa"/>
            <w:tcBorders>
              <w:top w:val="single" w:sz="4" w:space="0" w:color="auto"/>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1 045</w:t>
            </w:r>
          </w:p>
        </w:tc>
        <w:tc>
          <w:tcPr>
            <w:tcW w:w="1324" w:type="dxa"/>
            <w:tcBorders>
              <w:top w:val="single" w:sz="4" w:space="0" w:color="auto"/>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w:t>
            </w:r>
          </w:p>
        </w:tc>
        <w:tc>
          <w:tcPr>
            <w:tcW w:w="1214" w:type="dxa"/>
            <w:tcBorders>
              <w:top w:val="single" w:sz="4" w:space="0" w:color="auto"/>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c>
          <w:tcPr>
            <w:tcW w:w="1214" w:type="dxa"/>
            <w:tcBorders>
              <w:top w:val="single" w:sz="4" w:space="0" w:color="auto"/>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11</w:t>
            </w:r>
          </w:p>
        </w:tc>
        <w:tc>
          <w:tcPr>
            <w:tcW w:w="1214" w:type="dxa"/>
            <w:tcBorders>
              <w:top w:val="single" w:sz="4" w:space="0" w:color="auto"/>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1,1 %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Bulgarie</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2 524</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67</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2,7 %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143</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5,7 %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République tchèque</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6 921</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111</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1,6 %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254</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3,7 %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Danemark</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1 139</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0,3 %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0,2 %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Allemagne</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8 796</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60</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0,7 %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(57)</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(0,6 %)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Estonie</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346</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0,6 %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0,3 %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Irlande</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1 724</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(0,2 %)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19</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1,1 %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Grèce</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5 672</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562</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9,9 %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403</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7,1 %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Espagne</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11 975</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(181)</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(1,5 %)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(157)</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(1,3 %)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France</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11 625</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318</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2,7 %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661</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5,7 %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Croatie</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468</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0,0 %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0,0 %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Italie</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10 578</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378</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3,6 %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373</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3,5 %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Chypre</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149</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0,1 %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0,1 %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Lettonie</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900</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28</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3,1 %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28</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3,1 %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Lituanie</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739</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8</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1,1 %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10</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1,3 %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Luxembourg</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70</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1,1 %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1,3 %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Hongrie</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5 459</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108</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2,0 %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255</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4,7 %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Malte</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95</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0,2 %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0,6 %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Pays-Bas</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1 129</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58</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5,1 %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(23)</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(2,0 %)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Autriche</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1 411</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(21)</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(1,5 %)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10</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0,7 %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Pologne</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12 957</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176</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1,4 %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119</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0,9 %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Portugal</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2 197</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148</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6,7 %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85</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3,9 %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Roumanie</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6 263</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502</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8,0 %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595</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9,5 %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Slovénie</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816</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18</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2,2 %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20</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2,5 %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Slovaquie</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3 632</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264</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7,3 %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133</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3,7 %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Finlande</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1 065</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0,4 %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0,4 %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Suède</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1 045</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14</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1,4 %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14</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1,4 %</w:t>
            </w:r>
          </w:p>
        </w:tc>
      </w:tr>
      <w:tr>
        <w:trPr>
          <w:trHeight w:hRule="exact" w:val="227"/>
        </w:trPr>
        <w:tc>
          <w:tcPr>
            <w:tcW w:w="1809" w:type="dxa"/>
            <w:tcBorders>
              <w:left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Royaume-Uni</w:t>
            </w:r>
          </w:p>
        </w:tc>
        <w:tc>
          <w:tcPr>
            <w:tcW w:w="1228" w:type="dxa"/>
            <w:tcBorders>
              <w:left w:val="single" w:sz="12"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5 526</w:t>
            </w:r>
          </w:p>
        </w:tc>
        <w:tc>
          <w:tcPr>
            <w:tcW w:w="132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102</w:t>
            </w:r>
          </w:p>
        </w:tc>
        <w:tc>
          <w:tcPr>
            <w:tcW w:w="1214" w:type="dxa"/>
            <w:tcBorders>
              <w:left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1,8 %</w:t>
            </w:r>
          </w:p>
        </w:tc>
        <w:tc>
          <w:tcPr>
            <w:tcW w:w="1214" w:type="dxa"/>
            <w:tcBorders>
              <w:left w:val="double" w:sz="12"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195</w:t>
            </w:r>
          </w:p>
        </w:tc>
        <w:tc>
          <w:tcPr>
            <w:tcW w:w="1214" w:type="dxa"/>
            <w:tcBorders>
              <w:left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3,5 %</w:t>
            </w:r>
          </w:p>
        </w:tc>
      </w:tr>
      <w:tr>
        <w:trPr>
          <w:trHeight w:hRule="exact" w:val="227"/>
        </w:trPr>
        <w:tc>
          <w:tcPr>
            <w:tcW w:w="1809" w:type="dxa"/>
            <w:tcBorders>
              <w:left w:val="single" w:sz="12" w:space="0" w:color="auto"/>
              <w:bottom w:val="single" w:sz="4"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INTERREG</w:t>
            </w:r>
          </w:p>
        </w:tc>
        <w:tc>
          <w:tcPr>
            <w:tcW w:w="1228" w:type="dxa"/>
            <w:tcBorders>
              <w:left w:val="single" w:sz="12" w:space="0" w:color="auto"/>
              <w:bottom w:val="single" w:sz="4" w:space="0" w:color="auto"/>
              <w:right w:val="double" w:sz="12"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1 887</w:t>
            </w:r>
          </w:p>
        </w:tc>
        <w:tc>
          <w:tcPr>
            <w:tcW w:w="1324" w:type="dxa"/>
            <w:tcBorders>
              <w:left w:val="double" w:sz="12" w:space="0" w:color="auto"/>
              <w:bottom w:val="single" w:sz="4"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w:t>
            </w:r>
          </w:p>
        </w:tc>
        <w:tc>
          <w:tcPr>
            <w:tcW w:w="1214" w:type="dxa"/>
            <w:tcBorders>
              <w:left w:val="single" w:sz="4" w:space="0" w:color="auto"/>
              <w:bottom w:val="single" w:sz="4" w:space="0" w:color="auto"/>
              <w:right w:val="double" w:sz="12" w:space="0" w:color="auto"/>
            </w:tcBorders>
            <w:shd w:val="clear" w:color="auto" w:fill="auto"/>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0,1 %</w:t>
            </w:r>
          </w:p>
        </w:tc>
        <w:tc>
          <w:tcPr>
            <w:tcW w:w="1214" w:type="dxa"/>
            <w:tcBorders>
              <w:left w:val="double" w:sz="12" w:space="0" w:color="auto"/>
              <w:bottom w:val="single" w:sz="4" w:space="0" w:color="auto"/>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w:t>
            </w:r>
          </w:p>
        </w:tc>
        <w:tc>
          <w:tcPr>
            <w:tcW w:w="1214" w:type="dxa"/>
            <w:tcBorders>
              <w:left w:val="single" w:sz="4" w:space="0" w:color="auto"/>
              <w:bottom w:val="single" w:sz="4" w:space="0" w:color="auto"/>
              <w:right w:val="single" w:sz="12" w:space="0" w:color="auto"/>
            </w:tcBorders>
          </w:tcPr>
          <w:p>
            <w:pPr>
              <w:autoSpaceDE w:val="0"/>
              <w:autoSpaceDN w:val="0"/>
              <w:adjustRightInd w:val="0"/>
              <w:spacing w:after="0" w:line="240" w:lineRule="auto"/>
              <w:jc w:val="right"/>
              <w:rPr>
                <w:rFonts w:ascii="Verdana" w:hAnsi="Verdana" w:cs="Verdana"/>
                <w:i/>
                <w:iCs/>
                <w:noProof/>
                <w:sz w:val="16"/>
                <w:szCs w:val="16"/>
              </w:rPr>
            </w:pPr>
            <w:r>
              <w:rPr>
                <w:rFonts w:ascii="Verdana" w:hAnsi="Verdana"/>
                <w:i/>
                <w:noProof/>
                <w:sz w:val="16"/>
              </w:rPr>
              <w:t>0,1 %</w:t>
            </w:r>
          </w:p>
        </w:tc>
      </w:tr>
      <w:tr>
        <w:trPr>
          <w:trHeight w:hRule="exact" w:val="305"/>
        </w:trPr>
        <w:tc>
          <w:tcPr>
            <w:tcW w:w="1809" w:type="dxa"/>
            <w:tcBorders>
              <w:top w:val="single" w:sz="4" w:space="0" w:color="auto"/>
              <w:left w:val="single" w:sz="12" w:space="0" w:color="auto"/>
              <w:bottom w:val="single" w:sz="12" w:space="0" w:color="auto"/>
              <w:right w:val="single" w:sz="12" w:space="0" w:color="auto"/>
            </w:tcBorders>
            <w:shd w:val="clear" w:color="auto" w:fill="auto"/>
            <w:hideMark/>
          </w:tcPr>
          <w:p>
            <w:pPr>
              <w:autoSpaceDE w:val="0"/>
              <w:autoSpaceDN w:val="0"/>
              <w:adjustRightInd w:val="0"/>
              <w:spacing w:after="0" w:line="240" w:lineRule="auto"/>
              <w:rPr>
                <w:rFonts w:ascii="Verdana" w:hAnsi="Verdana" w:cs="Verdana"/>
                <w:b/>
                <w:bCs/>
                <w:noProof/>
                <w:color w:val="000000"/>
                <w:sz w:val="16"/>
                <w:szCs w:val="16"/>
              </w:rPr>
            </w:pPr>
            <w:r>
              <w:rPr>
                <w:rFonts w:ascii="Verdana" w:hAnsi="Verdana"/>
                <w:b/>
                <w:noProof/>
                <w:color w:val="000000"/>
                <w:sz w:val="16"/>
              </w:rPr>
              <w:t>TOTAL</w:t>
            </w:r>
          </w:p>
        </w:tc>
        <w:tc>
          <w:tcPr>
            <w:tcW w:w="1228" w:type="dxa"/>
            <w:tcBorders>
              <w:top w:val="single" w:sz="4" w:space="0" w:color="auto"/>
              <w:left w:val="single" w:sz="12" w:space="0" w:color="auto"/>
              <w:bottom w:val="single" w:sz="12" w:space="0" w:color="auto"/>
              <w:right w:val="double" w:sz="12" w:space="0" w:color="auto"/>
            </w:tcBorders>
            <w:vAlign w:val="center"/>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108 153</w:t>
            </w:r>
          </w:p>
        </w:tc>
        <w:tc>
          <w:tcPr>
            <w:tcW w:w="1324" w:type="dxa"/>
            <w:tcBorders>
              <w:top w:val="single" w:sz="4" w:space="0" w:color="auto"/>
              <w:left w:val="double" w:sz="12" w:space="0" w:color="auto"/>
              <w:bottom w:val="single" w:sz="12" w:space="0" w:color="auto"/>
              <w:right w:val="single" w:sz="4" w:space="0" w:color="auto"/>
            </w:tcBorders>
            <w:vAlign w:val="center"/>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2 732</w:t>
            </w:r>
          </w:p>
        </w:tc>
        <w:tc>
          <w:tcPr>
            <w:tcW w:w="1214" w:type="dxa"/>
            <w:tcBorders>
              <w:top w:val="single" w:sz="4" w:space="0" w:color="auto"/>
              <w:left w:val="single" w:sz="4" w:space="0" w:color="auto"/>
              <w:bottom w:val="single" w:sz="12" w:space="0" w:color="auto"/>
              <w:right w:val="double" w:sz="12" w:space="0" w:color="auto"/>
            </w:tcBorders>
            <w:shd w:val="clear" w:color="auto" w:fill="auto"/>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2,5 %</w:t>
            </w:r>
          </w:p>
        </w:tc>
        <w:tc>
          <w:tcPr>
            <w:tcW w:w="1214" w:type="dxa"/>
            <w:tcBorders>
              <w:top w:val="single" w:sz="4" w:space="0" w:color="auto"/>
              <w:left w:val="double" w:sz="12" w:space="0" w:color="auto"/>
              <w:bottom w:val="single" w:sz="12" w:space="0" w:color="auto"/>
              <w:right w:val="single" w:sz="4" w:space="0" w:color="auto"/>
            </w:tcBorders>
            <w:vAlign w:val="center"/>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3 104</w:t>
            </w:r>
          </w:p>
        </w:tc>
        <w:tc>
          <w:tcPr>
            <w:tcW w:w="1214" w:type="dxa"/>
            <w:tcBorders>
              <w:top w:val="single" w:sz="4" w:space="0" w:color="auto"/>
              <w:left w:val="single" w:sz="4" w:space="0" w:color="auto"/>
              <w:bottom w:val="single" w:sz="12" w:space="0" w:color="auto"/>
              <w:right w:val="single" w:sz="12" w:space="0" w:color="auto"/>
            </w:tcBorders>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2,9 %</w:t>
            </w:r>
          </w:p>
        </w:tc>
      </w:tr>
    </w:tbl>
    <w:p>
      <w:pPr>
        <w:pStyle w:val="NormalLeft"/>
        <w:jc w:val="both"/>
        <w:rPr>
          <w:rFonts w:ascii="Verdana" w:hAnsi="Verdana"/>
          <w:b/>
          <w:i/>
          <w:noProof/>
          <w:sz w:val="20"/>
        </w:rPr>
      </w:pPr>
    </w:p>
    <w:p>
      <w:pPr>
        <w:pStyle w:val="NormalLeft"/>
        <w:jc w:val="both"/>
        <w:rPr>
          <w:rFonts w:ascii="Verdana" w:hAnsi="Verdana"/>
          <w:b/>
          <w:i/>
          <w:noProof/>
          <w:sz w:val="20"/>
        </w:rPr>
      </w:pPr>
    </w:p>
    <w:p>
      <w:pPr>
        <w:pStyle w:val="NormalLeft"/>
        <w:jc w:val="both"/>
        <w:rPr>
          <w:rFonts w:ascii="Verdana" w:hAnsi="Verdana"/>
          <w:b/>
          <w:i/>
          <w:noProof/>
          <w:sz w:val="20"/>
        </w:rPr>
      </w:pPr>
    </w:p>
    <w:p>
      <w:pPr>
        <w:pStyle w:val="NormalLeft"/>
        <w:jc w:val="both"/>
        <w:rPr>
          <w:rFonts w:ascii="Verdana" w:hAnsi="Verdana"/>
          <w:b/>
          <w:i/>
          <w:noProof/>
          <w:sz w:val="20"/>
        </w:rPr>
      </w:pPr>
    </w:p>
    <w:p>
      <w:pPr>
        <w:pStyle w:val="NormalLeft"/>
        <w:jc w:val="both"/>
        <w:rPr>
          <w:rFonts w:ascii="Verdana" w:hAnsi="Verdana"/>
          <w:b/>
          <w:i/>
          <w:noProof/>
          <w:sz w:val="20"/>
        </w:rPr>
      </w:pPr>
    </w:p>
    <w:p>
      <w:pPr>
        <w:pStyle w:val="NormalLeft"/>
        <w:jc w:val="both"/>
        <w:rPr>
          <w:rFonts w:ascii="Verdana" w:hAnsi="Verdana"/>
          <w:noProof/>
          <w:highlight w:val="yellow"/>
        </w:rPr>
      </w:pPr>
    </w:p>
    <w:p>
      <w:pPr>
        <w:pStyle w:val="NormalLeft"/>
        <w:jc w:val="both"/>
        <w:rPr>
          <w:rFonts w:ascii="Verdana" w:hAnsi="Verdana"/>
          <w:noProof/>
          <w:highlight w:val="yellow"/>
        </w:rPr>
      </w:pPr>
    </w:p>
    <w:p>
      <w:pPr>
        <w:pStyle w:val="NormalLeft"/>
        <w:jc w:val="both"/>
        <w:rPr>
          <w:rFonts w:ascii="Verdana" w:hAnsi="Verdana"/>
          <w:noProof/>
          <w:highlight w:val="yellow"/>
        </w:rPr>
      </w:pPr>
    </w:p>
    <w:p>
      <w:pPr>
        <w:pStyle w:val="NormalLeft"/>
        <w:jc w:val="both"/>
        <w:rPr>
          <w:rFonts w:ascii="Verdana" w:hAnsi="Verdana"/>
          <w:noProof/>
          <w:highlight w:val="yellow"/>
        </w:rPr>
      </w:pPr>
    </w:p>
    <w:p>
      <w:pPr>
        <w:pStyle w:val="NormalLeft"/>
        <w:jc w:val="both"/>
        <w:rPr>
          <w:rFonts w:ascii="Verdana" w:hAnsi="Verdana"/>
          <w:noProof/>
          <w:highlight w:val="yellow"/>
        </w:rPr>
      </w:pPr>
    </w:p>
    <w:p>
      <w:pPr>
        <w:pStyle w:val="NormalLeft"/>
        <w:jc w:val="both"/>
        <w:rPr>
          <w:rFonts w:ascii="Verdana" w:hAnsi="Verdana"/>
          <w:noProof/>
          <w:highlight w:val="yellow"/>
        </w:rPr>
      </w:pPr>
    </w:p>
    <w:p>
      <w:pPr>
        <w:pStyle w:val="NormalLeft"/>
        <w:jc w:val="both"/>
        <w:rPr>
          <w:rFonts w:ascii="Verdana" w:hAnsi="Verdana"/>
          <w:noProof/>
          <w:highlight w:val="yellow"/>
        </w:rPr>
      </w:pPr>
    </w:p>
    <w:p>
      <w:pPr>
        <w:pStyle w:val="NormalLeft"/>
        <w:jc w:val="both"/>
        <w:rPr>
          <w:rFonts w:ascii="Verdana" w:hAnsi="Verdana"/>
          <w:noProof/>
          <w:highlight w:val="yellow"/>
        </w:rPr>
      </w:pPr>
    </w:p>
    <w:p>
      <w:pPr>
        <w:pStyle w:val="NormalLeft"/>
        <w:jc w:val="both"/>
        <w:rPr>
          <w:rFonts w:ascii="Verdana" w:hAnsi="Verdana"/>
          <w:noProof/>
          <w:highlight w:val="yellow"/>
        </w:rPr>
      </w:pPr>
    </w:p>
    <w:p>
      <w:pPr>
        <w:pStyle w:val="NormalLeft"/>
        <w:jc w:val="both"/>
        <w:rPr>
          <w:rFonts w:ascii="Verdana" w:hAnsi="Verdana"/>
          <w:noProof/>
          <w:highlight w:val="yellow"/>
        </w:rPr>
      </w:pPr>
    </w:p>
    <w:p>
      <w:pPr>
        <w:pStyle w:val="NormalLeft"/>
        <w:jc w:val="both"/>
        <w:rPr>
          <w:rFonts w:ascii="Verdana" w:hAnsi="Verdana"/>
          <w:noProof/>
          <w:highlight w:val="yellow"/>
        </w:rPr>
      </w:pPr>
    </w:p>
    <w:p>
      <w:pPr>
        <w:pStyle w:val="NormalLeft"/>
        <w:jc w:val="both"/>
        <w:rPr>
          <w:rFonts w:ascii="Verdana" w:hAnsi="Verdana"/>
          <w:noProof/>
          <w:highlight w:val="yellow"/>
        </w:rPr>
      </w:pPr>
    </w:p>
    <w:p>
      <w:pPr>
        <w:pStyle w:val="NormalLeft"/>
        <w:jc w:val="both"/>
        <w:rPr>
          <w:rFonts w:ascii="Verdana" w:hAnsi="Verdana"/>
          <w:noProof/>
          <w:highlight w:val="yellow"/>
        </w:rPr>
      </w:pPr>
    </w:p>
    <w:p>
      <w:pPr>
        <w:pStyle w:val="NormalLeft"/>
        <w:jc w:val="both"/>
        <w:rPr>
          <w:rFonts w:ascii="Verdana" w:hAnsi="Verdana"/>
          <w:noProof/>
          <w:highlight w:val="yellow"/>
        </w:rPr>
      </w:pPr>
    </w:p>
    <w:p>
      <w:pPr>
        <w:pStyle w:val="NormalLeft"/>
        <w:jc w:val="both"/>
        <w:rPr>
          <w:rFonts w:ascii="Verdana" w:hAnsi="Verdana"/>
          <w:noProof/>
          <w:highlight w:val="yellow"/>
        </w:rPr>
      </w:pPr>
    </w:p>
    <w:p>
      <w:pPr>
        <w:pStyle w:val="NormalLeft"/>
        <w:jc w:val="both"/>
        <w:rPr>
          <w:rFonts w:ascii="Verdana" w:hAnsi="Verdana"/>
          <w:noProof/>
          <w:highlight w:val="yellow"/>
        </w:rPr>
      </w:pPr>
    </w:p>
    <w:p>
      <w:pPr>
        <w:pStyle w:val="NormalLeft"/>
        <w:jc w:val="both"/>
        <w:rPr>
          <w:rFonts w:ascii="Verdana" w:hAnsi="Verdana"/>
          <w:noProof/>
          <w:highlight w:val="yellow"/>
        </w:rPr>
      </w:pPr>
    </w:p>
    <w:p>
      <w:pPr>
        <w:autoSpaceDE w:val="0"/>
        <w:autoSpaceDN w:val="0"/>
        <w:adjustRightInd w:val="0"/>
        <w:spacing w:after="0" w:line="240" w:lineRule="auto"/>
        <w:ind w:left="426"/>
        <w:rPr>
          <w:rFonts w:ascii="Verdana" w:hAnsi="Verdana"/>
          <w:i/>
          <w:noProof/>
          <w:sz w:val="10"/>
          <w:szCs w:val="20"/>
        </w:rPr>
      </w:pPr>
      <w:r>
        <w:rPr>
          <w:rFonts w:ascii="Verdana" w:hAnsi="Verdana"/>
          <w:i/>
          <w:noProof/>
          <w:sz w:val="16"/>
        </w:rPr>
        <w:t>Les montants négatifs indiqués dans le tableau ci-dessus peuvent être dus à des arrêts de la Cour de justice annulant des décisions de correction financière.</w:t>
      </w:r>
    </w:p>
    <w:p>
      <w:pPr>
        <w:spacing w:after="0" w:line="240" w:lineRule="auto"/>
        <w:rPr>
          <w:rFonts w:ascii="Verdana" w:hAnsi="Verdana"/>
          <w:i/>
          <w:noProof/>
          <w:sz w:val="16"/>
          <w:szCs w:val="20"/>
        </w:rPr>
      </w:pPr>
    </w:p>
    <w:p>
      <w:pPr>
        <w:spacing w:after="0" w:line="240" w:lineRule="auto"/>
        <w:rPr>
          <w:rFonts w:ascii="Verdana" w:hAnsi="Verdana"/>
          <w:b/>
          <w:i/>
          <w:noProof/>
          <w:sz w:val="20"/>
        </w:rPr>
      </w:pPr>
    </w:p>
    <w:p>
      <w:pPr>
        <w:spacing w:after="0" w:line="240" w:lineRule="auto"/>
        <w:rPr>
          <w:rFonts w:ascii="Verdana" w:hAnsi="Verdana"/>
          <w:b/>
          <w:i/>
          <w:noProof/>
          <w:sz w:val="20"/>
        </w:rPr>
      </w:pPr>
    </w:p>
    <w:p>
      <w:pPr>
        <w:spacing w:after="0" w:line="240" w:lineRule="auto"/>
        <w:rPr>
          <w:rFonts w:ascii="Verdana" w:hAnsi="Verdana"/>
          <w:b/>
          <w:i/>
          <w:noProof/>
          <w:sz w:val="20"/>
        </w:rPr>
      </w:pPr>
    </w:p>
    <w:p>
      <w:pPr>
        <w:spacing w:after="0" w:line="240" w:lineRule="auto"/>
        <w:rPr>
          <w:rFonts w:ascii="Verdana" w:hAnsi="Verdana"/>
          <w:b/>
          <w:i/>
          <w:noProof/>
          <w:sz w:val="20"/>
        </w:rPr>
      </w:pPr>
    </w:p>
    <w:p>
      <w:pPr>
        <w:spacing w:after="0" w:line="240" w:lineRule="auto"/>
        <w:rPr>
          <w:rFonts w:ascii="Verdana" w:hAnsi="Verdana"/>
          <w:b/>
          <w:i/>
          <w:noProof/>
          <w:sz w:val="20"/>
        </w:rPr>
      </w:pPr>
    </w:p>
    <w:p>
      <w:pPr>
        <w:spacing w:after="0" w:line="240" w:lineRule="auto"/>
        <w:rPr>
          <w:rFonts w:ascii="Verdana" w:hAnsi="Verdana"/>
          <w:b/>
          <w:i/>
          <w:noProof/>
          <w:sz w:val="20"/>
        </w:rPr>
      </w:pPr>
    </w:p>
    <w:p>
      <w:pPr>
        <w:spacing w:after="0" w:line="240" w:lineRule="auto"/>
        <w:rPr>
          <w:rFonts w:ascii="Verdana" w:hAnsi="Verdana"/>
          <w:b/>
          <w:i/>
          <w:noProof/>
          <w:sz w:val="20"/>
        </w:rPr>
      </w:pPr>
    </w:p>
    <w:p>
      <w:pPr>
        <w:spacing w:after="0" w:line="240" w:lineRule="auto"/>
        <w:rPr>
          <w:rFonts w:ascii="Verdana" w:hAnsi="Verdana"/>
          <w:b/>
          <w:i/>
          <w:noProof/>
          <w:sz w:val="20"/>
        </w:rPr>
      </w:pPr>
    </w:p>
    <w:p>
      <w:pPr>
        <w:spacing w:after="0" w:line="240" w:lineRule="auto"/>
        <w:rPr>
          <w:rFonts w:ascii="Verdana" w:hAnsi="Verdana"/>
          <w:b/>
          <w:i/>
          <w:noProof/>
          <w:sz w:val="20"/>
        </w:rPr>
      </w:pPr>
      <w:r>
        <w:rPr>
          <w:rFonts w:ascii="Verdana" w:hAnsi="Verdana"/>
          <w:noProof/>
          <w:sz w:val="14"/>
        </w:rPr>
        <w:t>Les chiffres étant arrondis au million d'euros, la somme de certaines données financières figurant dans les tableaux peut ne pas correspondre aux totaux.</w:t>
      </w:r>
    </w:p>
    <w:p>
      <w:pPr>
        <w:spacing w:after="0" w:line="240" w:lineRule="auto"/>
        <w:rPr>
          <w:rFonts w:ascii="Verdana" w:hAnsi="Verdana"/>
          <w:b/>
          <w:i/>
          <w:noProof/>
          <w:sz w:val="20"/>
        </w:rPr>
      </w:pPr>
      <w:r>
        <w:rPr>
          <w:noProof/>
        </w:rPr>
        <w:br w:type="page"/>
      </w:r>
    </w:p>
    <w:p>
      <w:pPr>
        <w:pStyle w:val="ManualHeading2"/>
        <w:rPr>
          <w:i/>
          <w:noProof/>
          <w:szCs w:val="22"/>
        </w:rPr>
      </w:pPr>
      <w:bookmarkStart w:id="137" w:name="_Toc456258179"/>
      <w:bookmarkStart w:id="138" w:name="_Toc461437504"/>
      <w:r>
        <w:t>2.</w:t>
      </w:r>
      <w:r>
        <w:tab/>
      </w:r>
      <w:r>
        <w:rPr>
          <w:noProof/>
        </w:rPr>
        <w:t>Ventilation des corrections forfaitaires en 2015:</w:t>
      </w:r>
      <w:bookmarkEnd w:id="137"/>
      <w:bookmarkEnd w:id="138"/>
    </w:p>
    <w:p>
      <w:pPr>
        <w:spacing w:after="240" w:line="240" w:lineRule="auto"/>
        <w:jc w:val="both"/>
        <w:rPr>
          <w:rFonts w:ascii="Verdana" w:hAnsi="Verdana"/>
          <w:i/>
          <w:noProof/>
          <w:sz w:val="20"/>
        </w:rPr>
      </w:pPr>
    </w:p>
    <w:tbl>
      <w:tblPr>
        <w:tblW w:w="7750" w:type="dxa"/>
        <w:tblInd w:w="493" w:type="dxa"/>
        <w:tblLayout w:type="fixed"/>
        <w:tblLook w:val="04A0" w:firstRow="1" w:lastRow="0" w:firstColumn="1" w:lastColumn="0" w:noHBand="0" w:noVBand="1"/>
      </w:tblPr>
      <w:tblGrid>
        <w:gridCol w:w="1883"/>
        <w:gridCol w:w="1418"/>
        <w:gridCol w:w="1417"/>
        <w:gridCol w:w="1519"/>
        <w:gridCol w:w="1513"/>
      </w:tblGrid>
      <w:tr>
        <w:trPr>
          <w:trHeight w:val="276"/>
        </w:trPr>
        <w:tc>
          <w:tcPr>
            <w:tcW w:w="1883" w:type="dxa"/>
            <w:tcBorders>
              <w:top w:val="single" w:sz="8" w:space="0" w:color="auto"/>
              <w:left w:val="single" w:sz="8" w:space="0" w:color="auto"/>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p>
        </w:tc>
        <w:tc>
          <w:tcPr>
            <w:tcW w:w="1418" w:type="dxa"/>
            <w:tcBorders>
              <w:top w:val="single" w:sz="8" w:space="0" w:color="auto"/>
              <w:left w:val="nil"/>
              <w:bottom w:val="single" w:sz="8" w:space="0" w:color="auto"/>
              <w:right w:val="single" w:sz="4" w:space="0" w:color="auto"/>
            </w:tcBorders>
            <w:shd w:val="clear" w:color="000000" w:fill="99CCFF"/>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Total des corrections financières confirmées (en Mio EUR)</w:t>
            </w:r>
          </w:p>
        </w:tc>
        <w:tc>
          <w:tcPr>
            <w:tcW w:w="1417" w:type="dxa"/>
            <w:tcBorders>
              <w:top w:val="single" w:sz="8" w:space="0" w:color="auto"/>
              <w:left w:val="single" w:sz="4" w:space="0" w:color="auto"/>
              <w:bottom w:val="single" w:sz="8" w:space="0" w:color="auto"/>
              <w:right w:val="double" w:sz="6"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Corrections financières forfaitaires* confirmées en 2015 (en Mio EUR)</w:t>
            </w:r>
          </w:p>
        </w:tc>
        <w:tc>
          <w:tcPr>
            <w:tcW w:w="1519" w:type="dxa"/>
            <w:tcBorders>
              <w:top w:val="single" w:sz="8" w:space="0" w:color="auto"/>
              <w:left w:val="double" w:sz="6" w:space="0" w:color="auto"/>
              <w:bottom w:val="single" w:sz="8" w:space="0" w:color="auto"/>
              <w:right w:val="single" w:sz="8" w:space="0" w:color="auto"/>
            </w:tcBorders>
            <w:shd w:val="clear" w:color="000000" w:fill="99CCFF"/>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Total des corrections financières exécutées (en Mio EUR)</w:t>
            </w:r>
          </w:p>
        </w:tc>
        <w:tc>
          <w:tcPr>
            <w:tcW w:w="1513" w:type="dxa"/>
            <w:tcBorders>
              <w:top w:val="single" w:sz="8" w:space="0" w:color="auto"/>
              <w:left w:val="single" w:sz="4" w:space="0" w:color="auto"/>
              <w:bottom w:val="single" w:sz="8" w:space="0" w:color="auto"/>
              <w:right w:val="single" w:sz="8" w:space="0" w:color="auto"/>
            </w:tcBorders>
            <w:shd w:val="clear" w:color="000000" w:fill="99CCFF"/>
            <w:vAlign w:val="center"/>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Corrections financières forfaitaires* exécutées en 2015 (en Mio EUR)</w:t>
            </w:r>
          </w:p>
        </w:tc>
      </w:tr>
      <w:tr>
        <w:trPr>
          <w:trHeight w:val="264"/>
        </w:trPr>
        <w:tc>
          <w:tcPr>
            <w:tcW w:w="1883" w:type="dxa"/>
            <w:tcBorders>
              <w:top w:val="nil"/>
              <w:left w:val="single" w:sz="8" w:space="0" w:color="auto"/>
              <w:bottom w:val="nil"/>
              <w:right w:val="single" w:sz="8" w:space="0" w:color="auto"/>
            </w:tcBorders>
            <w:shd w:val="clear" w:color="auto" w:fill="auto"/>
            <w:vAlign w:val="center"/>
            <w:hideMark/>
          </w:tcPr>
          <w:p>
            <w:pPr>
              <w:spacing w:after="0" w:line="240" w:lineRule="auto"/>
              <w:jc w:val="both"/>
              <w:rPr>
                <w:rFonts w:ascii="Verdana" w:eastAsia="Times New Roman" w:hAnsi="Verdana"/>
                <w:b/>
                <w:noProof/>
                <w:color w:val="000000"/>
                <w:sz w:val="16"/>
                <w:szCs w:val="16"/>
              </w:rPr>
            </w:pPr>
            <w:r>
              <w:rPr>
                <w:rFonts w:ascii="Verdana" w:hAnsi="Verdana"/>
                <w:b/>
                <w:noProof/>
                <w:color w:val="000000"/>
                <w:sz w:val="16"/>
              </w:rPr>
              <w:t>Agriculture</w:t>
            </w:r>
            <w:r>
              <w:rPr>
                <w:rFonts w:ascii="Verdana" w:hAnsi="Verdana"/>
                <w:noProof/>
                <w:color w:val="000000"/>
                <w:sz w:val="16"/>
              </w:rPr>
              <w:t>***</w:t>
            </w:r>
          </w:p>
        </w:tc>
        <w:tc>
          <w:tcPr>
            <w:tcW w:w="1418" w:type="dxa"/>
            <w:tcBorders>
              <w:top w:val="nil"/>
              <w:left w:val="nil"/>
              <w:bottom w:val="nil"/>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20"/>
              </w:rPr>
            </w:pPr>
          </w:p>
        </w:tc>
        <w:tc>
          <w:tcPr>
            <w:tcW w:w="1417" w:type="dxa"/>
            <w:tcBorders>
              <w:top w:val="nil"/>
              <w:left w:val="single" w:sz="4" w:space="0" w:color="auto"/>
              <w:bottom w:val="nil"/>
              <w:right w:val="double" w:sz="6" w:space="0" w:color="auto"/>
            </w:tcBorders>
            <w:shd w:val="clear" w:color="auto" w:fill="auto"/>
            <w:hideMark/>
          </w:tcPr>
          <w:p>
            <w:pPr>
              <w:autoSpaceDE w:val="0"/>
              <w:autoSpaceDN w:val="0"/>
              <w:adjustRightInd w:val="0"/>
              <w:spacing w:after="0" w:line="240" w:lineRule="auto"/>
              <w:jc w:val="right"/>
              <w:rPr>
                <w:rFonts w:cs="Calibri"/>
                <w:noProof/>
                <w:color w:val="000000"/>
                <w:sz w:val="16"/>
                <w:szCs w:val="20"/>
              </w:rPr>
            </w:pPr>
          </w:p>
        </w:tc>
        <w:tc>
          <w:tcPr>
            <w:tcW w:w="1519" w:type="dxa"/>
            <w:tcBorders>
              <w:top w:val="nil"/>
              <w:left w:val="double" w:sz="6"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p>
        </w:tc>
        <w:tc>
          <w:tcPr>
            <w:tcW w:w="1513" w:type="dxa"/>
            <w:tcBorders>
              <w:top w:val="nil"/>
              <w:left w:val="single" w:sz="4"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p>
        </w:tc>
      </w:tr>
      <w:tr>
        <w:trPr>
          <w:trHeight w:val="220"/>
        </w:trPr>
        <w:tc>
          <w:tcPr>
            <w:tcW w:w="1883" w:type="dxa"/>
            <w:tcBorders>
              <w:top w:val="nil"/>
              <w:left w:val="single" w:sz="8" w:space="0" w:color="auto"/>
              <w:bottom w:val="nil"/>
              <w:right w:val="single" w:sz="8" w:space="0" w:color="auto"/>
            </w:tcBorders>
            <w:shd w:val="clear" w:color="auto" w:fill="auto"/>
            <w:vAlign w:val="center"/>
            <w:hideMark/>
          </w:tcPr>
          <w:p>
            <w:pPr>
              <w:spacing w:after="0" w:line="240" w:lineRule="auto"/>
              <w:jc w:val="both"/>
              <w:rPr>
                <w:rFonts w:ascii="Verdana" w:eastAsia="Times New Roman" w:hAnsi="Verdana"/>
                <w:noProof/>
                <w:color w:val="000000"/>
                <w:sz w:val="16"/>
                <w:szCs w:val="16"/>
              </w:rPr>
            </w:pPr>
            <w:r>
              <w:rPr>
                <w:rFonts w:ascii="Verdana" w:hAnsi="Verdana"/>
                <w:noProof/>
                <w:color w:val="000000"/>
                <w:sz w:val="16"/>
              </w:rPr>
              <w:t>FEAGA</w:t>
            </w:r>
          </w:p>
        </w:tc>
        <w:tc>
          <w:tcPr>
            <w:tcW w:w="1418" w:type="dxa"/>
            <w:tcBorders>
              <w:top w:val="nil"/>
              <w:left w:val="nil"/>
              <w:bottom w:val="nil"/>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922</w:t>
            </w:r>
          </w:p>
        </w:tc>
        <w:tc>
          <w:tcPr>
            <w:tcW w:w="1417" w:type="dxa"/>
            <w:tcBorders>
              <w:top w:val="nil"/>
              <w:left w:val="single" w:sz="4" w:space="0" w:color="auto"/>
              <w:bottom w:val="nil"/>
              <w:right w:val="double" w:sz="6"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709**</w:t>
            </w:r>
          </w:p>
        </w:tc>
        <w:tc>
          <w:tcPr>
            <w:tcW w:w="1519" w:type="dxa"/>
            <w:tcBorders>
              <w:top w:val="nil"/>
              <w:left w:val="double" w:sz="6"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1 017</w:t>
            </w:r>
          </w:p>
        </w:tc>
        <w:tc>
          <w:tcPr>
            <w:tcW w:w="1513" w:type="dxa"/>
            <w:tcBorders>
              <w:top w:val="nil"/>
              <w:left w:val="single" w:sz="4"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w:t>
            </w:r>
          </w:p>
        </w:tc>
      </w:tr>
      <w:tr>
        <w:trPr>
          <w:trHeight w:val="132"/>
        </w:trPr>
        <w:tc>
          <w:tcPr>
            <w:tcW w:w="1883" w:type="dxa"/>
            <w:tcBorders>
              <w:top w:val="nil"/>
              <w:left w:val="single" w:sz="8" w:space="0" w:color="auto"/>
              <w:bottom w:val="nil"/>
              <w:right w:val="single" w:sz="8" w:space="0" w:color="auto"/>
            </w:tcBorders>
            <w:shd w:val="clear" w:color="auto" w:fill="auto"/>
            <w:vAlign w:val="center"/>
            <w:hideMark/>
          </w:tcPr>
          <w:p>
            <w:pPr>
              <w:spacing w:after="0" w:line="240" w:lineRule="auto"/>
              <w:jc w:val="both"/>
              <w:rPr>
                <w:rFonts w:ascii="Verdana" w:eastAsia="Times New Roman" w:hAnsi="Verdana"/>
                <w:noProof/>
                <w:color w:val="000000"/>
                <w:sz w:val="16"/>
                <w:szCs w:val="16"/>
              </w:rPr>
            </w:pPr>
            <w:r>
              <w:rPr>
                <w:rFonts w:ascii="Verdana" w:hAnsi="Verdana"/>
                <w:noProof/>
                <w:color w:val="000000"/>
                <w:sz w:val="16"/>
              </w:rPr>
              <w:t>Développement rural</w:t>
            </w:r>
          </w:p>
        </w:tc>
        <w:tc>
          <w:tcPr>
            <w:tcW w:w="1418" w:type="dxa"/>
            <w:tcBorders>
              <w:top w:val="nil"/>
              <w:left w:val="nil"/>
              <w:bottom w:val="nil"/>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46</w:t>
            </w:r>
          </w:p>
        </w:tc>
        <w:tc>
          <w:tcPr>
            <w:tcW w:w="1417" w:type="dxa"/>
            <w:tcBorders>
              <w:top w:val="nil"/>
              <w:left w:val="single" w:sz="4" w:space="0" w:color="auto"/>
              <w:bottom w:val="nil"/>
              <w:right w:val="double" w:sz="6"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179**</w:t>
            </w:r>
          </w:p>
        </w:tc>
        <w:tc>
          <w:tcPr>
            <w:tcW w:w="1519" w:type="dxa"/>
            <w:tcBorders>
              <w:top w:val="nil"/>
              <w:left w:val="double" w:sz="6"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263</w:t>
            </w:r>
          </w:p>
        </w:tc>
        <w:tc>
          <w:tcPr>
            <w:tcW w:w="1513" w:type="dxa"/>
            <w:tcBorders>
              <w:top w:val="nil"/>
              <w:left w:val="single" w:sz="4"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w:t>
            </w:r>
          </w:p>
        </w:tc>
      </w:tr>
      <w:tr>
        <w:trPr>
          <w:trHeight w:val="276"/>
        </w:trPr>
        <w:tc>
          <w:tcPr>
            <w:tcW w:w="1883" w:type="dxa"/>
            <w:tcBorders>
              <w:top w:val="nil"/>
              <w:left w:val="single" w:sz="8" w:space="0" w:color="auto"/>
              <w:bottom w:val="nil"/>
              <w:right w:val="single" w:sz="8" w:space="0" w:color="auto"/>
            </w:tcBorders>
            <w:shd w:val="clear" w:color="auto" w:fill="auto"/>
            <w:vAlign w:val="center"/>
            <w:hideMark/>
          </w:tcPr>
          <w:p>
            <w:pPr>
              <w:spacing w:after="0" w:line="240" w:lineRule="auto"/>
              <w:jc w:val="both"/>
              <w:rPr>
                <w:rFonts w:ascii="Verdana" w:eastAsia="Times New Roman" w:hAnsi="Verdana"/>
                <w:b/>
                <w:noProof/>
                <w:color w:val="000000"/>
                <w:sz w:val="16"/>
                <w:szCs w:val="16"/>
              </w:rPr>
            </w:pPr>
            <w:r>
              <w:rPr>
                <w:rFonts w:ascii="Verdana" w:hAnsi="Verdana"/>
                <w:b/>
                <w:noProof/>
                <w:color w:val="000000"/>
                <w:sz w:val="16"/>
              </w:rPr>
              <w:t>Cohésion</w:t>
            </w:r>
          </w:p>
        </w:tc>
        <w:tc>
          <w:tcPr>
            <w:tcW w:w="1418" w:type="dxa"/>
            <w:tcBorders>
              <w:top w:val="nil"/>
              <w:left w:val="nil"/>
              <w:bottom w:val="nil"/>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20"/>
              </w:rPr>
            </w:pPr>
          </w:p>
        </w:tc>
        <w:tc>
          <w:tcPr>
            <w:tcW w:w="1417" w:type="dxa"/>
            <w:tcBorders>
              <w:top w:val="nil"/>
              <w:left w:val="single" w:sz="4" w:space="0" w:color="auto"/>
              <w:bottom w:val="nil"/>
              <w:right w:val="double" w:sz="6"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20"/>
              </w:rPr>
            </w:pPr>
          </w:p>
        </w:tc>
        <w:tc>
          <w:tcPr>
            <w:tcW w:w="1519" w:type="dxa"/>
            <w:tcBorders>
              <w:top w:val="nil"/>
              <w:left w:val="double" w:sz="6"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p>
        </w:tc>
        <w:tc>
          <w:tcPr>
            <w:tcW w:w="1513" w:type="dxa"/>
            <w:tcBorders>
              <w:top w:val="nil"/>
              <w:left w:val="single" w:sz="4"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p>
        </w:tc>
      </w:tr>
      <w:tr>
        <w:trPr>
          <w:trHeight w:val="101"/>
        </w:trPr>
        <w:tc>
          <w:tcPr>
            <w:tcW w:w="1883" w:type="dxa"/>
            <w:tcBorders>
              <w:top w:val="nil"/>
              <w:left w:val="single" w:sz="8" w:space="0" w:color="auto"/>
              <w:bottom w:val="nil"/>
              <w:right w:val="single" w:sz="8" w:space="0" w:color="auto"/>
            </w:tcBorders>
            <w:shd w:val="clear" w:color="auto" w:fill="auto"/>
            <w:vAlign w:val="center"/>
          </w:tcPr>
          <w:p>
            <w:pPr>
              <w:spacing w:after="0" w:line="240" w:lineRule="auto"/>
              <w:jc w:val="both"/>
              <w:rPr>
                <w:rFonts w:ascii="Verdana" w:eastAsia="Times New Roman" w:hAnsi="Verdana"/>
                <w:noProof/>
                <w:color w:val="000000"/>
                <w:sz w:val="16"/>
                <w:szCs w:val="16"/>
              </w:rPr>
            </w:pPr>
            <w:r>
              <w:rPr>
                <w:rFonts w:ascii="Verdana" w:hAnsi="Verdana"/>
                <w:noProof/>
                <w:color w:val="000000"/>
                <w:sz w:val="16"/>
              </w:rPr>
              <w:t>FEDER et FC****</w:t>
            </w:r>
          </w:p>
        </w:tc>
        <w:tc>
          <w:tcPr>
            <w:tcW w:w="1418" w:type="dxa"/>
            <w:tcBorders>
              <w:top w:val="nil"/>
              <w:left w:val="nil"/>
              <w:bottom w:val="nil"/>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1 289</w:t>
            </w:r>
          </w:p>
        </w:tc>
        <w:tc>
          <w:tcPr>
            <w:tcW w:w="1417" w:type="dxa"/>
            <w:tcBorders>
              <w:top w:val="nil"/>
              <w:left w:val="single" w:sz="4" w:space="0" w:color="auto"/>
              <w:bottom w:val="nil"/>
              <w:right w:val="double" w:sz="6"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986</w:t>
            </w:r>
          </w:p>
        </w:tc>
        <w:tc>
          <w:tcPr>
            <w:tcW w:w="1519" w:type="dxa"/>
            <w:tcBorders>
              <w:top w:val="nil"/>
              <w:left w:val="double" w:sz="6"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1 359</w:t>
            </w:r>
          </w:p>
        </w:tc>
        <w:tc>
          <w:tcPr>
            <w:tcW w:w="1513" w:type="dxa"/>
            <w:tcBorders>
              <w:top w:val="nil"/>
              <w:left w:val="single" w:sz="4"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970</w:t>
            </w:r>
          </w:p>
        </w:tc>
      </w:tr>
      <w:tr>
        <w:trPr>
          <w:trHeight w:val="181"/>
        </w:trPr>
        <w:tc>
          <w:tcPr>
            <w:tcW w:w="1883" w:type="dxa"/>
            <w:tcBorders>
              <w:top w:val="nil"/>
              <w:left w:val="single" w:sz="8" w:space="0" w:color="auto"/>
              <w:bottom w:val="nil"/>
              <w:right w:val="single" w:sz="8" w:space="0" w:color="auto"/>
            </w:tcBorders>
            <w:shd w:val="clear" w:color="auto" w:fill="auto"/>
            <w:vAlign w:val="center"/>
          </w:tcPr>
          <w:p>
            <w:pPr>
              <w:spacing w:after="0" w:line="240" w:lineRule="auto"/>
              <w:jc w:val="both"/>
              <w:rPr>
                <w:rFonts w:ascii="Verdana" w:eastAsia="Times New Roman" w:hAnsi="Verdana"/>
                <w:noProof/>
                <w:color w:val="000000"/>
                <w:sz w:val="16"/>
                <w:szCs w:val="16"/>
              </w:rPr>
            </w:pPr>
            <w:r>
              <w:rPr>
                <w:rFonts w:ascii="Verdana" w:hAnsi="Verdana"/>
                <w:noProof/>
                <w:color w:val="000000"/>
                <w:sz w:val="16"/>
              </w:rPr>
              <w:t>FSE</w:t>
            </w:r>
          </w:p>
        </w:tc>
        <w:tc>
          <w:tcPr>
            <w:tcW w:w="1418" w:type="dxa"/>
            <w:tcBorders>
              <w:top w:val="nil"/>
              <w:left w:val="nil"/>
              <w:bottom w:val="nil"/>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348</w:t>
            </w:r>
          </w:p>
        </w:tc>
        <w:tc>
          <w:tcPr>
            <w:tcW w:w="1417" w:type="dxa"/>
            <w:tcBorders>
              <w:top w:val="nil"/>
              <w:left w:val="single" w:sz="4" w:space="0" w:color="auto"/>
              <w:bottom w:val="nil"/>
              <w:right w:val="double" w:sz="6"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279</w:t>
            </w:r>
          </w:p>
        </w:tc>
        <w:tc>
          <w:tcPr>
            <w:tcW w:w="1519" w:type="dxa"/>
            <w:tcBorders>
              <w:top w:val="nil"/>
              <w:left w:val="double" w:sz="6"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407</w:t>
            </w:r>
          </w:p>
        </w:tc>
        <w:tc>
          <w:tcPr>
            <w:tcW w:w="1513" w:type="dxa"/>
            <w:tcBorders>
              <w:top w:val="nil"/>
              <w:left w:val="single" w:sz="4"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312</w:t>
            </w:r>
          </w:p>
        </w:tc>
      </w:tr>
      <w:tr>
        <w:trPr>
          <w:trHeight w:val="144"/>
        </w:trPr>
        <w:tc>
          <w:tcPr>
            <w:tcW w:w="1883" w:type="dxa"/>
            <w:tcBorders>
              <w:top w:val="nil"/>
              <w:left w:val="single" w:sz="8" w:space="0" w:color="auto"/>
              <w:bottom w:val="nil"/>
              <w:right w:val="single" w:sz="8" w:space="0" w:color="auto"/>
            </w:tcBorders>
            <w:shd w:val="clear" w:color="auto" w:fill="auto"/>
            <w:vAlign w:val="center"/>
          </w:tcPr>
          <w:p>
            <w:pPr>
              <w:spacing w:after="0" w:line="240" w:lineRule="auto"/>
              <w:jc w:val="both"/>
              <w:rPr>
                <w:rFonts w:ascii="Verdana" w:eastAsia="Times New Roman" w:hAnsi="Verdana"/>
                <w:noProof/>
                <w:color w:val="000000"/>
                <w:sz w:val="16"/>
                <w:szCs w:val="16"/>
              </w:rPr>
            </w:pPr>
            <w:r>
              <w:rPr>
                <w:rFonts w:ascii="Verdana" w:hAnsi="Verdana"/>
                <w:noProof/>
                <w:color w:val="000000"/>
                <w:sz w:val="16"/>
              </w:rPr>
              <w:t>FEOGA-Orientation</w:t>
            </w:r>
          </w:p>
        </w:tc>
        <w:tc>
          <w:tcPr>
            <w:tcW w:w="1418" w:type="dxa"/>
            <w:tcBorders>
              <w:top w:val="nil"/>
              <w:left w:val="nil"/>
              <w:bottom w:val="nil"/>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97</w:t>
            </w:r>
          </w:p>
        </w:tc>
        <w:tc>
          <w:tcPr>
            <w:tcW w:w="1417" w:type="dxa"/>
            <w:tcBorders>
              <w:top w:val="nil"/>
              <w:left w:val="single" w:sz="4" w:space="0" w:color="auto"/>
              <w:bottom w:val="nil"/>
              <w:right w:val="double" w:sz="6"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0</w:t>
            </w:r>
          </w:p>
        </w:tc>
        <w:tc>
          <w:tcPr>
            <w:tcW w:w="1519" w:type="dxa"/>
            <w:tcBorders>
              <w:top w:val="nil"/>
              <w:left w:val="double" w:sz="6"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24</w:t>
            </w:r>
          </w:p>
        </w:tc>
        <w:tc>
          <w:tcPr>
            <w:tcW w:w="1513" w:type="dxa"/>
            <w:tcBorders>
              <w:top w:val="nil"/>
              <w:left w:val="single" w:sz="4"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0</w:t>
            </w:r>
          </w:p>
        </w:tc>
      </w:tr>
      <w:tr>
        <w:trPr>
          <w:trHeight w:val="212"/>
        </w:trPr>
        <w:tc>
          <w:tcPr>
            <w:tcW w:w="1883" w:type="dxa"/>
            <w:tcBorders>
              <w:top w:val="nil"/>
              <w:left w:val="single" w:sz="8" w:space="0" w:color="auto"/>
              <w:bottom w:val="nil"/>
              <w:right w:val="single" w:sz="8" w:space="0" w:color="auto"/>
            </w:tcBorders>
            <w:shd w:val="clear" w:color="auto" w:fill="auto"/>
            <w:vAlign w:val="center"/>
          </w:tcPr>
          <w:p>
            <w:pPr>
              <w:spacing w:after="0" w:line="240" w:lineRule="auto"/>
              <w:jc w:val="both"/>
              <w:rPr>
                <w:rFonts w:ascii="Verdana" w:eastAsia="Times New Roman" w:hAnsi="Verdana"/>
                <w:noProof/>
                <w:color w:val="000000"/>
                <w:sz w:val="16"/>
                <w:szCs w:val="16"/>
              </w:rPr>
            </w:pPr>
            <w:r>
              <w:rPr>
                <w:rFonts w:ascii="Verdana" w:hAnsi="Verdana"/>
                <w:noProof/>
                <w:color w:val="000000"/>
                <w:sz w:val="16"/>
              </w:rPr>
              <w:t>FEP/IFOP</w:t>
            </w:r>
          </w:p>
        </w:tc>
        <w:tc>
          <w:tcPr>
            <w:tcW w:w="1418" w:type="dxa"/>
            <w:tcBorders>
              <w:top w:val="nil"/>
              <w:left w:val="nil"/>
              <w:bottom w:val="nil"/>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6</w:t>
            </w:r>
          </w:p>
        </w:tc>
        <w:tc>
          <w:tcPr>
            <w:tcW w:w="1417" w:type="dxa"/>
            <w:tcBorders>
              <w:top w:val="nil"/>
              <w:left w:val="single" w:sz="4" w:space="0" w:color="auto"/>
              <w:bottom w:val="nil"/>
              <w:right w:val="double" w:sz="6"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3</w:t>
            </w:r>
          </w:p>
        </w:tc>
        <w:tc>
          <w:tcPr>
            <w:tcW w:w="1519" w:type="dxa"/>
            <w:tcBorders>
              <w:top w:val="nil"/>
              <w:left w:val="double" w:sz="6"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10</w:t>
            </w:r>
          </w:p>
        </w:tc>
        <w:tc>
          <w:tcPr>
            <w:tcW w:w="1513" w:type="dxa"/>
            <w:tcBorders>
              <w:top w:val="nil"/>
              <w:left w:val="single" w:sz="4"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3</w:t>
            </w:r>
          </w:p>
        </w:tc>
      </w:tr>
      <w:tr>
        <w:trPr>
          <w:trHeight w:val="212"/>
        </w:trPr>
        <w:tc>
          <w:tcPr>
            <w:tcW w:w="1883" w:type="dxa"/>
            <w:tcBorders>
              <w:top w:val="nil"/>
              <w:left w:val="single" w:sz="8" w:space="0" w:color="auto"/>
              <w:bottom w:val="nil"/>
              <w:right w:val="single" w:sz="8" w:space="0" w:color="auto"/>
            </w:tcBorders>
            <w:shd w:val="clear" w:color="auto" w:fill="auto"/>
            <w:vAlign w:val="center"/>
          </w:tcPr>
          <w:p>
            <w:pPr>
              <w:spacing w:after="0" w:line="240" w:lineRule="auto"/>
              <w:jc w:val="both"/>
              <w:rPr>
                <w:rFonts w:ascii="Verdana" w:eastAsia="Times New Roman" w:hAnsi="Verdana"/>
                <w:noProof/>
                <w:color w:val="000000"/>
                <w:sz w:val="16"/>
                <w:szCs w:val="16"/>
              </w:rPr>
            </w:pPr>
            <w:r>
              <w:rPr>
                <w:rFonts w:ascii="Verdana" w:hAnsi="Verdana"/>
                <w:noProof/>
                <w:color w:val="000000"/>
                <w:sz w:val="16"/>
              </w:rPr>
              <w:t>Politiques internes</w:t>
            </w:r>
          </w:p>
        </w:tc>
        <w:tc>
          <w:tcPr>
            <w:tcW w:w="1418" w:type="dxa"/>
            <w:tcBorders>
              <w:top w:val="nil"/>
              <w:left w:val="nil"/>
              <w:bottom w:val="nil"/>
              <w:right w:val="single" w:sz="4"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23</w:t>
            </w:r>
          </w:p>
        </w:tc>
        <w:tc>
          <w:tcPr>
            <w:tcW w:w="1417" w:type="dxa"/>
            <w:tcBorders>
              <w:top w:val="nil"/>
              <w:left w:val="single" w:sz="4" w:space="0" w:color="auto"/>
              <w:bottom w:val="nil"/>
              <w:right w:val="double" w:sz="6"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10</w:t>
            </w:r>
          </w:p>
        </w:tc>
        <w:tc>
          <w:tcPr>
            <w:tcW w:w="1519" w:type="dxa"/>
            <w:tcBorders>
              <w:top w:val="nil"/>
              <w:left w:val="double" w:sz="6"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23</w:t>
            </w:r>
          </w:p>
        </w:tc>
        <w:tc>
          <w:tcPr>
            <w:tcW w:w="1513" w:type="dxa"/>
            <w:tcBorders>
              <w:top w:val="nil"/>
              <w:left w:val="single" w:sz="4" w:space="0" w:color="auto"/>
              <w:bottom w:val="nil"/>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20"/>
              </w:rPr>
            </w:pPr>
            <w:r>
              <w:rPr>
                <w:rFonts w:ascii="Verdana" w:hAnsi="Verdana"/>
                <w:noProof/>
                <w:color w:val="000000"/>
                <w:sz w:val="16"/>
              </w:rPr>
              <w:t>10</w:t>
            </w:r>
          </w:p>
        </w:tc>
      </w:tr>
      <w:tr>
        <w:trPr>
          <w:trHeight w:hRule="exact" w:val="248"/>
        </w:trPr>
        <w:tc>
          <w:tcPr>
            <w:tcW w:w="1883" w:type="dxa"/>
            <w:tcBorders>
              <w:top w:val="single" w:sz="8" w:space="0" w:color="auto"/>
              <w:left w:val="single" w:sz="8" w:space="0" w:color="auto"/>
              <w:bottom w:val="single" w:sz="8" w:space="0" w:color="auto"/>
              <w:right w:val="single" w:sz="8" w:space="0" w:color="auto"/>
            </w:tcBorders>
            <w:shd w:val="clear" w:color="auto" w:fill="auto"/>
            <w:vAlign w:val="center"/>
            <w:hideMark/>
          </w:tcPr>
          <w:p>
            <w:pPr>
              <w:spacing w:after="0" w:line="240" w:lineRule="auto"/>
              <w:jc w:val="both"/>
              <w:rPr>
                <w:rFonts w:ascii="Verdana" w:eastAsia="Times New Roman" w:hAnsi="Verdana"/>
                <w:b/>
                <w:bCs/>
                <w:noProof/>
                <w:color w:val="000000"/>
                <w:sz w:val="16"/>
                <w:szCs w:val="16"/>
              </w:rPr>
            </w:pPr>
            <w:r>
              <w:rPr>
                <w:rFonts w:ascii="Verdana" w:hAnsi="Verdana"/>
                <w:b/>
                <w:noProof/>
                <w:color w:val="000000"/>
                <w:sz w:val="16"/>
              </w:rPr>
              <w:t>TOTAL</w:t>
            </w:r>
          </w:p>
        </w:tc>
        <w:tc>
          <w:tcPr>
            <w:tcW w:w="1418" w:type="dxa"/>
            <w:tcBorders>
              <w:top w:val="single" w:sz="8" w:space="0" w:color="auto"/>
              <w:left w:val="nil"/>
              <w:bottom w:val="single" w:sz="8" w:space="0" w:color="auto"/>
              <w:right w:val="single" w:sz="4" w:space="0" w:color="auto"/>
            </w:tcBorders>
          </w:tcPr>
          <w:p>
            <w:pPr>
              <w:autoSpaceDE w:val="0"/>
              <w:autoSpaceDN w:val="0"/>
              <w:adjustRightInd w:val="0"/>
              <w:spacing w:after="0" w:line="240" w:lineRule="auto"/>
              <w:jc w:val="right"/>
              <w:rPr>
                <w:rFonts w:ascii="Verdana" w:hAnsi="Verdana" w:cs="Verdana"/>
                <w:b/>
                <w:bCs/>
                <w:noProof/>
                <w:color w:val="000000"/>
                <w:sz w:val="16"/>
                <w:szCs w:val="20"/>
              </w:rPr>
            </w:pPr>
            <w:r>
              <w:rPr>
                <w:rFonts w:ascii="Verdana" w:hAnsi="Verdana"/>
                <w:b/>
                <w:noProof/>
                <w:color w:val="000000"/>
                <w:sz w:val="16"/>
              </w:rPr>
              <w:t>2 732</w:t>
            </w:r>
          </w:p>
        </w:tc>
        <w:tc>
          <w:tcPr>
            <w:tcW w:w="1417" w:type="dxa"/>
            <w:tcBorders>
              <w:top w:val="single" w:sz="8" w:space="0" w:color="auto"/>
              <w:left w:val="single" w:sz="4" w:space="0" w:color="auto"/>
              <w:bottom w:val="single" w:sz="8" w:space="0" w:color="auto"/>
              <w:right w:val="double" w:sz="6" w:space="0" w:color="auto"/>
            </w:tcBorders>
            <w:shd w:val="clear" w:color="auto" w:fill="auto"/>
          </w:tcPr>
          <w:p>
            <w:pPr>
              <w:autoSpaceDE w:val="0"/>
              <w:autoSpaceDN w:val="0"/>
              <w:adjustRightInd w:val="0"/>
              <w:spacing w:after="0" w:line="240" w:lineRule="auto"/>
              <w:jc w:val="right"/>
              <w:rPr>
                <w:rFonts w:ascii="Verdana" w:hAnsi="Verdana" w:cs="Verdana"/>
                <w:b/>
                <w:bCs/>
                <w:noProof/>
                <w:color w:val="000000"/>
                <w:sz w:val="16"/>
                <w:szCs w:val="20"/>
              </w:rPr>
            </w:pPr>
            <w:r>
              <w:rPr>
                <w:rFonts w:ascii="Verdana" w:hAnsi="Verdana"/>
                <w:b/>
                <w:noProof/>
                <w:color w:val="000000"/>
                <w:sz w:val="16"/>
              </w:rPr>
              <w:t>2 165</w:t>
            </w:r>
          </w:p>
        </w:tc>
        <w:tc>
          <w:tcPr>
            <w:tcW w:w="1519" w:type="dxa"/>
            <w:tcBorders>
              <w:top w:val="single" w:sz="8" w:space="0" w:color="auto"/>
              <w:left w:val="double" w:sz="6" w:space="0" w:color="auto"/>
              <w:bottom w:val="single" w:sz="8" w:space="0" w:color="auto"/>
              <w:right w:val="single" w:sz="8" w:space="0" w:color="auto"/>
            </w:tcBorders>
          </w:tcPr>
          <w:p>
            <w:pPr>
              <w:autoSpaceDE w:val="0"/>
              <w:autoSpaceDN w:val="0"/>
              <w:adjustRightInd w:val="0"/>
              <w:spacing w:after="0" w:line="240" w:lineRule="auto"/>
              <w:jc w:val="right"/>
              <w:rPr>
                <w:rFonts w:ascii="Verdana" w:hAnsi="Verdana" w:cs="Verdana"/>
                <w:b/>
                <w:bCs/>
                <w:noProof/>
                <w:color w:val="000000"/>
                <w:sz w:val="16"/>
                <w:szCs w:val="20"/>
              </w:rPr>
            </w:pPr>
            <w:r>
              <w:rPr>
                <w:rFonts w:ascii="Verdana" w:hAnsi="Verdana"/>
                <w:b/>
                <w:noProof/>
                <w:color w:val="000000"/>
                <w:sz w:val="16"/>
              </w:rPr>
              <w:t>3 104</w:t>
            </w:r>
          </w:p>
        </w:tc>
        <w:tc>
          <w:tcPr>
            <w:tcW w:w="1513" w:type="dxa"/>
            <w:tcBorders>
              <w:top w:val="single" w:sz="8" w:space="0" w:color="auto"/>
              <w:left w:val="single" w:sz="4" w:space="0" w:color="auto"/>
              <w:bottom w:val="single" w:sz="8" w:space="0" w:color="auto"/>
              <w:right w:val="single" w:sz="8" w:space="0" w:color="auto"/>
            </w:tcBorders>
          </w:tcPr>
          <w:p>
            <w:pPr>
              <w:autoSpaceDE w:val="0"/>
              <w:autoSpaceDN w:val="0"/>
              <w:adjustRightInd w:val="0"/>
              <w:spacing w:after="0" w:line="240" w:lineRule="auto"/>
              <w:jc w:val="right"/>
              <w:rPr>
                <w:rFonts w:ascii="Verdana" w:hAnsi="Verdana" w:cs="Verdana"/>
                <w:b/>
                <w:bCs/>
                <w:noProof/>
                <w:color w:val="000000"/>
                <w:sz w:val="16"/>
                <w:szCs w:val="20"/>
              </w:rPr>
            </w:pPr>
            <w:r>
              <w:rPr>
                <w:rFonts w:ascii="Verdana" w:hAnsi="Verdana"/>
                <w:b/>
                <w:noProof/>
                <w:color w:val="000000"/>
                <w:sz w:val="16"/>
              </w:rPr>
              <w:t>1 295</w:t>
            </w:r>
          </w:p>
        </w:tc>
      </w:tr>
    </w:tbl>
    <w:p>
      <w:pPr>
        <w:tabs>
          <w:tab w:val="left" w:pos="1418"/>
        </w:tabs>
        <w:spacing w:after="0" w:line="240" w:lineRule="auto"/>
        <w:ind w:firstLine="284"/>
        <w:rPr>
          <w:rFonts w:ascii="Verdana" w:eastAsia="Times New Roman" w:hAnsi="Verdana"/>
          <w:bCs/>
          <w:i/>
          <w:iCs/>
          <w:noProof/>
          <w:sz w:val="16"/>
          <w:szCs w:val="16"/>
        </w:rPr>
      </w:pPr>
      <w:r>
        <w:rPr>
          <w:rFonts w:ascii="Verdana" w:hAnsi="Verdana"/>
          <w:i/>
          <w:noProof/>
          <w:sz w:val="16"/>
        </w:rPr>
        <w:t>* Y compris les corrections extrapolées.</w:t>
      </w:r>
    </w:p>
    <w:p>
      <w:pPr>
        <w:spacing w:after="0" w:line="240" w:lineRule="auto"/>
        <w:ind w:left="567" w:hanging="284"/>
        <w:rPr>
          <w:rFonts w:ascii="Verdana" w:eastAsia="Times New Roman" w:hAnsi="Verdana"/>
          <w:bCs/>
          <w:i/>
          <w:iCs/>
          <w:noProof/>
          <w:sz w:val="16"/>
          <w:szCs w:val="16"/>
        </w:rPr>
      </w:pPr>
      <w:r>
        <w:rPr>
          <w:rFonts w:ascii="Verdana" w:hAnsi="Verdana"/>
          <w:i/>
          <w:noProof/>
          <w:sz w:val="16"/>
        </w:rPr>
        <w:t>**</w:t>
      </w:r>
      <w:r>
        <w:rPr>
          <w:noProof/>
        </w:rPr>
        <w:tab/>
      </w:r>
      <w:r>
        <w:rPr>
          <w:rFonts w:ascii="Verdana" w:hAnsi="Verdana"/>
          <w:i/>
          <w:noProof/>
          <w:sz w:val="16"/>
        </w:rPr>
        <w:t xml:space="preserve"> Il s’agit de l’estimation la plus plausible. La plupart des corrections financières intègrent des montants fondés sur des taux forfaitaires et des calculs précis.</w:t>
      </w:r>
    </w:p>
    <w:p>
      <w:pPr>
        <w:spacing w:after="0" w:line="240" w:lineRule="auto"/>
        <w:ind w:left="567" w:hanging="284"/>
        <w:rPr>
          <w:rFonts w:ascii="Verdana" w:eastAsia="Times New Roman" w:hAnsi="Verdana"/>
          <w:bCs/>
          <w:i/>
          <w:iCs/>
          <w:noProof/>
          <w:sz w:val="16"/>
          <w:szCs w:val="16"/>
        </w:rPr>
      </w:pPr>
      <w:r>
        <w:rPr>
          <w:rFonts w:ascii="Verdana" w:hAnsi="Verdana"/>
          <w:i/>
          <w:noProof/>
          <w:sz w:val="16"/>
        </w:rPr>
        <w:t>*** Les chiffres forfaitaires exécutés pour l’agriculture ne sont pas disponibles.</w:t>
      </w:r>
    </w:p>
    <w:p>
      <w:pPr>
        <w:spacing w:after="0" w:line="240" w:lineRule="auto"/>
        <w:ind w:left="567" w:hanging="284"/>
        <w:rPr>
          <w:rFonts w:ascii="Verdana" w:eastAsia="Times New Roman" w:hAnsi="Verdana"/>
          <w:bCs/>
          <w:i/>
          <w:iCs/>
          <w:noProof/>
          <w:sz w:val="16"/>
          <w:szCs w:val="16"/>
        </w:rPr>
      </w:pPr>
      <w:r>
        <w:rPr>
          <w:rFonts w:ascii="Verdana" w:hAnsi="Verdana"/>
          <w:i/>
          <w:noProof/>
          <w:sz w:val="16"/>
        </w:rPr>
        <w:t>**** La ventilation des corrections forfaitaires est disponible uniquement pour le CFP 2007-2013.</w:t>
      </w:r>
    </w:p>
    <w:p>
      <w:pPr>
        <w:spacing w:after="0" w:line="240" w:lineRule="auto"/>
        <w:rPr>
          <w:rFonts w:ascii="Verdana" w:hAnsi="Verdana"/>
          <w:noProof/>
          <w:sz w:val="20"/>
          <w:szCs w:val="20"/>
        </w:rPr>
      </w:pPr>
    </w:p>
    <w:p>
      <w:pPr>
        <w:pStyle w:val="ManualHeading2"/>
        <w:rPr>
          <w:i/>
          <w:noProof/>
          <w:szCs w:val="22"/>
        </w:rPr>
      </w:pPr>
      <w:bookmarkStart w:id="139" w:name="_Toc456258180"/>
      <w:bookmarkStart w:id="140" w:name="_Toc461437505"/>
      <w:r>
        <w:t>3.</w:t>
      </w:r>
      <w:r>
        <w:tab/>
      </w:r>
      <w:r>
        <w:rPr>
          <w:noProof/>
        </w:rPr>
        <w:t>Ventilation des corrections financières à la source en 2015</w:t>
      </w:r>
      <w:bookmarkEnd w:id="139"/>
      <w:bookmarkEnd w:id="140"/>
    </w:p>
    <w:p>
      <w:pPr>
        <w:spacing w:after="240" w:line="240" w:lineRule="auto"/>
        <w:jc w:val="both"/>
        <w:rPr>
          <w:rFonts w:ascii="Verdana" w:hAnsi="Verdana"/>
          <w:i/>
          <w:noProof/>
          <w:sz w:val="20"/>
        </w:rPr>
      </w:pPr>
    </w:p>
    <w:tbl>
      <w:tblPr>
        <w:tblpPr w:leftFromText="180" w:rightFromText="180" w:vertAnchor="text" w:horzAnchor="page" w:tblpX="3148" w:tblpY="58"/>
        <w:tblW w:w="5958" w:type="dxa"/>
        <w:tblLayout w:type="fixed"/>
        <w:tblLook w:val="04A0" w:firstRow="1" w:lastRow="0" w:firstColumn="1" w:lastColumn="0" w:noHBand="0" w:noVBand="1"/>
      </w:tblPr>
      <w:tblGrid>
        <w:gridCol w:w="1674"/>
        <w:gridCol w:w="2142"/>
        <w:gridCol w:w="2142"/>
      </w:tblGrid>
      <w:tr>
        <w:trPr>
          <w:trHeight w:val="975"/>
        </w:trPr>
        <w:tc>
          <w:tcPr>
            <w:tcW w:w="1674" w:type="dxa"/>
            <w:tcBorders>
              <w:top w:val="single" w:sz="8" w:space="0" w:color="auto"/>
              <w:left w:val="single" w:sz="8" w:space="0" w:color="auto"/>
              <w:bottom w:val="single" w:sz="4"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État membre</w:t>
            </w:r>
          </w:p>
        </w:tc>
        <w:tc>
          <w:tcPr>
            <w:tcW w:w="2142" w:type="dxa"/>
            <w:tcBorders>
              <w:top w:val="single" w:sz="8" w:space="0" w:color="auto"/>
              <w:left w:val="single" w:sz="4" w:space="0" w:color="auto"/>
              <w:bottom w:val="single" w:sz="4" w:space="0" w:color="auto"/>
              <w:right w:val="single" w:sz="8" w:space="0" w:color="auto"/>
            </w:tcBorders>
            <w:shd w:val="clear" w:color="000000" w:fill="99CCFF"/>
            <w:vAlign w:val="center"/>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Corrections financières à la source confirmées en 2015 (en Mio EUR)</w:t>
            </w:r>
          </w:p>
        </w:tc>
        <w:tc>
          <w:tcPr>
            <w:tcW w:w="2142" w:type="dxa"/>
            <w:tcBorders>
              <w:top w:val="single" w:sz="8" w:space="0" w:color="auto"/>
              <w:left w:val="single" w:sz="4" w:space="0" w:color="auto"/>
              <w:bottom w:val="single" w:sz="4" w:space="0" w:color="auto"/>
              <w:right w:val="single" w:sz="8" w:space="0" w:color="auto"/>
            </w:tcBorders>
            <w:shd w:val="clear" w:color="000000" w:fill="99CCFF"/>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Corrections financières à la source exécutées en 2015 (en Mio EUR)</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Belgique</w:t>
            </w:r>
          </w:p>
        </w:tc>
        <w:tc>
          <w:tcPr>
            <w:tcW w:w="2142" w:type="dxa"/>
            <w:tcBorders>
              <w:top w:val="single" w:sz="4" w:space="0" w:color="auto"/>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2142" w:type="dxa"/>
            <w:tcBorders>
              <w:top w:val="single" w:sz="4" w:space="0" w:color="auto"/>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Bulgarie</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28</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Chypre</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République tchèque</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67</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Espagne</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7</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7</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Finlande</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France</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Royaume-Uni</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Grèce</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30</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Hongrie</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12</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126</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Irlande</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Italie</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Lettonie</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Pays-Bas</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Pologne</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56</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Portugal</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Roumanie</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423</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507</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Suède</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w:t>
            </w:r>
          </w:p>
        </w:tc>
      </w:tr>
      <w:tr>
        <w:trPr>
          <w:trHeight w:hRule="exact" w:val="228"/>
        </w:trPr>
        <w:tc>
          <w:tcPr>
            <w:tcW w:w="1674" w:type="dxa"/>
            <w:tcBorders>
              <w:left w:val="single" w:sz="4" w:space="0" w:color="auto"/>
              <w:right w:val="single" w:sz="4" w:space="0" w:color="auto"/>
            </w:tcBorders>
            <w:shd w:val="clear" w:color="auto" w:fill="auto"/>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Slovaquie</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w:t>
            </w:r>
          </w:p>
        </w:tc>
        <w:tc>
          <w:tcPr>
            <w:tcW w:w="2142" w:type="dxa"/>
            <w:tcBorders>
              <w:left w:val="single" w:sz="4" w:space="0" w:color="auto"/>
              <w:right w:val="single" w:sz="8" w:space="0" w:color="auto"/>
            </w:tcBorders>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w:t>
            </w:r>
          </w:p>
        </w:tc>
      </w:tr>
      <w:tr>
        <w:trPr>
          <w:trHeight w:hRule="exact" w:val="307"/>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Verdana" w:eastAsia="Times New Roman" w:hAnsi="Verdana"/>
                <w:b/>
                <w:noProof/>
                <w:color w:val="000000"/>
                <w:sz w:val="16"/>
                <w:szCs w:val="16"/>
              </w:rPr>
            </w:pPr>
            <w:r>
              <w:rPr>
                <w:rFonts w:ascii="Verdana" w:hAnsi="Verdana"/>
                <w:b/>
                <w:noProof/>
                <w:color w:val="000000"/>
                <w:sz w:val="16"/>
              </w:rPr>
              <w:t>TOTAL</w:t>
            </w:r>
          </w:p>
        </w:tc>
        <w:tc>
          <w:tcPr>
            <w:tcW w:w="2142" w:type="dxa"/>
            <w:tcBorders>
              <w:top w:val="single" w:sz="4" w:space="0" w:color="auto"/>
              <w:left w:val="single" w:sz="4" w:space="0" w:color="auto"/>
              <w:bottom w:val="single" w:sz="4" w:space="0" w:color="auto"/>
              <w:right w:val="single" w:sz="8" w:space="0" w:color="auto"/>
            </w:tcBorders>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524</w:t>
            </w:r>
          </w:p>
        </w:tc>
        <w:tc>
          <w:tcPr>
            <w:tcW w:w="2142" w:type="dxa"/>
            <w:tcBorders>
              <w:top w:val="single" w:sz="4" w:space="0" w:color="auto"/>
              <w:left w:val="single" w:sz="4" w:space="0" w:color="auto"/>
              <w:bottom w:val="single" w:sz="4" w:space="0" w:color="auto"/>
              <w:right w:val="single" w:sz="8" w:space="0" w:color="auto"/>
            </w:tcBorders>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788</w:t>
            </w:r>
          </w:p>
        </w:tc>
      </w:tr>
    </w:tbl>
    <w:p>
      <w:pPr>
        <w:rPr>
          <w:noProof/>
        </w:rPr>
      </w:pPr>
    </w:p>
    <w:p>
      <w:pPr>
        <w:rPr>
          <w:noProof/>
        </w:rPr>
      </w:pPr>
    </w:p>
    <w:p>
      <w:pPr>
        <w:rPr>
          <w:noProof/>
        </w:rPr>
      </w:pPr>
    </w:p>
    <w:p>
      <w:pPr>
        <w:rPr>
          <w:noProof/>
        </w:rPr>
      </w:pPr>
    </w:p>
    <w:p>
      <w:pPr>
        <w:rPr>
          <w:noProof/>
        </w:rPr>
      </w:pPr>
    </w:p>
    <w:p>
      <w:pPr>
        <w:rPr>
          <w:noProof/>
        </w:rPr>
      </w:pPr>
    </w:p>
    <w:p>
      <w:pPr>
        <w:spacing w:after="0" w:line="240" w:lineRule="auto"/>
        <w:rPr>
          <w:noProof/>
        </w:rPr>
      </w:pPr>
    </w:p>
    <w:p>
      <w:pPr>
        <w:spacing w:after="0" w:line="240" w:lineRule="auto"/>
        <w:rPr>
          <w:noProof/>
        </w:rPr>
      </w:pPr>
    </w:p>
    <w:p>
      <w:pPr>
        <w:spacing w:after="0" w:line="240" w:lineRule="auto"/>
        <w:rPr>
          <w:noProof/>
        </w:rPr>
      </w:pPr>
    </w:p>
    <w:p>
      <w:pPr>
        <w:spacing w:after="0" w:line="240" w:lineRule="auto"/>
        <w:rPr>
          <w:noProof/>
        </w:rPr>
      </w:pPr>
    </w:p>
    <w:p>
      <w:pPr>
        <w:spacing w:after="0" w:line="240" w:lineRule="auto"/>
        <w:rPr>
          <w:noProof/>
        </w:rPr>
      </w:pPr>
    </w:p>
    <w:p>
      <w:pPr>
        <w:spacing w:after="0" w:line="240" w:lineRule="auto"/>
        <w:rPr>
          <w:noProof/>
        </w:rPr>
      </w:pPr>
    </w:p>
    <w:p>
      <w:pPr>
        <w:spacing w:after="0" w:line="240" w:lineRule="auto"/>
        <w:rPr>
          <w:noProof/>
        </w:rPr>
      </w:pPr>
    </w:p>
    <w:p>
      <w:pPr>
        <w:spacing w:after="0" w:line="240" w:lineRule="auto"/>
        <w:rPr>
          <w:noProof/>
        </w:rPr>
      </w:pPr>
    </w:p>
    <w:p>
      <w:pPr>
        <w:spacing w:after="0" w:line="240" w:lineRule="auto"/>
        <w:rPr>
          <w:noProof/>
          <w:sz w:val="16"/>
          <w:szCs w:val="16"/>
        </w:rPr>
      </w:pPr>
    </w:p>
    <w:p>
      <w:pPr>
        <w:spacing w:after="0" w:line="240" w:lineRule="auto"/>
        <w:jc w:val="both"/>
        <w:rPr>
          <w:rFonts w:ascii="Verdana" w:hAnsi="Verdana"/>
          <w:noProof/>
          <w:sz w:val="20"/>
        </w:rPr>
      </w:pPr>
    </w:p>
    <w:p>
      <w:pPr>
        <w:spacing w:after="0" w:line="240" w:lineRule="auto"/>
        <w:rPr>
          <w:rFonts w:ascii="Verdana" w:hAnsi="Verdana"/>
          <w:b/>
          <w:noProof/>
        </w:rPr>
      </w:pPr>
    </w:p>
    <w:p>
      <w:pPr>
        <w:spacing w:after="0" w:line="240" w:lineRule="auto"/>
        <w:rPr>
          <w:rFonts w:ascii="Verdana" w:hAnsi="Verdana"/>
          <w:b/>
          <w:noProof/>
        </w:rPr>
      </w:pPr>
      <w:r>
        <w:rPr>
          <w:noProof/>
        </w:rPr>
        <w:br w:type="page"/>
      </w:r>
    </w:p>
    <w:p>
      <w:pPr>
        <w:pStyle w:val="ManualHeading2"/>
        <w:rPr>
          <w:i/>
          <w:noProof/>
          <w:szCs w:val="22"/>
        </w:rPr>
      </w:pPr>
      <w:bookmarkStart w:id="141" w:name="_Toc456258181"/>
      <w:bookmarkStart w:id="142" w:name="_Toc461437506"/>
      <w:r>
        <w:t>4.</w:t>
      </w:r>
      <w:r>
        <w:tab/>
      </w:r>
      <w:r>
        <w:rPr>
          <w:noProof/>
        </w:rPr>
        <w:t>Ventilation des corrections financières nettes en 2015</w:t>
      </w:r>
      <w:bookmarkEnd w:id="141"/>
      <w:bookmarkEnd w:id="142"/>
    </w:p>
    <w:tbl>
      <w:tblPr>
        <w:tblW w:w="9238" w:type="dxa"/>
        <w:tblInd w:w="-34" w:type="dxa"/>
        <w:tblLook w:val="04A0" w:firstRow="1" w:lastRow="0" w:firstColumn="1" w:lastColumn="0" w:noHBand="0" w:noVBand="1"/>
      </w:tblPr>
      <w:tblGrid>
        <w:gridCol w:w="3828"/>
        <w:gridCol w:w="1559"/>
        <w:gridCol w:w="1843"/>
        <w:gridCol w:w="2008"/>
      </w:tblGrid>
      <w:tr>
        <w:trPr>
          <w:trHeight w:val="600"/>
        </w:trPr>
        <w:tc>
          <w:tcPr>
            <w:tcW w:w="9238" w:type="dxa"/>
            <w:gridSpan w:val="4"/>
            <w:tcBorders>
              <w:top w:val="nil"/>
              <w:left w:val="nil"/>
              <w:bottom w:val="nil"/>
              <w:right w:val="nil"/>
            </w:tcBorders>
            <w:shd w:val="clear" w:color="auto" w:fill="auto"/>
            <w:noWrap/>
            <w:vAlign w:val="center"/>
            <w:hideMark/>
          </w:tcPr>
          <w:p>
            <w:pPr>
              <w:spacing w:after="0" w:line="240" w:lineRule="auto"/>
              <w:jc w:val="both"/>
              <w:rPr>
                <w:rFonts w:ascii="Verdana" w:eastAsia="Times New Roman" w:hAnsi="Verdana"/>
                <w:b/>
                <w:bCs/>
                <w:i/>
                <w:iCs/>
                <w:noProof/>
                <w:color w:val="000000"/>
                <w:sz w:val="20"/>
                <w:szCs w:val="20"/>
                <w:u w:val="single"/>
              </w:rPr>
            </w:pPr>
            <w:r>
              <w:rPr>
                <w:rFonts w:ascii="Verdana" w:hAnsi="Verdana"/>
                <w:b/>
                <w:i/>
                <w:noProof/>
                <w:color w:val="000000"/>
                <w:sz w:val="20"/>
                <w:u w:val="single"/>
              </w:rPr>
              <w:t>Confirmées</w:t>
            </w:r>
          </w:p>
        </w:tc>
      </w:tr>
      <w:tr>
        <w:trPr>
          <w:trHeight w:val="270"/>
        </w:trPr>
        <w:tc>
          <w:tcPr>
            <w:tcW w:w="9238" w:type="dxa"/>
            <w:gridSpan w:val="4"/>
            <w:tcBorders>
              <w:top w:val="nil"/>
              <w:left w:val="nil"/>
              <w:bottom w:val="single" w:sz="8" w:space="0" w:color="auto"/>
              <w:right w:val="nil"/>
            </w:tcBorders>
            <w:shd w:val="clear" w:color="auto" w:fill="auto"/>
            <w:noWrap/>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En Mio EUR</w:t>
            </w:r>
          </w:p>
        </w:tc>
      </w:tr>
      <w:tr>
        <w:trPr>
          <w:trHeight w:val="1275"/>
        </w:trPr>
        <w:tc>
          <w:tcPr>
            <w:tcW w:w="3828" w:type="dxa"/>
            <w:tcBorders>
              <w:top w:val="nil"/>
              <w:left w:val="single" w:sz="8" w:space="0" w:color="auto"/>
              <w:bottom w:val="single" w:sz="8" w:space="0" w:color="000000"/>
              <w:right w:val="single" w:sz="8" w:space="0" w:color="auto"/>
            </w:tcBorders>
            <w:shd w:val="clear" w:color="000000" w:fill="99CCFF"/>
            <w:noWrap/>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Rubrique du CFP</w:t>
            </w:r>
          </w:p>
        </w:tc>
        <w:tc>
          <w:tcPr>
            <w:tcW w:w="1559" w:type="dxa"/>
            <w:tcBorders>
              <w:top w:val="nil"/>
              <w:left w:val="nil"/>
              <w:bottom w:val="single" w:sz="8" w:space="0" w:color="auto"/>
              <w:right w:val="nil"/>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Corrections financières nettes confirmées en 2015</w:t>
            </w:r>
          </w:p>
        </w:tc>
        <w:tc>
          <w:tcPr>
            <w:tcW w:w="1843" w:type="dxa"/>
            <w:tcBorders>
              <w:top w:val="nil"/>
              <w:left w:val="single" w:sz="8" w:space="0" w:color="auto"/>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Corrections financières avec remplacement des dépenses et autres dépenses confirmées en 2015</w:t>
            </w:r>
          </w:p>
        </w:tc>
        <w:tc>
          <w:tcPr>
            <w:tcW w:w="2008" w:type="dxa"/>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 xml:space="preserve">Total des corrections financières </w:t>
            </w:r>
            <w:r>
              <w:rPr>
                <w:rFonts w:ascii="Verdana" w:hAnsi="Verdana"/>
                <w:b/>
                <w:noProof/>
                <w:color w:val="000000"/>
                <w:sz w:val="16"/>
                <w:u w:val="single"/>
              </w:rPr>
              <w:t>confirmées</w:t>
            </w:r>
            <w:r>
              <w:rPr>
                <w:rFonts w:ascii="Verdana" w:hAnsi="Verdana"/>
                <w:b/>
                <w:noProof/>
                <w:color w:val="000000"/>
                <w:sz w:val="16"/>
              </w:rPr>
              <w:t xml:space="preserve"> en 2015</w:t>
            </w:r>
          </w:p>
        </w:tc>
      </w:tr>
      <w:tr>
        <w:trPr>
          <w:trHeight w:val="383"/>
        </w:trPr>
        <w:tc>
          <w:tcPr>
            <w:tcW w:w="3828" w:type="dxa"/>
            <w:tcBorders>
              <w:top w:val="nil"/>
              <w:left w:val="single" w:sz="8" w:space="0" w:color="auto"/>
              <w:bottom w:val="single" w:sz="8" w:space="0" w:color="auto"/>
              <w:right w:val="single" w:sz="8" w:space="0" w:color="auto"/>
            </w:tcBorders>
            <w:shd w:val="clear" w:color="000000" w:fill="D9D9D9"/>
            <w:noWrap/>
            <w:vAlign w:val="center"/>
            <w:hideMark/>
          </w:tcPr>
          <w:p>
            <w:pPr>
              <w:spacing w:after="0" w:line="240" w:lineRule="auto"/>
              <w:jc w:val="both"/>
              <w:rPr>
                <w:rFonts w:ascii="Verdana" w:eastAsia="Times New Roman" w:hAnsi="Verdana"/>
                <w:b/>
                <w:bCs/>
                <w:i/>
                <w:iCs/>
                <w:noProof/>
                <w:color w:val="000000"/>
                <w:sz w:val="16"/>
                <w:szCs w:val="16"/>
              </w:rPr>
            </w:pPr>
            <w:r>
              <w:rPr>
                <w:rFonts w:ascii="Verdana" w:hAnsi="Verdana"/>
                <w:b/>
                <w:i/>
                <w:noProof/>
                <w:color w:val="000000"/>
                <w:sz w:val="16"/>
              </w:rPr>
              <w:t>Croissance intelligente et inclusive</w:t>
            </w:r>
          </w:p>
        </w:tc>
        <w:tc>
          <w:tcPr>
            <w:tcW w:w="1559" w:type="dxa"/>
            <w:tcBorders>
              <w:top w:val="nil"/>
              <w:left w:val="nil"/>
              <w:bottom w:val="single" w:sz="8" w:space="0" w:color="auto"/>
              <w:right w:val="nil"/>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(241)</w:t>
            </w:r>
          </w:p>
        </w:tc>
        <w:tc>
          <w:tcPr>
            <w:tcW w:w="1843" w:type="dxa"/>
            <w:tcBorders>
              <w:top w:val="nil"/>
              <w:left w:val="single" w:sz="8" w:space="0" w:color="auto"/>
              <w:bottom w:val="single" w:sz="8" w:space="0" w:color="auto"/>
              <w:right w:val="single" w:sz="8" w:space="0" w:color="auto"/>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1 878</w:t>
            </w:r>
          </w:p>
        </w:tc>
        <w:tc>
          <w:tcPr>
            <w:tcW w:w="2008" w:type="dxa"/>
            <w:tcBorders>
              <w:top w:val="nil"/>
              <w:left w:val="nil"/>
              <w:bottom w:val="single" w:sz="8" w:space="0" w:color="auto"/>
              <w:right w:val="single" w:sz="8" w:space="0" w:color="auto"/>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1 637</w:t>
            </w:r>
          </w:p>
        </w:tc>
      </w:tr>
      <w:tr>
        <w:trPr>
          <w:trHeight w:val="133"/>
        </w:trPr>
        <w:tc>
          <w:tcPr>
            <w:tcW w:w="3828" w:type="dxa"/>
            <w:tcBorders>
              <w:top w:val="nil"/>
              <w:left w:val="single" w:sz="8" w:space="0" w:color="auto"/>
              <w:bottom w:val="nil"/>
              <w:right w:val="single" w:sz="8" w:space="0" w:color="auto"/>
            </w:tcBorders>
            <w:shd w:val="clear" w:color="auto" w:fill="auto"/>
            <w:noWrap/>
            <w:vAlign w:val="center"/>
          </w:tcPr>
          <w:p>
            <w:pPr>
              <w:spacing w:after="0" w:line="240" w:lineRule="auto"/>
              <w:ind w:firstLine="318"/>
              <w:jc w:val="both"/>
              <w:rPr>
                <w:rFonts w:ascii="Verdana" w:eastAsia="Times New Roman" w:hAnsi="Verdana"/>
                <w:i/>
                <w:iCs/>
                <w:noProof/>
                <w:color w:val="000000"/>
                <w:sz w:val="16"/>
                <w:szCs w:val="16"/>
              </w:rPr>
            </w:pPr>
            <w:r>
              <w:rPr>
                <w:rFonts w:ascii="Verdana" w:hAnsi="Verdana"/>
                <w:i/>
                <w:noProof/>
                <w:color w:val="000000"/>
                <w:sz w:val="16"/>
              </w:rPr>
              <w:t>FEDER</w:t>
            </w:r>
          </w:p>
        </w:tc>
        <w:tc>
          <w:tcPr>
            <w:tcW w:w="1559" w:type="dxa"/>
            <w:tcBorders>
              <w:top w:val="nil"/>
              <w:left w:val="nil"/>
              <w:bottom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127</w:t>
            </w:r>
          </w:p>
        </w:tc>
        <w:tc>
          <w:tcPr>
            <w:tcW w:w="1843"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1 157</w:t>
            </w:r>
          </w:p>
        </w:tc>
        <w:tc>
          <w:tcPr>
            <w:tcW w:w="2008" w:type="dxa"/>
            <w:tcBorders>
              <w:top w:val="nil"/>
              <w:left w:val="nil"/>
              <w:bottom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1 283</w:t>
            </w:r>
          </w:p>
        </w:tc>
      </w:tr>
      <w:tr>
        <w:trPr>
          <w:trHeight w:val="133"/>
        </w:trPr>
        <w:tc>
          <w:tcPr>
            <w:tcW w:w="3828" w:type="dxa"/>
            <w:tcBorders>
              <w:top w:val="nil"/>
              <w:left w:val="single" w:sz="8" w:space="0" w:color="auto"/>
              <w:right w:val="single" w:sz="8" w:space="0" w:color="auto"/>
            </w:tcBorders>
            <w:shd w:val="clear" w:color="auto" w:fill="auto"/>
            <w:noWrap/>
            <w:vAlign w:val="center"/>
          </w:tcPr>
          <w:p>
            <w:pPr>
              <w:spacing w:after="0" w:line="240" w:lineRule="auto"/>
              <w:ind w:firstLine="318"/>
              <w:jc w:val="both"/>
              <w:rPr>
                <w:rFonts w:ascii="Verdana" w:eastAsia="Times New Roman" w:hAnsi="Verdana"/>
                <w:i/>
                <w:iCs/>
                <w:noProof/>
                <w:color w:val="000000"/>
                <w:sz w:val="16"/>
                <w:szCs w:val="16"/>
              </w:rPr>
            </w:pPr>
            <w:r>
              <w:rPr>
                <w:rFonts w:ascii="Verdana" w:hAnsi="Verdana"/>
                <w:i/>
                <w:noProof/>
                <w:color w:val="000000"/>
                <w:sz w:val="16"/>
              </w:rPr>
              <w:t>Arrêts de la Cour de justice</w:t>
            </w:r>
          </w:p>
        </w:tc>
        <w:tc>
          <w:tcPr>
            <w:tcW w:w="1559" w:type="dxa"/>
            <w:tcBorders>
              <w:top w:val="nil"/>
              <w:left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(457)</w:t>
            </w:r>
          </w:p>
        </w:tc>
        <w:tc>
          <w:tcPr>
            <w:tcW w:w="1843" w:type="dxa"/>
            <w:tcBorders>
              <w:top w:val="nil"/>
              <w:left w:val="single" w:sz="8" w:space="0" w:color="auto"/>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2008" w:type="dxa"/>
            <w:tcBorders>
              <w:top w:val="nil"/>
              <w:left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(457)</w:t>
            </w:r>
          </w:p>
        </w:tc>
      </w:tr>
      <w:tr>
        <w:trPr>
          <w:trHeight w:val="133"/>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FEDER Total</w:t>
            </w:r>
          </w:p>
        </w:tc>
        <w:tc>
          <w:tcPr>
            <w:tcW w:w="1559" w:type="dxa"/>
            <w:tcBorders>
              <w:top w:val="nil"/>
              <w:left w:val="nil"/>
              <w:bottom w:val="single" w:sz="8" w:space="0" w:color="auto"/>
              <w:right w:val="nil"/>
            </w:tcBorders>
            <w:shd w:val="clear" w:color="auto" w:fill="auto"/>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(330)</w:t>
            </w:r>
          </w:p>
        </w:tc>
        <w:tc>
          <w:tcPr>
            <w:tcW w:w="1843" w:type="dxa"/>
            <w:tcBorders>
              <w:top w:val="nil"/>
              <w:left w:val="single" w:sz="8" w:space="0" w:color="auto"/>
              <w:bottom w:val="single" w:sz="8" w:space="0" w:color="auto"/>
              <w:right w:val="single" w:sz="8" w:space="0" w:color="auto"/>
            </w:tcBorders>
            <w:shd w:val="clear" w:color="auto" w:fill="auto"/>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1 157</w:t>
            </w:r>
          </w:p>
        </w:tc>
        <w:tc>
          <w:tcPr>
            <w:tcW w:w="2008" w:type="dxa"/>
            <w:tcBorders>
              <w:top w:val="nil"/>
              <w:left w:val="nil"/>
              <w:bottom w:val="single" w:sz="8" w:space="0" w:color="auto"/>
              <w:right w:val="single" w:sz="8" w:space="0" w:color="auto"/>
            </w:tcBorders>
            <w:shd w:val="clear" w:color="000000" w:fill="C6D9F1"/>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826</w:t>
            </w:r>
          </w:p>
        </w:tc>
      </w:tr>
      <w:tr>
        <w:trPr>
          <w:trHeight w:val="85"/>
        </w:trPr>
        <w:tc>
          <w:tcPr>
            <w:tcW w:w="3828" w:type="dxa"/>
            <w:tcBorders>
              <w:top w:val="single" w:sz="8" w:space="0" w:color="auto"/>
              <w:left w:val="single" w:sz="8" w:space="0" w:color="auto"/>
              <w:bottom w:val="nil"/>
              <w:right w:val="single" w:sz="8" w:space="0" w:color="auto"/>
            </w:tcBorders>
            <w:shd w:val="clear" w:color="auto" w:fill="auto"/>
            <w:noWrap/>
            <w:vAlign w:val="center"/>
          </w:tcPr>
          <w:p>
            <w:pPr>
              <w:spacing w:after="0" w:line="240" w:lineRule="auto"/>
              <w:ind w:firstLine="318"/>
              <w:jc w:val="both"/>
              <w:rPr>
                <w:rFonts w:ascii="Verdana" w:eastAsia="Times New Roman" w:hAnsi="Verdana"/>
                <w:i/>
                <w:iCs/>
                <w:noProof/>
                <w:color w:val="000000"/>
                <w:sz w:val="16"/>
                <w:szCs w:val="16"/>
              </w:rPr>
            </w:pPr>
            <w:r>
              <w:rPr>
                <w:rFonts w:ascii="Verdana" w:hAnsi="Verdana"/>
                <w:i/>
                <w:noProof/>
                <w:color w:val="000000"/>
                <w:sz w:val="16"/>
              </w:rPr>
              <w:t>Fonds de cohésion</w:t>
            </w:r>
          </w:p>
        </w:tc>
        <w:tc>
          <w:tcPr>
            <w:tcW w:w="1559" w:type="dxa"/>
            <w:tcBorders>
              <w:top w:val="single" w:sz="8" w:space="0" w:color="auto"/>
              <w:left w:val="nil"/>
              <w:bottom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26</w:t>
            </w:r>
          </w:p>
        </w:tc>
        <w:tc>
          <w:tcPr>
            <w:tcW w:w="1843" w:type="dxa"/>
            <w:tcBorders>
              <w:top w:val="single" w:sz="8" w:space="0" w:color="auto"/>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446</w:t>
            </w:r>
          </w:p>
        </w:tc>
        <w:tc>
          <w:tcPr>
            <w:tcW w:w="2008" w:type="dxa"/>
            <w:tcBorders>
              <w:top w:val="single" w:sz="8" w:space="0" w:color="auto"/>
              <w:left w:val="nil"/>
              <w:bottom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472</w:t>
            </w:r>
          </w:p>
        </w:tc>
      </w:tr>
      <w:tr>
        <w:trPr>
          <w:trHeight w:val="85"/>
        </w:trPr>
        <w:tc>
          <w:tcPr>
            <w:tcW w:w="3828" w:type="dxa"/>
            <w:tcBorders>
              <w:top w:val="nil"/>
              <w:left w:val="single" w:sz="8" w:space="0" w:color="auto"/>
              <w:right w:val="single" w:sz="8" w:space="0" w:color="auto"/>
            </w:tcBorders>
            <w:shd w:val="clear" w:color="auto" w:fill="auto"/>
            <w:noWrap/>
            <w:vAlign w:val="center"/>
          </w:tcPr>
          <w:p>
            <w:pPr>
              <w:spacing w:after="0" w:line="240" w:lineRule="auto"/>
              <w:ind w:firstLine="318"/>
              <w:jc w:val="both"/>
              <w:rPr>
                <w:rFonts w:ascii="Verdana" w:eastAsia="Times New Roman" w:hAnsi="Verdana"/>
                <w:i/>
                <w:iCs/>
                <w:noProof/>
                <w:color w:val="000000"/>
                <w:sz w:val="16"/>
                <w:szCs w:val="16"/>
              </w:rPr>
            </w:pPr>
            <w:r>
              <w:rPr>
                <w:rFonts w:ascii="Verdana" w:hAnsi="Verdana"/>
                <w:i/>
                <w:noProof/>
                <w:color w:val="000000"/>
                <w:sz w:val="16"/>
              </w:rPr>
              <w:t>Arrêts de la Cour de justice</w:t>
            </w:r>
          </w:p>
        </w:tc>
        <w:tc>
          <w:tcPr>
            <w:tcW w:w="1559" w:type="dxa"/>
            <w:tcBorders>
              <w:top w:val="nil"/>
              <w:left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(9)</w:t>
            </w:r>
          </w:p>
        </w:tc>
        <w:tc>
          <w:tcPr>
            <w:tcW w:w="1843" w:type="dxa"/>
            <w:tcBorders>
              <w:top w:val="nil"/>
              <w:left w:val="single" w:sz="8" w:space="0" w:color="auto"/>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2008" w:type="dxa"/>
            <w:tcBorders>
              <w:top w:val="nil"/>
              <w:left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(9)</w:t>
            </w:r>
          </w:p>
        </w:tc>
      </w:tr>
      <w:tr>
        <w:trPr>
          <w:trHeight w:val="85"/>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Fonds de cohésion Total</w:t>
            </w:r>
          </w:p>
        </w:tc>
        <w:tc>
          <w:tcPr>
            <w:tcW w:w="1559" w:type="dxa"/>
            <w:tcBorders>
              <w:top w:val="nil"/>
              <w:left w:val="nil"/>
              <w:bottom w:val="single" w:sz="8" w:space="0" w:color="auto"/>
              <w:right w:val="nil"/>
            </w:tcBorders>
            <w:shd w:val="clear" w:color="auto" w:fill="auto"/>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17</w:t>
            </w:r>
          </w:p>
        </w:tc>
        <w:tc>
          <w:tcPr>
            <w:tcW w:w="1843" w:type="dxa"/>
            <w:tcBorders>
              <w:top w:val="nil"/>
              <w:left w:val="single" w:sz="8" w:space="0" w:color="auto"/>
              <w:bottom w:val="single" w:sz="8" w:space="0" w:color="auto"/>
              <w:right w:val="single" w:sz="8" w:space="0" w:color="auto"/>
            </w:tcBorders>
            <w:shd w:val="clear" w:color="auto" w:fill="auto"/>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446</w:t>
            </w:r>
          </w:p>
        </w:tc>
        <w:tc>
          <w:tcPr>
            <w:tcW w:w="2008" w:type="dxa"/>
            <w:tcBorders>
              <w:top w:val="nil"/>
              <w:left w:val="nil"/>
              <w:bottom w:val="single" w:sz="8" w:space="0" w:color="auto"/>
              <w:right w:val="single" w:sz="8" w:space="0" w:color="auto"/>
            </w:tcBorders>
            <w:shd w:val="clear" w:color="000000" w:fill="C6D9F1"/>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462</w:t>
            </w:r>
          </w:p>
        </w:tc>
      </w:tr>
      <w:tr>
        <w:trPr>
          <w:trHeight w:val="159"/>
        </w:trPr>
        <w:tc>
          <w:tcPr>
            <w:tcW w:w="3828" w:type="dxa"/>
            <w:tcBorders>
              <w:top w:val="single" w:sz="8" w:space="0" w:color="auto"/>
              <w:left w:val="single" w:sz="8" w:space="0" w:color="auto"/>
              <w:bottom w:val="nil"/>
              <w:right w:val="single" w:sz="8" w:space="0" w:color="auto"/>
            </w:tcBorders>
            <w:shd w:val="clear" w:color="auto" w:fill="auto"/>
            <w:noWrap/>
            <w:vAlign w:val="center"/>
            <w:hideMark/>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FSE</w:t>
            </w:r>
          </w:p>
        </w:tc>
        <w:tc>
          <w:tcPr>
            <w:tcW w:w="1559" w:type="dxa"/>
            <w:tcBorders>
              <w:top w:val="single" w:sz="8" w:space="0" w:color="auto"/>
              <w:left w:val="nil"/>
              <w:bottom w:val="nil"/>
              <w:right w:val="nil"/>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73</w:t>
            </w:r>
          </w:p>
        </w:tc>
        <w:tc>
          <w:tcPr>
            <w:tcW w:w="1843" w:type="dxa"/>
            <w:tcBorders>
              <w:top w:val="single" w:sz="8" w:space="0" w:color="auto"/>
              <w:left w:val="single" w:sz="8" w:space="0" w:color="auto"/>
              <w:bottom w:val="single" w:sz="8" w:space="0" w:color="auto"/>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276</w:t>
            </w:r>
          </w:p>
        </w:tc>
        <w:tc>
          <w:tcPr>
            <w:tcW w:w="2008" w:type="dxa"/>
            <w:tcBorders>
              <w:top w:val="single" w:sz="8" w:space="0" w:color="auto"/>
              <w:left w:val="nil"/>
              <w:bottom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348</w:t>
            </w:r>
          </w:p>
        </w:tc>
      </w:tr>
      <w:tr>
        <w:trPr>
          <w:trHeight w:val="469"/>
        </w:trPr>
        <w:tc>
          <w:tcPr>
            <w:tcW w:w="3828"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pPr>
              <w:spacing w:after="0" w:line="240" w:lineRule="auto"/>
              <w:jc w:val="both"/>
              <w:rPr>
                <w:rFonts w:ascii="Verdana" w:eastAsia="Times New Roman" w:hAnsi="Verdana"/>
                <w:b/>
                <w:bCs/>
                <w:i/>
                <w:iCs/>
                <w:noProof/>
                <w:color w:val="000000"/>
                <w:sz w:val="16"/>
                <w:szCs w:val="16"/>
              </w:rPr>
            </w:pPr>
            <w:r>
              <w:rPr>
                <w:rFonts w:ascii="Verdana" w:hAnsi="Verdana"/>
                <w:b/>
                <w:i/>
                <w:noProof/>
                <w:color w:val="000000"/>
                <w:sz w:val="16"/>
              </w:rPr>
              <w:t>Croissance durable: ressources naturelles</w:t>
            </w:r>
          </w:p>
        </w:tc>
        <w:tc>
          <w:tcPr>
            <w:tcW w:w="1559" w:type="dxa"/>
            <w:tcBorders>
              <w:top w:val="single" w:sz="8" w:space="0" w:color="auto"/>
              <w:left w:val="nil"/>
              <w:bottom w:val="single" w:sz="8" w:space="0" w:color="auto"/>
              <w:right w:val="single" w:sz="8" w:space="0" w:color="auto"/>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1 063</w:t>
            </w:r>
          </w:p>
        </w:tc>
        <w:tc>
          <w:tcPr>
            <w:tcW w:w="1843" w:type="dxa"/>
            <w:tcBorders>
              <w:top w:val="nil"/>
              <w:left w:val="nil"/>
              <w:bottom w:val="single" w:sz="8" w:space="0" w:color="auto"/>
              <w:right w:val="single" w:sz="8" w:space="0" w:color="auto"/>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9</w:t>
            </w:r>
          </w:p>
        </w:tc>
        <w:tc>
          <w:tcPr>
            <w:tcW w:w="2008" w:type="dxa"/>
            <w:tcBorders>
              <w:top w:val="single" w:sz="8" w:space="0" w:color="auto"/>
              <w:left w:val="nil"/>
              <w:bottom w:val="single" w:sz="8" w:space="0" w:color="auto"/>
              <w:right w:val="single" w:sz="8" w:space="0" w:color="auto"/>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1 072</w:t>
            </w:r>
          </w:p>
        </w:tc>
      </w:tr>
      <w:tr>
        <w:trPr>
          <w:trHeight w:val="121"/>
        </w:trPr>
        <w:tc>
          <w:tcPr>
            <w:tcW w:w="3828" w:type="dxa"/>
            <w:tcBorders>
              <w:top w:val="nil"/>
              <w:left w:val="single" w:sz="8" w:space="0" w:color="auto"/>
              <w:bottom w:val="nil"/>
              <w:right w:val="single" w:sz="8" w:space="0" w:color="auto"/>
            </w:tcBorders>
            <w:shd w:val="clear" w:color="auto" w:fill="auto"/>
            <w:noWrap/>
            <w:vAlign w:val="center"/>
            <w:hideMark/>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FEAGA</w:t>
            </w:r>
          </w:p>
        </w:tc>
        <w:tc>
          <w:tcPr>
            <w:tcW w:w="1559" w:type="dxa"/>
            <w:tcBorders>
              <w:top w:val="nil"/>
              <w:left w:val="nil"/>
              <w:bottom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918</w:t>
            </w:r>
          </w:p>
        </w:tc>
        <w:tc>
          <w:tcPr>
            <w:tcW w:w="1843"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bCs/>
                <w:noProof/>
                <w:color w:val="000000"/>
                <w:sz w:val="16"/>
                <w:szCs w:val="16"/>
              </w:rPr>
            </w:pPr>
            <w:r>
              <w:rPr>
                <w:rFonts w:ascii="Verdana" w:hAnsi="Verdana"/>
                <w:noProof/>
                <w:color w:val="000000"/>
                <w:sz w:val="16"/>
              </w:rPr>
              <w:t>4</w:t>
            </w:r>
          </w:p>
        </w:tc>
        <w:tc>
          <w:tcPr>
            <w:tcW w:w="2008" w:type="dxa"/>
            <w:tcBorders>
              <w:top w:val="nil"/>
              <w:left w:val="nil"/>
              <w:bottom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922</w:t>
            </w:r>
          </w:p>
        </w:tc>
      </w:tr>
      <w:tr>
        <w:trPr>
          <w:trHeight w:val="215"/>
        </w:trPr>
        <w:tc>
          <w:tcPr>
            <w:tcW w:w="3828" w:type="dxa"/>
            <w:tcBorders>
              <w:top w:val="nil"/>
              <w:left w:val="single" w:sz="8" w:space="0" w:color="auto"/>
              <w:bottom w:val="nil"/>
              <w:right w:val="single" w:sz="8" w:space="0" w:color="auto"/>
            </w:tcBorders>
            <w:shd w:val="clear" w:color="auto" w:fill="auto"/>
            <w:noWrap/>
            <w:vAlign w:val="center"/>
            <w:hideMark/>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Développement rural</w:t>
            </w:r>
          </w:p>
        </w:tc>
        <w:tc>
          <w:tcPr>
            <w:tcW w:w="1559" w:type="dxa"/>
            <w:tcBorders>
              <w:top w:val="nil"/>
              <w:left w:val="nil"/>
              <w:bottom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46</w:t>
            </w:r>
          </w:p>
        </w:tc>
        <w:tc>
          <w:tcPr>
            <w:tcW w:w="1843"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w:t>
            </w:r>
          </w:p>
        </w:tc>
        <w:tc>
          <w:tcPr>
            <w:tcW w:w="2008" w:type="dxa"/>
            <w:tcBorders>
              <w:top w:val="nil"/>
              <w:left w:val="nil"/>
              <w:bottom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46</w:t>
            </w:r>
          </w:p>
        </w:tc>
      </w:tr>
      <w:tr>
        <w:trPr>
          <w:trHeight w:val="147"/>
        </w:trPr>
        <w:tc>
          <w:tcPr>
            <w:tcW w:w="3828" w:type="dxa"/>
            <w:tcBorders>
              <w:top w:val="nil"/>
              <w:left w:val="single" w:sz="8" w:space="0" w:color="auto"/>
              <w:bottom w:val="nil"/>
              <w:right w:val="single" w:sz="8" w:space="0" w:color="auto"/>
            </w:tcBorders>
            <w:shd w:val="clear" w:color="auto" w:fill="auto"/>
            <w:noWrap/>
            <w:vAlign w:val="center"/>
            <w:hideMark/>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IFOP/FEP</w:t>
            </w:r>
          </w:p>
        </w:tc>
        <w:tc>
          <w:tcPr>
            <w:tcW w:w="1559" w:type="dxa"/>
            <w:tcBorders>
              <w:top w:val="nil"/>
              <w:left w:val="nil"/>
              <w:bottom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w:t>
            </w:r>
          </w:p>
        </w:tc>
        <w:tc>
          <w:tcPr>
            <w:tcW w:w="1843"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w:t>
            </w:r>
          </w:p>
        </w:tc>
        <w:tc>
          <w:tcPr>
            <w:tcW w:w="2008" w:type="dxa"/>
            <w:tcBorders>
              <w:top w:val="nil"/>
              <w:left w:val="nil"/>
              <w:bottom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6</w:t>
            </w:r>
          </w:p>
        </w:tc>
      </w:tr>
      <w:tr>
        <w:trPr>
          <w:trHeight w:val="79"/>
        </w:trPr>
        <w:tc>
          <w:tcPr>
            <w:tcW w:w="3828" w:type="dxa"/>
            <w:tcBorders>
              <w:top w:val="nil"/>
              <w:left w:val="single" w:sz="8" w:space="0" w:color="auto"/>
              <w:bottom w:val="nil"/>
              <w:right w:val="single" w:sz="8" w:space="0" w:color="auto"/>
            </w:tcBorders>
            <w:shd w:val="clear" w:color="auto" w:fill="auto"/>
            <w:noWrap/>
            <w:vAlign w:val="center"/>
            <w:hideMark/>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FEOGA-Orientation</w:t>
            </w:r>
          </w:p>
        </w:tc>
        <w:tc>
          <w:tcPr>
            <w:tcW w:w="1559" w:type="dxa"/>
            <w:tcBorders>
              <w:top w:val="nil"/>
              <w:left w:val="nil"/>
              <w:bottom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97</w:t>
            </w:r>
          </w:p>
        </w:tc>
        <w:tc>
          <w:tcPr>
            <w:tcW w:w="1843"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w:t>
            </w:r>
          </w:p>
        </w:tc>
        <w:tc>
          <w:tcPr>
            <w:tcW w:w="2008" w:type="dxa"/>
            <w:tcBorders>
              <w:top w:val="nil"/>
              <w:left w:val="nil"/>
              <w:bottom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97</w:t>
            </w:r>
          </w:p>
        </w:tc>
      </w:tr>
      <w:tr>
        <w:trPr>
          <w:trHeight w:val="270"/>
        </w:trPr>
        <w:tc>
          <w:tcPr>
            <w:tcW w:w="3828"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pPr>
              <w:spacing w:after="0" w:line="240" w:lineRule="auto"/>
              <w:rPr>
                <w:rFonts w:ascii="Verdana" w:eastAsia="Times New Roman" w:hAnsi="Verdana"/>
                <w:b/>
                <w:bCs/>
                <w:i/>
                <w:iCs/>
                <w:noProof/>
                <w:color w:val="000000"/>
                <w:sz w:val="16"/>
                <w:szCs w:val="16"/>
              </w:rPr>
            </w:pPr>
            <w:r>
              <w:rPr>
                <w:rFonts w:ascii="Verdana" w:hAnsi="Verdana"/>
                <w:b/>
                <w:i/>
                <w:noProof/>
                <w:color w:val="000000"/>
                <w:sz w:val="16"/>
              </w:rPr>
              <w:t>Sécurité et citoyenneté</w:t>
            </w:r>
          </w:p>
        </w:tc>
        <w:tc>
          <w:tcPr>
            <w:tcW w:w="1559" w:type="dxa"/>
            <w:tcBorders>
              <w:top w:val="single" w:sz="8" w:space="0" w:color="auto"/>
              <w:left w:val="nil"/>
              <w:bottom w:val="single" w:sz="8" w:space="0" w:color="auto"/>
              <w:right w:val="nil"/>
            </w:tcBorders>
            <w:shd w:val="clear" w:color="000000" w:fill="D9D9D9"/>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9</w:t>
            </w:r>
          </w:p>
        </w:tc>
        <w:tc>
          <w:tcPr>
            <w:tcW w:w="1843" w:type="dxa"/>
            <w:tcBorders>
              <w:top w:val="single" w:sz="8" w:space="0" w:color="auto"/>
              <w:left w:val="single" w:sz="8" w:space="0" w:color="auto"/>
              <w:bottom w:val="single" w:sz="8" w:space="0" w:color="auto"/>
              <w:right w:val="single" w:sz="8" w:space="0" w:color="auto"/>
            </w:tcBorders>
            <w:shd w:val="clear" w:color="000000" w:fill="D9D9D9"/>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15</w:t>
            </w:r>
          </w:p>
        </w:tc>
        <w:tc>
          <w:tcPr>
            <w:tcW w:w="2008" w:type="dxa"/>
            <w:tcBorders>
              <w:top w:val="single" w:sz="8" w:space="0" w:color="auto"/>
              <w:left w:val="single" w:sz="8" w:space="0" w:color="auto"/>
              <w:bottom w:val="single" w:sz="8" w:space="0" w:color="auto"/>
              <w:right w:val="single" w:sz="8" w:space="0" w:color="auto"/>
            </w:tcBorders>
            <w:shd w:val="clear" w:color="000000" w:fill="D9D9D9"/>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23</w:t>
            </w:r>
          </w:p>
        </w:tc>
      </w:tr>
      <w:tr>
        <w:trPr>
          <w:trHeight w:val="270"/>
        </w:trPr>
        <w:tc>
          <w:tcPr>
            <w:tcW w:w="3828" w:type="dxa"/>
            <w:tcBorders>
              <w:top w:val="nil"/>
              <w:left w:val="single" w:sz="8" w:space="0" w:color="auto"/>
              <w:bottom w:val="single" w:sz="8" w:space="0" w:color="auto"/>
              <w:right w:val="single" w:sz="8" w:space="0" w:color="auto"/>
            </w:tcBorders>
            <w:shd w:val="clear" w:color="auto" w:fill="auto"/>
            <w:noWrap/>
            <w:vAlign w:val="center"/>
          </w:tcPr>
          <w:p>
            <w:pPr>
              <w:spacing w:after="0" w:line="240" w:lineRule="auto"/>
              <w:rPr>
                <w:rFonts w:ascii="Verdana" w:eastAsia="Times New Roman" w:hAnsi="Verdana"/>
                <w:i/>
                <w:noProof/>
                <w:color w:val="000000"/>
                <w:sz w:val="16"/>
                <w:szCs w:val="16"/>
              </w:rPr>
            </w:pPr>
            <w:r>
              <w:rPr>
                <w:rFonts w:ascii="Verdana" w:hAnsi="Verdana"/>
                <w:i/>
                <w:noProof/>
                <w:color w:val="000000"/>
                <w:sz w:val="16"/>
              </w:rPr>
              <w:t>Migration et affaires intérieures</w:t>
            </w:r>
          </w:p>
        </w:tc>
        <w:tc>
          <w:tcPr>
            <w:tcW w:w="1559" w:type="dxa"/>
            <w:tcBorders>
              <w:top w:val="nil"/>
              <w:left w:val="nil"/>
              <w:bottom w:val="nil"/>
              <w:right w:val="nil"/>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9</w:t>
            </w:r>
          </w:p>
        </w:tc>
        <w:tc>
          <w:tcPr>
            <w:tcW w:w="1843" w:type="dxa"/>
            <w:tcBorders>
              <w:top w:val="nil"/>
              <w:left w:val="single" w:sz="8" w:space="0" w:color="auto"/>
              <w:bottom w:val="nil"/>
              <w:right w:val="single" w:sz="8" w:space="0" w:color="auto"/>
            </w:tcBorders>
            <w:shd w:val="clear" w:color="000000" w:fill="FFFFFF"/>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15</w:t>
            </w:r>
          </w:p>
        </w:tc>
        <w:tc>
          <w:tcPr>
            <w:tcW w:w="2008" w:type="dxa"/>
            <w:tcBorders>
              <w:top w:val="nil"/>
              <w:left w:val="nil"/>
              <w:bottom w:val="nil"/>
              <w:right w:val="single" w:sz="8" w:space="0" w:color="auto"/>
            </w:tcBorders>
            <w:shd w:val="clear" w:color="000000" w:fill="C6D9F1"/>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23</w:t>
            </w:r>
          </w:p>
        </w:tc>
      </w:tr>
      <w:tr>
        <w:trPr>
          <w:trHeight w:val="270"/>
        </w:trPr>
        <w:tc>
          <w:tcPr>
            <w:tcW w:w="3828" w:type="dxa"/>
            <w:tcBorders>
              <w:top w:val="nil"/>
              <w:left w:val="single" w:sz="8" w:space="0" w:color="auto"/>
              <w:bottom w:val="single" w:sz="8" w:space="0" w:color="auto"/>
              <w:right w:val="single" w:sz="8" w:space="0" w:color="auto"/>
            </w:tcBorders>
            <w:shd w:val="clear" w:color="000000" w:fill="D9D9D9"/>
            <w:noWrap/>
            <w:vAlign w:val="center"/>
            <w:hideMark/>
          </w:tcPr>
          <w:p>
            <w:pPr>
              <w:spacing w:after="0" w:line="240" w:lineRule="auto"/>
              <w:rPr>
                <w:rFonts w:ascii="Verdana" w:eastAsia="Times New Roman" w:hAnsi="Verdana"/>
                <w:b/>
                <w:bCs/>
                <w:noProof/>
                <w:color w:val="000000"/>
                <w:sz w:val="16"/>
                <w:szCs w:val="16"/>
              </w:rPr>
            </w:pPr>
            <w:r>
              <w:rPr>
                <w:rFonts w:ascii="Verdana" w:hAnsi="Verdana"/>
                <w:b/>
                <w:noProof/>
                <w:color w:val="000000"/>
                <w:sz w:val="16"/>
              </w:rPr>
              <w:t>TOTAL</w:t>
            </w:r>
          </w:p>
        </w:tc>
        <w:tc>
          <w:tcPr>
            <w:tcW w:w="1559" w:type="dxa"/>
            <w:tcBorders>
              <w:top w:val="single" w:sz="8" w:space="0" w:color="auto"/>
              <w:left w:val="nil"/>
              <w:bottom w:val="single" w:sz="8" w:space="0" w:color="auto"/>
              <w:right w:val="single" w:sz="8" w:space="0" w:color="auto"/>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831</w:t>
            </w:r>
          </w:p>
        </w:tc>
        <w:tc>
          <w:tcPr>
            <w:tcW w:w="1843" w:type="dxa"/>
            <w:tcBorders>
              <w:top w:val="single" w:sz="8" w:space="0" w:color="auto"/>
              <w:left w:val="nil"/>
              <w:bottom w:val="single" w:sz="8" w:space="0" w:color="auto"/>
              <w:right w:val="single" w:sz="8" w:space="0" w:color="auto"/>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1 901</w:t>
            </w:r>
          </w:p>
        </w:tc>
        <w:tc>
          <w:tcPr>
            <w:tcW w:w="2008" w:type="dxa"/>
            <w:tcBorders>
              <w:top w:val="single" w:sz="8" w:space="0" w:color="auto"/>
              <w:left w:val="nil"/>
              <w:bottom w:val="single" w:sz="8" w:space="0" w:color="auto"/>
              <w:right w:val="single" w:sz="8" w:space="0" w:color="auto"/>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2 732</w:t>
            </w:r>
          </w:p>
        </w:tc>
      </w:tr>
    </w:tbl>
    <w:p>
      <w:pPr>
        <w:spacing w:after="120" w:line="240" w:lineRule="auto"/>
        <w:jc w:val="both"/>
        <w:rPr>
          <w:rFonts w:ascii="Verdana" w:hAnsi="Verdana"/>
          <w:i/>
          <w:noProof/>
          <w:sz w:val="16"/>
          <w:szCs w:val="16"/>
        </w:rPr>
      </w:pPr>
      <w:r>
        <w:rPr>
          <w:rFonts w:ascii="Verdana" w:hAnsi="Verdana"/>
          <w:i/>
          <w:noProof/>
          <w:sz w:val="16"/>
        </w:rPr>
        <w:t>Au total, 549 millions d’EUR doivent encore être classés et sont considérés dans ce tableau comme des corrections non nettes.</w:t>
      </w:r>
    </w:p>
    <w:tbl>
      <w:tblPr>
        <w:tblW w:w="9356" w:type="dxa"/>
        <w:tblInd w:w="108" w:type="dxa"/>
        <w:tblLook w:val="04A0" w:firstRow="1" w:lastRow="0" w:firstColumn="1" w:lastColumn="0" w:noHBand="0" w:noVBand="1"/>
      </w:tblPr>
      <w:tblGrid>
        <w:gridCol w:w="3686"/>
        <w:gridCol w:w="1559"/>
        <w:gridCol w:w="1843"/>
        <w:gridCol w:w="2268"/>
      </w:tblGrid>
      <w:tr>
        <w:trPr>
          <w:trHeight w:val="600"/>
        </w:trPr>
        <w:tc>
          <w:tcPr>
            <w:tcW w:w="9356" w:type="dxa"/>
            <w:gridSpan w:val="4"/>
            <w:tcBorders>
              <w:top w:val="nil"/>
              <w:left w:val="nil"/>
              <w:bottom w:val="nil"/>
              <w:right w:val="nil"/>
            </w:tcBorders>
            <w:shd w:val="clear" w:color="auto" w:fill="auto"/>
            <w:noWrap/>
            <w:vAlign w:val="center"/>
            <w:hideMark/>
          </w:tcPr>
          <w:p>
            <w:pPr>
              <w:spacing w:after="0" w:line="240" w:lineRule="auto"/>
              <w:jc w:val="both"/>
              <w:rPr>
                <w:rFonts w:ascii="Verdana" w:eastAsia="Times New Roman" w:hAnsi="Verdana"/>
                <w:b/>
                <w:bCs/>
                <w:i/>
                <w:iCs/>
                <w:noProof/>
                <w:color w:val="000000"/>
                <w:sz w:val="20"/>
                <w:szCs w:val="20"/>
                <w:u w:val="single"/>
              </w:rPr>
            </w:pPr>
            <w:r>
              <w:rPr>
                <w:rFonts w:ascii="Verdana" w:hAnsi="Verdana"/>
                <w:b/>
                <w:i/>
                <w:noProof/>
                <w:color w:val="000000"/>
                <w:sz w:val="20"/>
                <w:u w:val="single"/>
              </w:rPr>
              <w:t>Exécutées</w:t>
            </w:r>
          </w:p>
        </w:tc>
      </w:tr>
      <w:tr>
        <w:trPr>
          <w:trHeight w:val="270"/>
        </w:trPr>
        <w:tc>
          <w:tcPr>
            <w:tcW w:w="9356" w:type="dxa"/>
            <w:gridSpan w:val="4"/>
            <w:tcBorders>
              <w:top w:val="nil"/>
              <w:left w:val="nil"/>
              <w:bottom w:val="single" w:sz="8" w:space="0" w:color="auto"/>
              <w:right w:val="nil"/>
            </w:tcBorders>
            <w:shd w:val="clear" w:color="auto" w:fill="auto"/>
            <w:noWrap/>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En Mio EUR</w:t>
            </w:r>
          </w:p>
        </w:tc>
      </w:tr>
      <w:tr>
        <w:trPr>
          <w:trHeight w:val="1275"/>
        </w:trPr>
        <w:tc>
          <w:tcPr>
            <w:tcW w:w="3686" w:type="dxa"/>
            <w:tcBorders>
              <w:top w:val="nil"/>
              <w:left w:val="single" w:sz="8" w:space="0" w:color="auto"/>
              <w:bottom w:val="single" w:sz="8" w:space="0" w:color="000000"/>
              <w:right w:val="single" w:sz="8" w:space="0" w:color="auto"/>
            </w:tcBorders>
            <w:shd w:val="clear" w:color="000000" w:fill="99CCFF"/>
            <w:noWrap/>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Rubrique du CFP</w:t>
            </w:r>
          </w:p>
        </w:tc>
        <w:tc>
          <w:tcPr>
            <w:tcW w:w="1559" w:type="dxa"/>
            <w:tcBorders>
              <w:top w:val="nil"/>
              <w:left w:val="nil"/>
              <w:bottom w:val="single" w:sz="8" w:space="0" w:color="auto"/>
              <w:right w:val="nil"/>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Corrections financières nettes exécutées en 2015</w:t>
            </w:r>
          </w:p>
        </w:tc>
        <w:tc>
          <w:tcPr>
            <w:tcW w:w="1843" w:type="dxa"/>
            <w:tcBorders>
              <w:top w:val="nil"/>
              <w:left w:val="single" w:sz="8" w:space="0" w:color="auto"/>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Corrections financières avec remplacement des dépenses et autres dépenses exécutées en 2015</w:t>
            </w:r>
          </w:p>
        </w:tc>
        <w:tc>
          <w:tcPr>
            <w:tcW w:w="2268" w:type="dxa"/>
            <w:tcBorders>
              <w:top w:val="nil"/>
              <w:left w:val="nil"/>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 xml:space="preserve">Total des corrections financières </w:t>
            </w:r>
            <w:r>
              <w:rPr>
                <w:rFonts w:ascii="Verdana" w:hAnsi="Verdana"/>
                <w:b/>
                <w:noProof/>
                <w:color w:val="000000"/>
                <w:sz w:val="16"/>
                <w:u w:val="single"/>
              </w:rPr>
              <w:t>exécutées</w:t>
            </w:r>
            <w:r>
              <w:rPr>
                <w:rFonts w:ascii="Verdana" w:hAnsi="Verdana"/>
                <w:b/>
                <w:noProof/>
                <w:color w:val="000000"/>
                <w:sz w:val="16"/>
              </w:rPr>
              <w:t xml:space="preserve"> en 2015</w:t>
            </w:r>
          </w:p>
        </w:tc>
      </w:tr>
      <w:tr>
        <w:trPr>
          <w:trHeight w:val="275"/>
        </w:trPr>
        <w:tc>
          <w:tcPr>
            <w:tcW w:w="3686" w:type="dxa"/>
            <w:tcBorders>
              <w:top w:val="nil"/>
              <w:left w:val="single" w:sz="8" w:space="0" w:color="auto"/>
              <w:bottom w:val="single" w:sz="8" w:space="0" w:color="auto"/>
              <w:right w:val="single" w:sz="8" w:space="0" w:color="auto"/>
            </w:tcBorders>
            <w:shd w:val="clear" w:color="000000" w:fill="D9D9D9"/>
            <w:noWrap/>
            <w:vAlign w:val="center"/>
            <w:hideMark/>
          </w:tcPr>
          <w:p>
            <w:pPr>
              <w:spacing w:after="0" w:line="240" w:lineRule="auto"/>
              <w:jc w:val="both"/>
              <w:rPr>
                <w:rFonts w:ascii="Verdana" w:eastAsia="Times New Roman" w:hAnsi="Verdana"/>
                <w:b/>
                <w:bCs/>
                <w:i/>
                <w:iCs/>
                <w:noProof/>
                <w:color w:val="000000"/>
                <w:sz w:val="16"/>
                <w:szCs w:val="16"/>
              </w:rPr>
            </w:pPr>
            <w:r>
              <w:rPr>
                <w:rFonts w:ascii="Verdana" w:hAnsi="Verdana"/>
                <w:b/>
                <w:i/>
                <w:noProof/>
                <w:color w:val="000000"/>
                <w:sz w:val="16"/>
              </w:rPr>
              <w:t>Croissance intelligente et inclusive</w:t>
            </w:r>
          </w:p>
        </w:tc>
        <w:tc>
          <w:tcPr>
            <w:tcW w:w="1559" w:type="dxa"/>
            <w:tcBorders>
              <w:top w:val="nil"/>
              <w:left w:val="nil"/>
              <w:bottom w:val="single" w:sz="8" w:space="0" w:color="auto"/>
              <w:right w:val="nil"/>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(117)</w:t>
            </w:r>
          </w:p>
        </w:tc>
        <w:tc>
          <w:tcPr>
            <w:tcW w:w="1843" w:type="dxa"/>
            <w:tcBorders>
              <w:top w:val="nil"/>
              <w:left w:val="single" w:sz="8" w:space="0" w:color="auto"/>
              <w:bottom w:val="single" w:sz="8" w:space="0" w:color="auto"/>
              <w:right w:val="single" w:sz="8" w:space="0" w:color="auto"/>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1 883</w:t>
            </w:r>
          </w:p>
        </w:tc>
        <w:tc>
          <w:tcPr>
            <w:tcW w:w="2268" w:type="dxa"/>
            <w:tcBorders>
              <w:top w:val="nil"/>
              <w:left w:val="nil"/>
              <w:bottom w:val="single" w:sz="8" w:space="0" w:color="auto"/>
              <w:right w:val="single" w:sz="8" w:space="0" w:color="auto"/>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1 766</w:t>
            </w:r>
          </w:p>
        </w:tc>
      </w:tr>
      <w:tr>
        <w:trPr>
          <w:trHeight w:val="123"/>
        </w:trPr>
        <w:tc>
          <w:tcPr>
            <w:tcW w:w="3686" w:type="dxa"/>
            <w:tcBorders>
              <w:top w:val="nil"/>
              <w:left w:val="single" w:sz="8" w:space="0" w:color="auto"/>
              <w:bottom w:val="nil"/>
              <w:right w:val="single" w:sz="8" w:space="0" w:color="auto"/>
            </w:tcBorders>
            <w:shd w:val="clear" w:color="auto" w:fill="auto"/>
            <w:noWrap/>
            <w:vAlign w:val="center"/>
          </w:tcPr>
          <w:p>
            <w:pPr>
              <w:spacing w:after="0" w:line="240" w:lineRule="auto"/>
              <w:ind w:firstLine="318"/>
              <w:jc w:val="both"/>
              <w:rPr>
                <w:rFonts w:ascii="Verdana" w:eastAsia="Times New Roman" w:hAnsi="Verdana"/>
                <w:i/>
                <w:iCs/>
                <w:noProof/>
                <w:color w:val="000000"/>
                <w:sz w:val="16"/>
                <w:szCs w:val="16"/>
              </w:rPr>
            </w:pPr>
            <w:r>
              <w:rPr>
                <w:rFonts w:ascii="Verdana" w:hAnsi="Verdana"/>
                <w:i/>
                <w:noProof/>
                <w:color w:val="000000"/>
                <w:sz w:val="16"/>
              </w:rPr>
              <w:t>FEDER</w:t>
            </w:r>
          </w:p>
        </w:tc>
        <w:tc>
          <w:tcPr>
            <w:tcW w:w="1559" w:type="dxa"/>
            <w:tcBorders>
              <w:top w:val="nil"/>
              <w:left w:val="nil"/>
              <w:bottom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259</w:t>
            </w:r>
          </w:p>
        </w:tc>
        <w:tc>
          <w:tcPr>
            <w:tcW w:w="1843"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973</w:t>
            </w:r>
          </w:p>
        </w:tc>
        <w:tc>
          <w:tcPr>
            <w:tcW w:w="2268" w:type="dxa"/>
            <w:tcBorders>
              <w:top w:val="nil"/>
              <w:left w:val="nil"/>
              <w:bottom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1 231</w:t>
            </w:r>
          </w:p>
        </w:tc>
      </w:tr>
      <w:tr>
        <w:trPr>
          <w:trHeight w:val="123"/>
        </w:trPr>
        <w:tc>
          <w:tcPr>
            <w:tcW w:w="3686" w:type="dxa"/>
            <w:tcBorders>
              <w:top w:val="nil"/>
              <w:left w:val="single" w:sz="8" w:space="0" w:color="auto"/>
              <w:right w:val="single" w:sz="8" w:space="0" w:color="auto"/>
            </w:tcBorders>
            <w:shd w:val="clear" w:color="auto" w:fill="auto"/>
            <w:noWrap/>
            <w:vAlign w:val="center"/>
          </w:tcPr>
          <w:p>
            <w:pPr>
              <w:spacing w:after="0" w:line="240" w:lineRule="auto"/>
              <w:ind w:firstLine="318"/>
              <w:jc w:val="both"/>
              <w:rPr>
                <w:rFonts w:ascii="Verdana" w:eastAsia="Times New Roman" w:hAnsi="Verdana"/>
                <w:i/>
                <w:iCs/>
                <w:noProof/>
                <w:color w:val="000000"/>
                <w:sz w:val="16"/>
                <w:szCs w:val="16"/>
              </w:rPr>
            </w:pPr>
            <w:r>
              <w:rPr>
                <w:rFonts w:ascii="Verdana" w:hAnsi="Verdana"/>
                <w:i/>
                <w:noProof/>
                <w:color w:val="000000"/>
                <w:sz w:val="16"/>
              </w:rPr>
              <w:t>Arrêts de la Cour de justice</w:t>
            </w:r>
          </w:p>
        </w:tc>
        <w:tc>
          <w:tcPr>
            <w:tcW w:w="1559" w:type="dxa"/>
            <w:tcBorders>
              <w:top w:val="nil"/>
              <w:left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(457)</w:t>
            </w:r>
          </w:p>
        </w:tc>
        <w:tc>
          <w:tcPr>
            <w:tcW w:w="1843" w:type="dxa"/>
            <w:tcBorders>
              <w:top w:val="nil"/>
              <w:left w:val="single" w:sz="8" w:space="0" w:color="auto"/>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2268" w:type="dxa"/>
            <w:tcBorders>
              <w:top w:val="nil"/>
              <w:left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(457)</w:t>
            </w:r>
          </w:p>
        </w:tc>
      </w:tr>
      <w:tr>
        <w:trPr>
          <w:trHeight w:val="123"/>
        </w:trPr>
        <w:tc>
          <w:tcPr>
            <w:tcW w:w="3686"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FEDER Total</w:t>
            </w:r>
          </w:p>
        </w:tc>
        <w:tc>
          <w:tcPr>
            <w:tcW w:w="1559" w:type="dxa"/>
            <w:tcBorders>
              <w:top w:val="nil"/>
              <w:left w:val="nil"/>
              <w:bottom w:val="single" w:sz="8" w:space="0" w:color="auto"/>
              <w:right w:val="nil"/>
            </w:tcBorders>
            <w:shd w:val="clear" w:color="auto" w:fill="auto"/>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(198)</w:t>
            </w:r>
          </w:p>
        </w:tc>
        <w:tc>
          <w:tcPr>
            <w:tcW w:w="1843" w:type="dxa"/>
            <w:tcBorders>
              <w:top w:val="nil"/>
              <w:left w:val="single" w:sz="8" w:space="0" w:color="auto"/>
              <w:bottom w:val="single" w:sz="8" w:space="0" w:color="auto"/>
              <w:right w:val="single" w:sz="8" w:space="0" w:color="auto"/>
            </w:tcBorders>
            <w:shd w:val="clear" w:color="auto" w:fill="auto"/>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973</w:t>
            </w:r>
          </w:p>
        </w:tc>
        <w:tc>
          <w:tcPr>
            <w:tcW w:w="2268" w:type="dxa"/>
            <w:tcBorders>
              <w:top w:val="nil"/>
              <w:left w:val="nil"/>
              <w:bottom w:val="single" w:sz="8" w:space="0" w:color="auto"/>
              <w:right w:val="single" w:sz="8" w:space="0" w:color="auto"/>
            </w:tcBorders>
            <w:shd w:val="clear" w:color="000000" w:fill="C6D9F1"/>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774</w:t>
            </w:r>
          </w:p>
        </w:tc>
      </w:tr>
      <w:tr>
        <w:trPr>
          <w:trHeight w:val="123"/>
        </w:trPr>
        <w:tc>
          <w:tcPr>
            <w:tcW w:w="3686" w:type="dxa"/>
            <w:tcBorders>
              <w:top w:val="single" w:sz="8" w:space="0" w:color="auto"/>
              <w:left w:val="single" w:sz="8" w:space="0" w:color="auto"/>
              <w:bottom w:val="nil"/>
              <w:right w:val="single" w:sz="8" w:space="0" w:color="auto"/>
            </w:tcBorders>
            <w:shd w:val="clear" w:color="auto" w:fill="auto"/>
            <w:noWrap/>
            <w:vAlign w:val="center"/>
          </w:tcPr>
          <w:p>
            <w:pPr>
              <w:spacing w:after="0" w:line="240" w:lineRule="auto"/>
              <w:ind w:firstLine="318"/>
              <w:jc w:val="both"/>
              <w:rPr>
                <w:rFonts w:ascii="Verdana" w:eastAsia="Times New Roman" w:hAnsi="Verdana"/>
                <w:i/>
                <w:iCs/>
                <w:noProof/>
                <w:color w:val="000000"/>
                <w:sz w:val="16"/>
                <w:szCs w:val="16"/>
              </w:rPr>
            </w:pPr>
            <w:r>
              <w:rPr>
                <w:rFonts w:ascii="Verdana" w:hAnsi="Verdana"/>
                <w:i/>
                <w:noProof/>
                <w:color w:val="000000"/>
                <w:sz w:val="16"/>
              </w:rPr>
              <w:t>Fonds de cohésion</w:t>
            </w:r>
          </w:p>
        </w:tc>
        <w:tc>
          <w:tcPr>
            <w:tcW w:w="1559" w:type="dxa"/>
            <w:tcBorders>
              <w:top w:val="single" w:sz="8" w:space="0" w:color="auto"/>
              <w:left w:val="nil"/>
              <w:bottom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63</w:t>
            </w:r>
          </w:p>
        </w:tc>
        <w:tc>
          <w:tcPr>
            <w:tcW w:w="1843" w:type="dxa"/>
            <w:tcBorders>
              <w:top w:val="single" w:sz="8" w:space="0" w:color="auto"/>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576</w:t>
            </w:r>
          </w:p>
        </w:tc>
        <w:tc>
          <w:tcPr>
            <w:tcW w:w="2268" w:type="dxa"/>
            <w:tcBorders>
              <w:top w:val="single" w:sz="8" w:space="0" w:color="auto"/>
              <w:left w:val="nil"/>
              <w:bottom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639</w:t>
            </w:r>
          </w:p>
        </w:tc>
      </w:tr>
      <w:tr>
        <w:trPr>
          <w:trHeight w:val="123"/>
        </w:trPr>
        <w:tc>
          <w:tcPr>
            <w:tcW w:w="3686" w:type="dxa"/>
            <w:tcBorders>
              <w:top w:val="nil"/>
              <w:left w:val="single" w:sz="8" w:space="0" w:color="auto"/>
              <w:right w:val="single" w:sz="8" w:space="0" w:color="auto"/>
            </w:tcBorders>
            <w:shd w:val="clear" w:color="auto" w:fill="auto"/>
            <w:noWrap/>
            <w:vAlign w:val="center"/>
          </w:tcPr>
          <w:p>
            <w:pPr>
              <w:spacing w:after="0" w:line="240" w:lineRule="auto"/>
              <w:ind w:firstLine="318"/>
              <w:jc w:val="both"/>
              <w:rPr>
                <w:rFonts w:ascii="Verdana" w:eastAsia="Times New Roman" w:hAnsi="Verdana"/>
                <w:i/>
                <w:iCs/>
                <w:noProof/>
                <w:color w:val="000000"/>
                <w:sz w:val="16"/>
                <w:szCs w:val="16"/>
              </w:rPr>
            </w:pPr>
            <w:r>
              <w:rPr>
                <w:rFonts w:ascii="Verdana" w:hAnsi="Verdana"/>
                <w:i/>
                <w:noProof/>
                <w:color w:val="000000"/>
                <w:sz w:val="16"/>
              </w:rPr>
              <w:t>Arrêts de la Cour de justice</w:t>
            </w:r>
          </w:p>
        </w:tc>
        <w:tc>
          <w:tcPr>
            <w:tcW w:w="1559" w:type="dxa"/>
            <w:tcBorders>
              <w:top w:val="nil"/>
              <w:left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(54)</w:t>
            </w:r>
          </w:p>
        </w:tc>
        <w:tc>
          <w:tcPr>
            <w:tcW w:w="1843" w:type="dxa"/>
            <w:tcBorders>
              <w:top w:val="nil"/>
              <w:left w:val="single" w:sz="8" w:space="0" w:color="auto"/>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w:t>
            </w:r>
          </w:p>
        </w:tc>
        <w:tc>
          <w:tcPr>
            <w:tcW w:w="2268" w:type="dxa"/>
            <w:tcBorders>
              <w:top w:val="nil"/>
              <w:left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(54)</w:t>
            </w:r>
          </w:p>
        </w:tc>
      </w:tr>
      <w:tr>
        <w:trPr>
          <w:trHeight w:val="217"/>
        </w:trPr>
        <w:tc>
          <w:tcPr>
            <w:tcW w:w="3686"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Fonds de cohésion Total</w:t>
            </w:r>
          </w:p>
        </w:tc>
        <w:tc>
          <w:tcPr>
            <w:tcW w:w="1559" w:type="dxa"/>
            <w:tcBorders>
              <w:top w:val="nil"/>
              <w:left w:val="nil"/>
              <w:bottom w:val="single" w:sz="8" w:space="0" w:color="auto"/>
              <w:right w:val="nil"/>
            </w:tcBorders>
            <w:shd w:val="clear" w:color="auto" w:fill="auto"/>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9</w:t>
            </w:r>
          </w:p>
        </w:tc>
        <w:tc>
          <w:tcPr>
            <w:tcW w:w="1843" w:type="dxa"/>
            <w:tcBorders>
              <w:top w:val="nil"/>
              <w:left w:val="single" w:sz="8" w:space="0" w:color="auto"/>
              <w:bottom w:val="single" w:sz="8" w:space="0" w:color="auto"/>
              <w:right w:val="single" w:sz="8" w:space="0" w:color="auto"/>
            </w:tcBorders>
            <w:shd w:val="clear" w:color="auto" w:fill="auto"/>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576</w:t>
            </w:r>
          </w:p>
        </w:tc>
        <w:tc>
          <w:tcPr>
            <w:tcW w:w="2268" w:type="dxa"/>
            <w:tcBorders>
              <w:top w:val="nil"/>
              <w:left w:val="nil"/>
              <w:bottom w:val="single" w:sz="8" w:space="0" w:color="auto"/>
              <w:right w:val="single" w:sz="8" w:space="0" w:color="auto"/>
            </w:tcBorders>
            <w:shd w:val="clear" w:color="000000" w:fill="C6D9F1"/>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585</w:t>
            </w:r>
          </w:p>
        </w:tc>
      </w:tr>
      <w:tr>
        <w:trPr>
          <w:trHeight w:val="135"/>
        </w:trPr>
        <w:tc>
          <w:tcPr>
            <w:tcW w:w="3686" w:type="dxa"/>
            <w:tcBorders>
              <w:top w:val="single" w:sz="8" w:space="0" w:color="auto"/>
              <w:left w:val="single" w:sz="8" w:space="0" w:color="auto"/>
              <w:bottom w:val="nil"/>
              <w:right w:val="single" w:sz="8" w:space="0" w:color="auto"/>
            </w:tcBorders>
            <w:shd w:val="clear" w:color="auto" w:fill="auto"/>
            <w:noWrap/>
            <w:vAlign w:val="center"/>
            <w:hideMark/>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FSE</w:t>
            </w:r>
          </w:p>
        </w:tc>
        <w:tc>
          <w:tcPr>
            <w:tcW w:w="1559" w:type="dxa"/>
            <w:tcBorders>
              <w:top w:val="single" w:sz="8" w:space="0" w:color="auto"/>
              <w:left w:val="nil"/>
              <w:bottom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73</w:t>
            </w:r>
          </w:p>
        </w:tc>
        <w:tc>
          <w:tcPr>
            <w:tcW w:w="1843" w:type="dxa"/>
            <w:tcBorders>
              <w:top w:val="single" w:sz="8" w:space="0" w:color="auto"/>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334</w:t>
            </w:r>
          </w:p>
        </w:tc>
        <w:tc>
          <w:tcPr>
            <w:tcW w:w="2268" w:type="dxa"/>
            <w:tcBorders>
              <w:top w:val="single" w:sz="8" w:space="0" w:color="auto"/>
              <w:left w:val="nil"/>
              <w:bottom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407</w:t>
            </w:r>
          </w:p>
        </w:tc>
      </w:tr>
      <w:tr>
        <w:trPr>
          <w:trHeight w:val="319"/>
        </w:trPr>
        <w:tc>
          <w:tcPr>
            <w:tcW w:w="368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pPr>
              <w:spacing w:after="0" w:line="240" w:lineRule="auto"/>
              <w:jc w:val="both"/>
              <w:rPr>
                <w:rFonts w:ascii="Verdana" w:eastAsia="Times New Roman" w:hAnsi="Verdana"/>
                <w:b/>
                <w:bCs/>
                <w:i/>
                <w:iCs/>
                <w:noProof/>
                <w:color w:val="000000"/>
                <w:sz w:val="16"/>
                <w:szCs w:val="16"/>
              </w:rPr>
            </w:pPr>
            <w:r>
              <w:rPr>
                <w:rFonts w:ascii="Verdana" w:hAnsi="Verdana"/>
                <w:b/>
                <w:i/>
                <w:noProof/>
                <w:color w:val="000000"/>
                <w:sz w:val="16"/>
              </w:rPr>
              <w:t>Croissance durable: ressources naturelles</w:t>
            </w:r>
          </w:p>
        </w:tc>
        <w:tc>
          <w:tcPr>
            <w:tcW w:w="1559" w:type="dxa"/>
            <w:tcBorders>
              <w:top w:val="single" w:sz="8" w:space="0" w:color="auto"/>
              <w:left w:val="nil"/>
              <w:bottom w:val="single" w:sz="8" w:space="0" w:color="auto"/>
              <w:right w:val="single" w:sz="8" w:space="0" w:color="auto"/>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1 289</w:t>
            </w:r>
          </w:p>
        </w:tc>
        <w:tc>
          <w:tcPr>
            <w:tcW w:w="1843" w:type="dxa"/>
            <w:tcBorders>
              <w:top w:val="single" w:sz="8" w:space="0" w:color="auto"/>
              <w:left w:val="nil"/>
              <w:bottom w:val="single" w:sz="8" w:space="0" w:color="auto"/>
              <w:right w:val="single" w:sz="8" w:space="0" w:color="auto"/>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25</w:t>
            </w:r>
          </w:p>
        </w:tc>
        <w:tc>
          <w:tcPr>
            <w:tcW w:w="2268" w:type="dxa"/>
            <w:tcBorders>
              <w:top w:val="single" w:sz="8" w:space="0" w:color="auto"/>
              <w:left w:val="nil"/>
              <w:bottom w:val="single" w:sz="8" w:space="0" w:color="auto"/>
              <w:right w:val="single" w:sz="8" w:space="0" w:color="auto"/>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1 314</w:t>
            </w:r>
          </w:p>
        </w:tc>
      </w:tr>
      <w:tr>
        <w:trPr>
          <w:trHeight w:val="81"/>
        </w:trPr>
        <w:tc>
          <w:tcPr>
            <w:tcW w:w="3686" w:type="dxa"/>
            <w:tcBorders>
              <w:top w:val="nil"/>
              <w:left w:val="single" w:sz="8" w:space="0" w:color="auto"/>
              <w:bottom w:val="nil"/>
              <w:right w:val="single" w:sz="8" w:space="0" w:color="auto"/>
            </w:tcBorders>
            <w:shd w:val="clear" w:color="auto" w:fill="auto"/>
            <w:noWrap/>
            <w:vAlign w:val="center"/>
            <w:hideMark/>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FEAGA</w:t>
            </w:r>
          </w:p>
        </w:tc>
        <w:tc>
          <w:tcPr>
            <w:tcW w:w="1559" w:type="dxa"/>
            <w:tcBorders>
              <w:top w:val="nil"/>
              <w:left w:val="nil"/>
              <w:bottom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998</w:t>
            </w:r>
          </w:p>
        </w:tc>
        <w:tc>
          <w:tcPr>
            <w:tcW w:w="1843"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bCs/>
                <w:noProof/>
                <w:color w:val="000000"/>
                <w:sz w:val="16"/>
                <w:szCs w:val="16"/>
              </w:rPr>
            </w:pPr>
            <w:r>
              <w:rPr>
                <w:rFonts w:ascii="Verdana" w:hAnsi="Verdana"/>
                <w:noProof/>
                <w:color w:val="000000"/>
                <w:sz w:val="16"/>
              </w:rPr>
              <w:t>20</w:t>
            </w:r>
          </w:p>
        </w:tc>
        <w:tc>
          <w:tcPr>
            <w:tcW w:w="2268" w:type="dxa"/>
            <w:tcBorders>
              <w:top w:val="nil"/>
              <w:left w:val="nil"/>
              <w:bottom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1 017</w:t>
            </w:r>
          </w:p>
        </w:tc>
      </w:tr>
      <w:tr>
        <w:trPr>
          <w:trHeight w:val="176"/>
        </w:trPr>
        <w:tc>
          <w:tcPr>
            <w:tcW w:w="3686" w:type="dxa"/>
            <w:tcBorders>
              <w:top w:val="nil"/>
              <w:left w:val="single" w:sz="8" w:space="0" w:color="auto"/>
              <w:bottom w:val="nil"/>
              <w:right w:val="single" w:sz="8" w:space="0" w:color="auto"/>
            </w:tcBorders>
            <w:shd w:val="clear" w:color="auto" w:fill="auto"/>
            <w:noWrap/>
            <w:vAlign w:val="center"/>
            <w:hideMark/>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Développement rural</w:t>
            </w:r>
          </w:p>
        </w:tc>
        <w:tc>
          <w:tcPr>
            <w:tcW w:w="1559" w:type="dxa"/>
            <w:tcBorders>
              <w:top w:val="nil"/>
              <w:left w:val="nil"/>
              <w:bottom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263</w:t>
            </w:r>
          </w:p>
        </w:tc>
        <w:tc>
          <w:tcPr>
            <w:tcW w:w="1843"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w:t>
            </w:r>
          </w:p>
        </w:tc>
        <w:tc>
          <w:tcPr>
            <w:tcW w:w="2268" w:type="dxa"/>
            <w:tcBorders>
              <w:top w:val="nil"/>
              <w:left w:val="nil"/>
              <w:bottom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263</w:t>
            </w:r>
          </w:p>
        </w:tc>
      </w:tr>
      <w:tr>
        <w:trPr>
          <w:trHeight w:val="121"/>
        </w:trPr>
        <w:tc>
          <w:tcPr>
            <w:tcW w:w="3686" w:type="dxa"/>
            <w:tcBorders>
              <w:top w:val="nil"/>
              <w:left w:val="single" w:sz="8" w:space="0" w:color="auto"/>
              <w:bottom w:val="nil"/>
              <w:right w:val="single" w:sz="8" w:space="0" w:color="auto"/>
            </w:tcBorders>
            <w:shd w:val="clear" w:color="auto" w:fill="auto"/>
            <w:noWrap/>
            <w:vAlign w:val="center"/>
            <w:hideMark/>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IFOP/FEP</w:t>
            </w:r>
          </w:p>
        </w:tc>
        <w:tc>
          <w:tcPr>
            <w:tcW w:w="1559" w:type="dxa"/>
            <w:tcBorders>
              <w:top w:val="nil"/>
              <w:left w:val="nil"/>
              <w:bottom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w:t>
            </w:r>
          </w:p>
        </w:tc>
        <w:tc>
          <w:tcPr>
            <w:tcW w:w="1843"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w:t>
            </w:r>
          </w:p>
        </w:tc>
        <w:tc>
          <w:tcPr>
            <w:tcW w:w="2268" w:type="dxa"/>
            <w:tcBorders>
              <w:top w:val="nil"/>
              <w:left w:val="nil"/>
              <w:bottom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10</w:t>
            </w:r>
          </w:p>
        </w:tc>
      </w:tr>
      <w:tr>
        <w:trPr>
          <w:trHeight w:val="209"/>
        </w:trPr>
        <w:tc>
          <w:tcPr>
            <w:tcW w:w="3686" w:type="dxa"/>
            <w:tcBorders>
              <w:top w:val="nil"/>
              <w:left w:val="single" w:sz="8" w:space="0" w:color="auto"/>
              <w:bottom w:val="nil"/>
              <w:right w:val="single" w:sz="8" w:space="0" w:color="auto"/>
            </w:tcBorders>
            <w:shd w:val="clear" w:color="auto" w:fill="auto"/>
            <w:noWrap/>
            <w:vAlign w:val="center"/>
            <w:hideMark/>
          </w:tcPr>
          <w:p>
            <w:pPr>
              <w:spacing w:after="0" w:line="240" w:lineRule="auto"/>
              <w:jc w:val="both"/>
              <w:rPr>
                <w:rFonts w:ascii="Verdana" w:eastAsia="Times New Roman" w:hAnsi="Verdana"/>
                <w:i/>
                <w:iCs/>
                <w:noProof/>
                <w:color w:val="000000"/>
                <w:sz w:val="16"/>
                <w:szCs w:val="16"/>
              </w:rPr>
            </w:pPr>
            <w:r>
              <w:rPr>
                <w:rFonts w:ascii="Verdana" w:hAnsi="Verdana"/>
                <w:i/>
                <w:noProof/>
                <w:color w:val="000000"/>
                <w:sz w:val="16"/>
              </w:rPr>
              <w:t>FEOGA-Orientation</w:t>
            </w:r>
          </w:p>
        </w:tc>
        <w:tc>
          <w:tcPr>
            <w:tcW w:w="1559" w:type="dxa"/>
            <w:tcBorders>
              <w:top w:val="nil"/>
              <w:left w:val="nil"/>
              <w:bottom w:val="nil"/>
              <w:right w:val="nil"/>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24</w:t>
            </w:r>
          </w:p>
        </w:tc>
        <w:tc>
          <w:tcPr>
            <w:tcW w:w="1843" w:type="dxa"/>
            <w:tcBorders>
              <w:top w:val="nil"/>
              <w:left w:val="single" w:sz="8" w:space="0" w:color="auto"/>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w:t>
            </w:r>
          </w:p>
        </w:tc>
        <w:tc>
          <w:tcPr>
            <w:tcW w:w="2268" w:type="dxa"/>
            <w:tcBorders>
              <w:top w:val="nil"/>
              <w:left w:val="nil"/>
              <w:bottom w:val="nil"/>
              <w:right w:val="single" w:sz="8" w:space="0" w:color="auto"/>
            </w:tcBorders>
            <w:shd w:val="clear" w:color="000000" w:fill="C6D9F1"/>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24</w:t>
            </w:r>
          </w:p>
        </w:tc>
      </w:tr>
      <w:tr>
        <w:trPr>
          <w:trHeight w:val="270"/>
        </w:trPr>
        <w:tc>
          <w:tcPr>
            <w:tcW w:w="368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pPr>
              <w:spacing w:after="0" w:line="240" w:lineRule="auto"/>
              <w:rPr>
                <w:rFonts w:ascii="Verdana" w:eastAsia="Times New Roman" w:hAnsi="Verdana"/>
                <w:b/>
                <w:bCs/>
                <w:i/>
                <w:iCs/>
                <w:noProof/>
                <w:color w:val="000000"/>
                <w:sz w:val="16"/>
                <w:szCs w:val="16"/>
              </w:rPr>
            </w:pPr>
            <w:r>
              <w:rPr>
                <w:rFonts w:ascii="Verdana" w:hAnsi="Verdana"/>
                <w:b/>
                <w:i/>
                <w:noProof/>
                <w:color w:val="000000"/>
                <w:sz w:val="16"/>
              </w:rPr>
              <w:t>Sécurité et citoyenneté</w:t>
            </w:r>
          </w:p>
        </w:tc>
        <w:tc>
          <w:tcPr>
            <w:tcW w:w="1559" w:type="dxa"/>
            <w:tcBorders>
              <w:top w:val="single" w:sz="8" w:space="0" w:color="auto"/>
              <w:left w:val="nil"/>
              <w:bottom w:val="single" w:sz="8" w:space="0" w:color="auto"/>
              <w:right w:val="nil"/>
            </w:tcBorders>
            <w:shd w:val="clear" w:color="000000" w:fill="D9D9D9"/>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9</w:t>
            </w:r>
          </w:p>
        </w:tc>
        <w:tc>
          <w:tcPr>
            <w:tcW w:w="1843" w:type="dxa"/>
            <w:tcBorders>
              <w:top w:val="single" w:sz="8" w:space="0" w:color="auto"/>
              <w:left w:val="single" w:sz="8" w:space="0" w:color="auto"/>
              <w:bottom w:val="single" w:sz="8" w:space="0" w:color="auto"/>
              <w:right w:val="single" w:sz="8" w:space="0" w:color="auto"/>
            </w:tcBorders>
            <w:shd w:val="clear" w:color="000000" w:fill="D9D9D9"/>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15</w:t>
            </w:r>
          </w:p>
        </w:tc>
        <w:tc>
          <w:tcPr>
            <w:tcW w:w="2268" w:type="dxa"/>
            <w:tcBorders>
              <w:top w:val="single" w:sz="8" w:space="0" w:color="auto"/>
              <w:left w:val="nil"/>
              <w:bottom w:val="single" w:sz="8" w:space="0" w:color="auto"/>
              <w:right w:val="single" w:sz="8" w:space="0" w:color="auto"/>
            </w:tcBorders>
            <w:shd w:val="clear" w:color="000000" w:fill="D9D9D9"/>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23</w:t>
            </w:r>
          </w:p>
        </w:tc>
      </w:tr>
      <w:tr>
        <w:trPr>
          <w:trHeight w:val="125"/>
        </w:trPr>
        <w:tc>
          <w:tcPr>
            <w:tcW w:w="3686"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rPr>
                <w:rFonts w:ascii="Verdana" w:eastAsia="Times New Roman" w:hAnsi="Verdana"/>
                <w:noProof/>
                <w:color w:val="000000"/>
                <w:sz w:val="16"/>
                <w:szCs w:val="16"/>
              </w:rPr>
            </w:pPr>
            <w:r>
              <w:rPr>
                <w:rFonts w:ascii="Verdana" w:hAnsi="Verdana"/>
                <w:noProof/>
                <w:color w:val="000000"/>
                <w:sz w:val="16"/>
              </w:rPr>
              <w:t>Migration et affaires intérieures</w:t>
            </w:r>
          </w:p>
        </w:tc>
        <w:tc>
          <w:tcPr>
            <w:tcW w:w="1559" w:type="dxa"/>
            <w:tcBorders>
              <w:top w:val="nil"/>
              <w:left w:val="nil"/>
              <w:bottom w:val="nil"/>
              <w:right w:val="nil"/>
            </w:tcBorders>
            <w:shd w:val="clear" w:color="000000" w:fill="FFFFFF"/>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9</w:t>
            </w:r>
          </w:p>
        </w:tc>
        <w:tc>
          <w:tcPr>
            <w:tcW w:w="1843" w:type="dxa"/>
            <w:tcBorders>
              <w:top w:val="nil"/>
              <w:left w:val="single" w:sz="8" w:space="0" w:color="auto"/>
              <w:bottom w:val="nil"/>
              <w:right w:val="single" w:sz="8" w:space="0" w:color="auto"/>
            </w:tcBorders>
            <w:shd w:val="clear" w:color="000000" w:fill="FFFFFF"/>
            <w:noWrap/>
          </w:tcPr>
          <w:p>
            <w:pPr>
              <w:autoSpaceDE w:val="0"/>
              <w:autoSpaceDN w:val="0"/>
              <w:adjustRightInd w:val="0"/>
              <w:spacing w:after="0" w:line="240" w:lineRule="auto"/>
              <w:jc w:val="right"/>
              <w:rPr>
                <w:rFonts w:ascii="Verdana" w:hAnsi="Verdana" w:cs="Verdana"/>
                <w:i/>
                <w:iCs/>
                <w:noProof/>
                <w:color w:val="000000"/>
                <w:sz w:val="16"/>
                <w:szCs w:val="16"/>
              </w:rPr>
            </w:pPr>
            <w:r>
              <w:rPr>
                <w:rFonts w:ascii="Verdana" w:hAnsi="Verdana"/>
                <w:i/>
                <w:noProof/>
                <w:color w:val="000000"/>
                <w:sz w:val="16"/>
              </w:rPr>
              <w:t>15</w:t>
            </w:r>
          </w:p>
        </w:tc>
        <w:tc>
          <w:tcPr>
            <w:tcW w:w="2268" w:type="dxa"/>
            <w:tcBorders>
              <w:top w:val="nil"/>
              <w:left w:val="nil"/>
              <w:bottom w:val="nil"/>
              <w:right w:val="single" w:sz="8" w:space="0" w:color="auto"/>
            </w:tcBorders>
            <w:shd w:val="clear" w:color="000000" w:fill="C6D9F1"/>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23</w:t>
            </w:r>
          </w:p>
        </w:tc>
      </w:tr>
      <w:tr>
        <w:trPr>
          <w:trHeight w:val="270"/>
        </w:trPr>
        <w:tc>
          <w:tcPr>
            <w:tcW w:w="3686" w:type="dxa"/>
            <w:tcBorders>
              <w:top w:val="nil"/>
              <w:left w:val="single" w:sz="8" w:space="0" w:color="auto"/>
              <w:bottom w:val="single" w:sz="8" w:space="0" w:color="auto"/>
              <w:right w:val="single" w:sz="8" w:space="0" w:color="auto"/>
            </w:tcBorders>
            <w:shd w:val="clear" w:color="000000" w:fill="D9D9D9"/>
            <w:noWrap/>
            <w:vAlign w:val="center"/>
            <w:hideMark/>
          </w:tcPr>
          <w:p>
            <w:pPr>
              <w:spacing w:after="0" w:line="240" w:lineRule="auto"/>
              <w:rPr>
                <w:rFonts w:ascii="Verdana" w:eastAsia="Times New Roman" w:hAnsi="Verdana"/>
                <w:b/>
                <w:bCs/>
                <w:noProof/>
                <w:color w:val="000000"/>
                <w:sz w:val="16"/>
                <w:szCs w:val="16"/>
              </w:rPr>
            </w:pPr>
            <w:r>
              <w:rPr>
                <w:rFonts w:ascii="Verdana" w:hAnsi="Verdana"/>
                <w:b/>
                <w:noProof/>
                <w:color w:val="000000"/>
                <w:sz w:val="16"/>
              </w:rPr>
              <w:t>TOTAL</w:t>
            </w:r>
          </w:p>
        </w:tc>
        <w:tc>
          <w:tcPr>
            <w:tcW w:w="1559" w:type="dxa"/>
            <w:tcBorders>
              <w:top w:val="single" w:sz="8" w:space="0" w:color="auto"/>
              <w:left w:val="nil"/>
              <w:bottom w:val="single" w:sz="8" w:space="0" w:color="auto"/>
              <w:right w:val="nil"/>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1 181</w:t>
            </w:r>
          </w:p>
        </w:tc>
        <w:tc>
          <w:tcPr>
            <w:tcW w:w="1843" w:type="dxa"/>
            <w:tcBorders>
              <w:top w:val="single" w:sz="8" w:space="0" w:color="auto"/>
              <w:left w:val="single" w:sz="8" w:space="0" w:color="auto"/>
              <w:bottom w:val="single" w:sz="8" w:space="0" w:color="auto"/>
              <w:right w:val="single" w:sz="8" w:space="0" w:color="auto"/>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1 923</w:t>
            </w:r>
          </w:p>
        </w:tc>
        <w:tc>
          <w:tcPr>
            <w:tcW w:w="2268" w:type="dxa"/>
            <w:tcBorders>
              <w:top w:val="single" w:sz="8" w:space="0" w:color="auto"/>
              <w:left w:val="nil"/>
              <w:bottom w:val="single" w:sz="8" w:space="0" w:color="auto"/>
              <w:right w:val="single" w:sz="8" w:space="0" w:color="auto"/>
            </w:tcBorders>
            <w:shd w:val="clear" w:color="000000" w:fill="D9D9D9"/>
            <w:vAlign w:val="center"/>
          </w:tcPr>
          <w:p>
            <w:pPr>
              <w:autoSpaceDE w:val="0"/>
              <w:autoSpaceDN w:val="0"/>
              <w:adjustRightInd w:val="0"/>
              <w:spacing w:after="0" w:line="240" w:lineRule="auto"/>
              <w:jc w:val="right"/>
              <w:rPr>
                <w:rFonts w:ascii="Verdana" w:hAnsi="Verdana" w:cs="Verdana"/>
                <w:b/>
                <w:bCs/>
                <w:i/>
                <w:iCs/>
                <w:noProof/>
                <w:color w:val="000000"/>
                <w:sz w:val="16"/>
                <w:szCs w:val="16"/>
              </w:rPr>
            </w:pPr>
            <w:r>
              <w:rPr>
                <w:rFonts w:ascii="Verdana" w:hAnsi="Verdana"/>
                <w:b/>
                <w:i/>
                <w:noProof/>
                <w:color w:val="000000"/>
                <w:sz w:val="16"/>
              </w:rPr>
              <w:t>3 104</w:t>
            </w:r>
          </w:p>
        </w:tc>
      </w:tr>
    </w:tbl>
    <w:p>
      <w:pPr>
        <w:spacing w:after="0" w:line="240" w:lineRule="auto"/>
        <w:rPr>
          <w:rFonts w:ascii="Verdana" w:hAnsi="Verdana"/>
          <w:b/>
          <w:i/>
          <w:noProof/>
          <w:sz w:val="20"/>
        </w:rPr>
      </w:pPr>
    </w:p>
    <w:p>
      <w:pPr>
        <w:pStyle w:val="ManualHeading2"/>
        <w:rPr>
          <w:i/>
          <w:noProof/>
          <w:szCs w:val="22"/>
        </w:rPr>
      </w:pPr>
      <w:bookmarkStart w:id="143" w:name="_Toc456258182"/>
      <w:bookmarkStart w:id="144" w:name="_Toc461437507"/>
      <w:r>
        <w:t>5.</w:t>
      </w:r>
      <w:r>
        <w:tab/>
      </w:r>
      <w:r>
        <w:rPr>
          <w:noProof/>
        </w:rPr>
        <w:t>Montants agricoles recouvrés auprès des bénéficiaires finals par les États membres en 2015</w:t>
      </w:r>
      <w:bookmarkEnd w:id="143"/>
      <w:bookmarkEnd w:id="144"/>
    </w:p>
    <w:p>
      <w:pPr>
        <w:spacing w:after="120" w:line="240" w:lineRule="auto"/>
        <w:jc w:val="both"/>
        <w:rPr>
          <w:rFonts w:ascii="Verdana" w:hAnsi="Verdana"/>
          <w:b/>
          <w:i/>
          <w:noProof/>
          <w:sz w:val="18"/>
        </w:rPr>
      </w:pPr>
    </w:p>
    <w:tbl>
      <w:tblPr>
        <w:tblW w:w="6640" w:type="dxa"/>
        <w:tblInd w:w="93" w:type="dxa"/>
        <w:tblLook w:val="04A0" w:firstRow="1" w:lastRow="0" w:firstColumn="1" w:lastColumn="0" w:noHBand="0" w:noVBand="1"/>
      </w:tblPr>
      <w:tblGrid>
        <w:gridCol w:w="1660"/>
        <w:gridCol w:w="1660"/>
        <w:gridCol w:w="1660"/>
        <w:gridCol w:w="1660"/>
      </w:tblGrid>
      <w:tr>
        <w:trPr>
          <w:trHeight w:val="315"/>
        </w:trPr>
        <w:tc>
          <w:tcPr>
            <w:tcW w:w="6640" w:type="dxa"/>
            <w:gridSpan w:val="4"/>
            <w:tcBorders>
              <w:top w:val="nil"/>
              <w:left w:val="nil"/>
              <w:bottom w:val="single" w:sz="8" w:space="0" w:color="auto"/>
              <w:right w:val="nil"/>
            </w:tcBorders>
            <w:shd w:val="clear" w:color="auto" w:fill="auto"/>
            <w:noWrap/>
            <w:vAlign w:val="center"/>
            <w:hideMark/>
          </w:tcPr>
          <w:p>
            <w:pPr>
              <w:spacing w:after="0" w:line="240" w:lineRule="auto"/>
              <w:jc w:val="right"/>
              <w:rPr>
                <w:rFonts w:ascii="Arial" w:eastAsia="Times New Roman" w:hAnsi="Arial" w:cs="Arial"/>
                <w:i/>
                <w:iCs/>
                <w:noProof/>
                <w:color w:val="000000"/>
                <w:sz w:val="20"/>
                <w:szCs w:val="20"/>
              </w:rPr>
            </w:pPr>
            <w:r>
              <w:rPr>
                <w:rFonts w:ascii="Arial" w:hAnsi="Arial"/>
                <w:i/>
                <w:noProof/>
                <w:color w:val="000000"/>
                <w:sz w:val="16"/>
              </w:rPr>
              <w:t>En Mio EUR</w:t>
            </w:r>
          </w:p>
        </w:tc>
      </w:tr>
      <w:tr>
        <w:trPr>
          <w:trHeight w:val="435"/>
        </w:trPr>
        <w:tc>
          <w:tcPr>
            <w:tcW w:w="1660" w:type="dxa"/>
            <w:tcBorders>
              <w:top w:val="nil"/>
              <w:left w:val="single" w:sz="8" w:space="0" w:color="auto"/>
              <w:bottom w:val="single" w:sz="8" w:space="0" w:color="auto"/>
              <w:right w:val="nil"/>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État membre</w:t>
            </w:r>
          </w:p>
        </w:tc>
        <w:tc>
          <w:tcPr>
            <w:tcW w:w="1660" w:type="dxa"/>
            <w:tcBorders>
              <w:top w:val="nil"/>
              <w:left w:val="single" w:sz="8" w:space="0" w:color="auto"/>
              <w:bottom w:val="single" w:sz="8" w:space="0" w:color="auto"/>
              <w:right w:val="nil"/>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FEAGA</w:t>
            </w:r>
          </w:p>
        </w:tc>
        <w:tc>
          <w:tcPr>
            <w:tcW w:w="1660" w:type="dxa"/>
            <w:tcBorders>
              <w:top w:val="nil"/>
              <w:left w:val="single" w:sz="8" w:space="0" w:color="auto"/>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Feader</w:t>
            </w:r>
          </w:p>
        </w:tc>
        <w:tc>
          <w:tcPr>
            <w:tcW w:w="1660" w:type="dxa"/>
            <w:tcBorders>
              <w:top w:val="nil"/>
              <w:left w:val="nil"/>
              <w:bottom w:val="nil"/>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Total 2015</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Belgique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2,8</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0,6</w:t>
            </w:r>
          </w:p>
        </w:tc>
        <w:tc>
          <w:tcPr>
            <w:tcW w:w="1660" w:type="dxa"/>
            <w:tcBorders>
              <w:top w:val="single" w:sz="8" w:space="0" w:color="auto"/>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3,4</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Bulgarie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1,6</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3,1</w:t>
            </w:r>
          </w:p>
        </w:tc>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4,7</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République tchèque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0,6</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1,0</w:t>
            </w:r>
          </w:p>
        </w:tc>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1,6</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Danemark</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2,4</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3,3</w:t>
            </w:r>
          </w:p>
        </w:tc>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5,6</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Allemagne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11,3</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11,7</w:t>
            </w:r>
          </w:p>
        </w:tc>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23,0</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Estonie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0,5</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1,3</w:t>
            </w:r>
          </w:p>
        </w:tc>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1,7</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Irlande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5,6</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2,8</w:t>
            </w:r>
          </w:p>
        </w:tc>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8,4</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Grèce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2,8</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3,0</w:t>
            </w:r>
          </w:p>
        </w:tc>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5,7</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Espagne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19,0</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6,6</w:t>
            </w:r>
          </w:p>
        </w:tc>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25,5</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France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22,9</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3,9</w:t>
            </w:r>
          </w:p>
        </w:tc>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26,8</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Croatie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0,3</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0,0</w:t>
            </w:r>
          </w:p>
        </w:tc>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0,3</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Italie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20,0</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21,1</w:t>
            </w:r>
          </w:p>
        </w:tc>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41,1</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Chypre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0,3</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0,0</w:t>
            </w:r>
          </w:p>
        </w:tc>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0,4</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Lettonie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1,5</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1,0</w:t>
            </w:r>
          </w:p>
        </w:tc>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2,5</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Lituanie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14,9</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1,3</w:t>
            </w:r>
          </w:p>
        </w:tc>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16,2</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Luxembourg</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0,3</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0,2</w:t>
            </w:r>
          </w:p>
        </w:tc>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0,5</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Hongrie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3,6</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9,1</w:t>
            </w:r>
          </w:p>
        </w:tc>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12,7</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Malte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0,0</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0,1</w:t>
            </w:r>
          </w:p>
        </w:tc>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0,2</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Pays-Bas</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2,6</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1,0</w:t>
            </w:r>
          </w:p>
        </w:tc>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3,5</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Autriche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5,7</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8,2</w:t>
            </w:r>
          </w:p>
        </w:tc>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13,9</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Pologne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8,1</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19,4</w:t>
            </w:r>
          </w:p>
        </w:tc>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27,5</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Portugal</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4,9</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11,7</w:t>
            </w:r>
          </w:p>
        </w:tc>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16,7</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Roumanie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10,0</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31,5</w:t>
            </w:r>
          </w:p>
        </w:tc>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41,4</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Slovénie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0,6</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0,9</w:t>
            </w:r>
          </w:p>
        </w:tc>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1,5</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Slovaquie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1,4</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1,2</w:t>
            </w:r>
          </w:p>
        </w:tc>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2,5</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Finlande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1,1</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1,5</w:t>
            </w:r>
          </w:p>
        </w:tc>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2,6</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Suède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2,0</w:t>
            </w:r>
          </w:p>
        </w:tc>
        <w:tc>
          <w:tcPr>
            <w:tcW w:w="1660" w:type="dxa"/>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1,5</w:t>
            </w:r>
          </w:p>
        </w:tc>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3,4</w:t>
            </w:r>
          </w:p>
        </w:tc>
      </w:tr>
      <w:tr>
        <w:trPr>
          <w:trHeight w:val="315"/>
        </w:trPr>
        <w:tc>
          <w:tcPr>
            <w:tcW w:w="1660" w:type="dxa"/>
            <w:tcBorders>
              <w:top w:val="nil"/>
              <w:left w:val="single" w:sz="8" w:space="0" w:color="auto"/>
              <w:bottom w:val="single" w:sz="8" w:space="0" w:color="auto"/>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Royaume-Uni</w:t>
            </w:r>
          </w:p>
        </w:tc>
        <w:tc>
          <w:tcPr>
            <w:tcW w:w="1660" w:type="dxa"/>
            <w:tcBorders>
              <w:top w:val="nil"/>
              <w:left w:val="nil"/>
              <w:bottom w:val="single" w:sz="8" w:space="0" w:color="auto"/>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9,0</w:t>
            </w:r>
          </w:p>
        </w:tc>
        <w:tc>
          <w:tcPr>
            <w:tcW w:w="1660" w:type="dxa"/>
            <w:tcBorders>
              <w:top w:val="nil"/>
              <w:left w:val="nil"/>
              <w:bottom w:val="single" w:sz="8" w:space="0" w:color="auto"/>
              <w:right w:val="nil"/>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6,9</w:t>
            </w:r>
          </w:p>
        </w:tc>
        <w:tc>
          <w:tcPr>
            <w:tcW w:w="1660" w:type="dxa"/>
            <w:tcBorders>
              <w:top w:val="nil"/>
              <w:left w:val="single" w:sz="8" w:space="0" w:color="auto"/>
              <w:bottom w:val="single" w:sz="8" w:space="0" w:color="auto"/>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15,9</w:t>
            </w:r>
          </w:p>
        </w:tc>
      </w:tr>
      <w:tr>
        <w:trPr>
          <w:trHeight w:val="315"/>
        </w:trPr>
        <w:tc>
          <w:tcPr>
            <w:tcW w:w="1660" w:type="dxa"/>
            <w:tcBorders>
              <w:top w:val="nil"/>
              <w:left w:val="single" w:sz="8" w:space="0" w:color="auto"/>
              <w:bottom w:val="single" w:sz="8" w:space="0" w:color="auto"/>
              <w:right w:val="single" w:sz="8" w:space="0" w:color="auto"/>
            </w:tcBorders>
            <w:shd w:val="clear" w:color="auto" w:fill="auto"/>
            <w:noWrap/>
            <w:vAlign w:val="center"/>
            <w:hideMark/>
          </w:tcPr>
          <w:p>
            <w:pPr>
              <w:autoSpaceDE w:val="0"/>
              <w:autoSpaceDN w:val="0"/>
              <w:adjustRightInd w:val="0"/>
              <w:spacing w:after="0" w:line="240" w:lineRule="auto"/>
              <w:rPr>
                <w:rFonts w:ascii="Verdana" w:hAnsi="Verdana" w:cs="Verdana"/>
                <w:b/>
                <w:bCs/>
                <w:noProof/>
                <w:color w:val="000000"/>
                <w:sz w:val="16"/>
                <w:szCs w:val="16"/>
              </w:rPr>
            </w:pPr>
            <w:r>
              <w:rPr>
                <w:rFonts w:ascii="Verdana" w:hAnsi="Verdana"/>
                <w:b/>
                <w:noProof/>
                <w:color w:val="000000"/>
                <w:sz w:val="16"/>
              </w:rPr>
              <w:t>Total</w:t>
            </w:r>
          </w:p>
        </w:tc>
        <w:tc>
          <w:tcPr>
            <w:tcW w:w="1660" w:type="dxa"/>
            <w:tcBorders>
              <w:top w:val="nil"/>
              <w:left w:val="nil"/>
              <w:bottom w:val="single" w:sz="8" w:space="0" w:color="auto"/>
              <w:right w:val="single" w:sz="8" w:space="0" w:color="auto"/>
            </w:tcBorders>
            <w:shd w:val="clear" w:color="auto" w:fill="auto"/>
            <w:noWrap/>
            <w:vAlign w:val="center"/>
            <w:hideMark/>
          </w:tcPr>
          <w:p>
            <w:pPr>
              <w:autoSpaceDE w:val="0"/>
              <w:autoSpaceDN w:val="0"/>
              <w:adjustRightInd w:val="0"/>
              <w:spacing w:after="0" w:line="240" w:lineRule="auto"/>
              <w:jc w:val="center"/>
              <w:rPr>
                <w:rFonts w:ascii="Verdana" w:hAnsi="Verdana" w:cs="Verdana"/>
                <w:b/>
                <w:bCs/>
                <w:noProof/>
                <w:color w:val="000000"/>
                <w:sz w:val="16"/>
                <w:szCs w:val="16"/>
              </w:rPr>
            </w:pPr>
            <w:r>
              <w:rPr>
                <w:rFonts w:ascii="Verdana" w:hAnsi="Verdana"/>
                <w:b/>
                <w:noProof/>
                <w:color w:val="000000"/>
                <w:sz w:val="16"/>
              </w:rPr>
              <w:t>155,4</w:t>
            </w:r>
          </w:p>
        </w:tc>
        <w:tc>
          <w:tcPr>
            <w:tcW w:w="1660" w:type="dxa"/>
            <w:tcBorders>
              <w:top w:val="nil"/>
              <w:left w:val="nil"/>
              <w:bottom w:val="single" w:sz="8" w:space="0" w:color="auto"/>
              <w:right w:val="single" w:sz="8" w:space="0" w:color="auto"/>
            </w:tcBorders>
            <w:shd w:val="clear" w:color="auto" w:fill="auto"/>
            <w:noWrap/>
            <w:vAlign w:val="center"/>
            <w:hideMark/>
          </w:tcPr>
          <w:p>
            <w:pPr>
              <w:autoSpaceDE w:val="0"/>
              <w:autoSpaceDN w:val="0"/>
              <w:adjustRightInd w:val="0"/>
              <w:spacing w:after="0" w:line="240" w:lineRule="auto"/>
              <w:jc w:val="center"/>
              <w:rPr>
                <w:rFonts w:ascii="Verdana" w:hAnsi="Verdana" w:cs="Verdana"/>
                <w:b/>
                <w:bCs/>
                <w:noProof/>
                <w:color w:val="000000"/>
                <w:sz w:val="16"/>
                <w:szCs w:val="16"/>
              </w:rPr>
            </w:pPr>
            <w:r>
              <w:rPr>
                <w:rFonts w:ascii="Verdana" w:hAnsi="Verdana"/>
                <w:b/>
                <w:noProof/>
                <w:color w:val="000000"/>
                <w:sz w:val="16"/>
              </w:rPr>
              <w:t>153,8</w:t>
            </w:r>
          </w:p>
        </w:tc>
        <w:tc>
          <w:tcPr>
            <w:tcW w:w="1660" w:type="dxa"/>
            <w:tcBorders>
              <w:top w:val="nil"/>
              <w:left w:val="nil"/>
              <w:bottom w:val="single" w:sz="8" w:space="0" w:color="auto"/>
              <w:right w:val="single" w:sz="8" w:space="0" w:color="auto"/>
            </w:tcBorders>
            <w:shd w:val="clear" w:color="auto" w:fill="auto"/>
            <w:noWrap/>
            <w:vAlign w:val="center"/>
            <w:hideMark/>
          </w:tcPr>
          <w:p>
            <w:pPr>
              <w:autoSpaceDE w:val="0"/>
              <w:autoSpaceDN w:val="0"/>
              <w:adjustRightInd w:val="0"/>
              <w:spacing w:after="0" w:line="240" w:lineRule="auto"/>
              <w:jc w:val="center"/>
              <w:rPr>
                <w:rFonts w:ascii="Verdana" w:hAnsi="Verdana" w:cs="Verdana"/>
                <w:b/>
                <w:bCs/>
                <w:noProof/>
                <w:color w:val="000000"/>
                <w:sz w:val="16"/>
                <w:szCs w:val="16"/>
              </w:rPr>
            </w:pPr>
            <w:r>
              <w:rPr>
                <w:rFonts w:ascii="Verdana" w:hAnsi="Verdana"/>
                <w:b/>
                <w:noProof/>
                <w:color w:val="000000"/>
                <w:sz w:val="16"/>
              </w:rPr>
              <w:t>309,2</w:t>
            </w:r>
          </w:p>
        </w:tc>
      </w:tr>
    </w:tbl>
    <w:p>
      <w:pPr>
        <w:spacing w:line="240" w:lineRule="auto"/>
        <w:jc w:val="both"/>
        <w:rPr>
          <w:rFonts w:ascii="Verdana" w:hAnsi="Verdana" w:cs="Calibri"/>
          <w:b/>
          <w:noProof/>
          <w:sz w:val="20"/>
          <w:szCs w:val="20"/>
          <w:u w:val="single"/>
        </w:rPr>
      </w:pPr>
    </w:p>
    <w:p>
      <w:pPr>
        <w:spacing w:after="0" w:line="240" w:lineRule="auto"/>
        <w:rPr>
          <w:rFonts w:ascii="Verdana" w:hAnsi="Verdana"/>
          <w:b/>
          <w:i/>
          <w:noProof/>
          <w:sz w:val="20"/>
        </w:rPr>
      </w:pPr>
      <w:r>
        <w:rPr>
          <w:noProof/>
        </w:rPr>
        <w:br w:type="page"/>
      </w:r>
    </w:p>
    <w:p>
      <w:pPr>
        <w:pStyle w:val="ManualHeading2"/>
        <w:rPr>
          <w:i/>
          <w:noProof/>
          <w:szCs w:val="22"/>
        </w:rPr>
      </w:pPr>
      <w:bookmarkStart w:id="145" w:name="_Toc456258183"/>
      <w:bookmarkStart w:id="146" w:name="_Toc461437508"/>
      <w:r>
        <w:t>6.</w:t>
      </w:r>
      <w:r>
        <w:tab/>
      </w:r>
      <w:r>
        <w:rPr>
          <w:noProof/>
        </w:rPr>
        <w:t xml:space="preserve">Corrections appliquées par les États membres eux-mêmes en 2015 avant l’exécution des paiements en faveur des bénéficiaires </w:t>
      </w:r>
      <w:r>
        <w:rPr>
          <w:noProof/>
          <w:sz w:val="18"/>
        </w:rPr>
        <w:t>(en plus des rapports établis par la Commission</w:t>
      </w:r>
      <w:r>
        <w:rPr>
          <w:rStyle w:val="FootnoteReference"/>
          <w:rFonts w:ascii="Verdana" w:hAnsi="Verdana"/>
          <w:noProof/>
          <w:sz w:val="18"/>
        </w:rPr>
        <w:footnoteReference w:id="31"/>
      </w:r>
      <w:r>
        <w:rPr>
          <w:noProof/>
          <w:sz w:val="18"/>
        </w:rPr>
        <w:t>)</w:t>
      </w:r>
      <w:bookmarkEnd w:id="145"/>
      <w:bookmarkEnd w:id="146"/>
    </w:p>
    <w:p>
      <w:pPr>
        <w:spacing w:after="0" w:line="240" w:lineRule="auto"/>
        <w:jc w:val="both"/>
        <w:rPr>
          <w:rFonts w:ascii="Verdana" w:hAnsi="Verdana"/>
          <w:b/>
          <w:i/>
          <w:noProof/>
          <w:sz w:val="20"/>
          <w:szCs w:val="20"/>
        </w:rPr>
      </w:pPr>
    </w:p>
    <w:tbl>
      <w:tblPr>
        <w:tblW w:w="8300" w:type="dxa"/>
        <w:tblInd w:w="93" w:type="dxa"/>
        <w:tblLook w:val="04A0" w:firstRow="1" w:lastRow="0" w:firstColumn="1" w:lastColumn="0" w:noHBand="0" w:noVBand="1"/>
      </w:tblPr>
      <w:tblGrid>
        <w:gridCol w:w="1660"/>
        <w:gridCol w:w="1660"/>
        <w:gridCol w:w="1660"/>
        <w:gridCol w:w="1660"/>
        <w:gridCol w:w="1660"/>
      </w:tblGrid>
      <w:tr>
        <w:trPr>
          <w:trHeight w:val="315"/>
        </w:trPr>
        <w:tc>
          <w:tcPr>
            <w:tcW w:w="8300" w:type="dxa"/>
            <w:gridSpan w:val="5"/>
            <w:tcBorders>
              <w:top w:val="nil"/>
              <w:left w:val="nil"/>
              <w:bottom w:val="single" w:sz="8" w:space="0" w:color="auto"/>
              <w:right w:val="nil"/>
            </w:tcBorders>
            <w:shd w:val="clear" w:color="auto" w:fill="auto"/>
            <w:noWrap/>
            <w:vAlign w:val="center"/>
            <w:hideMark/>
          </w:tcPr>
          <w:p>
            <w:pPr>
              <w:spacing w:after="0" w:line="240" w:lineRule="auto"/>
              <w:jc w:val="right"/>
              <w:rPr>
                <w:rFonts w:ascii="Verdana" w:eastAsia="Times New Roman" w:hAnsi="Verdana" w:cs="Arial"/>
                <w:i/>
                <w:iCs/>
                <w:noProof/>
                <w:color w:val="000000"/>
                <w:sz w:val="20"/>
                <w:szCs w:val="20"/>
              </w:rPr>
            </w:pPr>
            <w:r>
              <w:rPr>
                <w:rFonts w:ascii="Verdana" w:hAnsi="Verdana"/>
                <w:i/>
                <w:noProof/>
                <w:color w:val="000000"/>
                <w:sz w:val="16"/>
              </w:rPr>
              <w:t>En Mio EUR</w:t>
            </w:r>
          </w:p>
        </w:tc>
      </w:tr>
      <w:tr>
        <w:trPr>
          <w:trHeight w:val="435"/>
        </w:trPr>
        <w:tc>
          <w:tcPr>
            <w:tcW w:w="1660" w:type="dxa"/>
            <w:tcBorders>
              <w:top w:val="nil"/>
              <w:left w:val="single" w:sz="8" w:space="0" w:color="auto"/>
              <w:bottom w:val="single" w:sz="8" w:space="0" w:color="auto"/>
              <w:right w:val="nil"/>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État membre</w:t>
            </w:r>
          </w:p>
        </w:tc>
        <w:tc>
          <w:tcPr>
            <w:tcW w:w="1660" w:type="dxa"/>
            <w:tcBorders>
              <w:top w:val="nil"/>
              <w:left w:val="single" w:sz="8" w:space="0" w:color="auto"/>
              <w:bottom w:val="single" w:sz="8" w:space="0" w:color="auto"/>
              <w:right w:val="nil"/>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Mesures de marché FEAGA</w:t>
            </w:r>
          </w:p>
        </w:tc>
        <w:tc>
          <w:tcPr>
            <w:tcW w:w="1660" w:type="dxa"/>
            <w:tcBorders>
              <w:top w:val="nil"/>
              <w:left w:val="single" w:sz="8" w:space="0" w:color="auto"/>
              <w:bottom w:val="single" w:sz="8" w:space="0" w:color="auto"/>
              <w:right w:val="nil"/>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Paiements directs FEAGA</w:t>
            </w:r>
          </w:p>
        </w:tc>
        <w:tc>
          <w:tcPr>
            <w:tcW w:w="1660" w:type="dxa"/>
            <w:tcBorders>
              <w:top w:val="nil"/>
              <w:left w:val="single" w:sz="8" w:space="0" w:color="auto"/>
              <w:bottom w:val="single" w:sz="8" w:space="0" w:color="auto"/>
              <w:right w:val="nil"/>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Feader</w:t>
            </w:r>
          </w:p>
        </w:tc>
        <w:tc>
          <w:tcPr>
            <w:tcW w:w="1660" w:type="dxa"/>
            <w:tcBorders>
              <w:top w:val="nil"/>
              <w:left w:val="single" w:sz="8" w:space="0" w:color="auto"/>
              <w:bottom w:val="single" w:sz="8" w:space="0" w:color="auto"/>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Total 2015</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Belgique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0,3</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1,2</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0,9</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2,4</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Bulgarie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0,2</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13,5</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7,2</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20,8</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République tchèque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0,0</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0,3</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0,8</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1,1</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Danemark</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0,0</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1,1</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1,4</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2,6</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Allemagne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4,7</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5,1</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7,5</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17,3</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Estonie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0,0</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0,6</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1,4</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2,0</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Irlande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3,0</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2,6</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0,7</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6,2</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Grèce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0,6</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11,6</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6,4</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18,6</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Espagne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27,0</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25,9</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17,2</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70,1</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France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9,5</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5,2</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5,6</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20,4</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Croatie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0,1</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1,0</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0,0</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1,1</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Italie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3,9</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26,9</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8,0</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38,8</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Chypre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0,1</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0,7</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0,2</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0,9</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Lettonie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0,0</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1,2</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1,6</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2,8</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Lituanie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0,0</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0,8</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2,9</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3,7</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Luxembourg</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0,0</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0,0</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0,1</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0,1</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Hongrie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2,6</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11,3</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15,3</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29,1</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Malte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0,0</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0,0</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0,4</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0,4</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Pays-Bas</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6,5</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0,8</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1,8</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9,1</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Autriche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2,2</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2,4</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3,5</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8,1</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Pologne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12,8</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12,5</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9,9</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35,2</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Portugal</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0,9</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2,6</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5,5</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9,0</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Roumanie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2,1</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11,5</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13,3</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26,9</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Slovénie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0,1</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0,2</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0,9</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1,2</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Slovaquie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0,2</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3,6</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1,2</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4,9</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Finlande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0,0</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2,1</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2,3</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4,4</w:t>
            </w:r>
          </w:p>
        </w:tc>
      </w:tr>
      <w:tr>
        <w:trPr>
          <w:trHeight w:val="300"/>
        </w:trPr>
        <w:tc>
          <w:tcPr>
            <w:tcW w:w="1660" w:type="dxa"/>
            <w:tcBorders>
              <w:top w:val="nil"/>
              <w:left w:val="single" w:sz="8" w:space="0" w:color="auto"/>
              <w:bottom w:val="nil"/>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Suède</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4,6</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0,7</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2,3</w:t>
            </w:r>
          </w:p>
        </w:tc>
        <w:tc>
          <w:tcPr>
            <w:tcW w:w="1660" w:type="dxa"/>
            <w:tcBorders>
              <w:top w:val="nil"/>
              <w:left w:val="nil"/>
              <w:bottom w:val="nil"/>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7,6</w:t>
            </w:r>
          </w:p>
        </w:tc>
      </w:tr>
      <w:tr>
        <w:trPr>
          <w:trHeight w:val="315"/>
        </w:trPr>
        <w:tc>
          <w:tcPr>
            <w:tcW w:w="1660" w:type="dxa"/>
            <w:tcBorders>
              <w:top w:val="nil"/>
              <w:left w:val="single" w:sz="8" w:space="0" w:color="auto"/>
              <w:bottom w:val="single" w:sz="8" w:space="0" w:color="auto"/>
              <w:right w:val="single" w:sz="8" w:space="0" w:color="auto"/>
            </w:tcBorders>
            <w:shd w:val="clear" w:color="auto" w:fill="auto"/>
            <w:noWrap/>
            <w:hideMark/>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Royaume-Uni</w:t>
            </w:r>
          </w:p>
        </w:tc>
        <w:tc>
          <w:tcPr>
            <w:tcW w:w="1660" w:type="dxa"/>
            <w:tcBorders>
              <w:top w:val="nil"/>
              <w:left w:val="nil"/>
              <w:bottom w:val="single" w:sz="8" w:space="0" w:color="auto"/>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0,6</w:t>
            </w:r>
          </w:p>
        </w:tc>
        <w:tc>
          <w:tcPr>
            <w:tcW w:w="1660" w:type="dxa"/>
            <w:tcBorders>
              <w:top w:val="nil"/>
              <w:left w:val="nil"/>
              <w:bottom w:val="single" w:sz="8" w:space="0" w:color="auto"/>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2,7</w:t>
            </w:r>
          </w:p>
        </w:tc>
        <w:tc>
          <w:tcPr>
            <w:tcW w:w="1660" w:type="dxa"/>
            <w:tcBorders>
              <w:top w:val="nil"/>
              <w:left w:val="nil"/>
              <w:bottom w:val="single" w:sz="8" w:space="0" w:color="auto"/>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5,2</w:t>
            </w:r>
          </w:p>
        </w:tc>
        <w:tc>
          <w:tcPr>
            <w:tcW w:w="1660" w:type="dxa"/>
            <w:tcBorders>
              <w:top w:val="nil"/>
              <w:left w:val="nil"/>
              <w:bottom w:val="single" w:sz="8" w:space="0" w:color="auto"/>
              <w:right w:val="single" w:sz="8" w:space="0" w:color="auto"/>
            </w:tcBorders>
            <w:shd w:val="clear" w:color="auto" w:fill="auto"/>
            <w:noWrap/>
            <w:hideMark/>
          </w:tcPr>
          <w:p>
            <w:pPr>
              <w:autoSpaceDE w:val="0"/>
              <w:autoSpaceDN w:val="0"/>
              <w:adjustRightInd w:val="0"/>
              <w:spacing w:after="0" w:line="240" w:lineRule="auto"/>
              <w:jc w:val="center"/>
              <w:rPr>
                <w:rFonts w:ascii="Verdana" w:hAnsi="Verdana" w:cs="Verdana"/>
                <w:noProof/>
                <w:color w:val="000000"/>
                <w:sz w:val="16"/>
                <w:szCs w:val="16"/>
              </w:rPr>
            </w:pPr>
            <w:r>
              <w:rPr>
                <w:rFonts w:ascii="Verdana" w:hAnsi="Verdana"/>
                <w:noProof/>
                <w:color w:val="000000"/>
                <w:sz w:val="16"/>
              </w:rPr>
              <w:t>8,5</w:t>
            </w:r>
          </w:p>
        </w:tc>
      </w:tr>
      <w:tr>
        <w:trPr>
          <w:trHeight w:val="315"/>
        </w:trPr>
        <w:tc>
          <w:tcPr>
            <w:tcW w:w="1660" w:type="dxa"/>
            <w:tcBorders>
              <w:top w:val="nil"/>
              <w:left w:val="single" w:sz="8" w:space="0" w:color="auto"/>
              <w:bottom w:val="single" w:sz="8" w:space="0" w:color="auto"/>
              <w:right w:val="single" w:sz="8" w:space="0" w:color="auto"/>
            </w:tcBorders>
            <w:shd w:val="clear" w:color="auto" w:fill="auto"/>
            <w:noWrap/>
            <w:vAlign w:val="center"/>
          </w:tcPr>
          <w:p>
            <w:pPr>
              <w:autoSpaceDE w:val="0"/>
              <w:autoSpaceDN w:val="0"/>
              <w:adjustRightInd w:val="0"/>
              <w:spacing w:after="0" w:line="240" w:lineRule="auto"/>
              <w:jc w:val="center"/>
              <w:rPr>
                <w:rFonts w:ascii="Verdana" w:hAnsi="Verdana" w:cs="Verdana"/>
                <w:b/>
                <w:bCs/>
                <w:noProof/>
                <w:color w:val="000000"/>
                <w:sz w:val="16"/>
                <w:szCs w:val="16"/>
              </w:rPr>
            </w:pPr>
            <w:r>
              <w:rPr>
                <w:rFonts w:ascii="Verdana" w:hAnsi="Verdana"/>
                <w:b/>
                <w:noProof/>
                <w:color w:val="000000"/>
                <w:sz w:val="16"/>
              </w:rPr>
              <w:t>Total</w:t>
            </w:r>
          </w:p>
        </w:tc>
        <w:tc>
          <w:tcPr>
            <w:tcW w:w="1660" w:type="dxa"/>
            <w:tcBorders>
              <w:top w:val="nil"/>
              <w:left w:val="nil"/>
              <w:bottom w:val="single" w:sz="8" w:space="0" w:color="auto"/>
              <w:right w:val="single" w:sz="8" w:space="0" w:color="auto"/>
            </w:tcBorders>
            <w:shd w:val="clear" w:color="auto" w:fill="auto"/>
            <w:noWrap/>
            <w:vAlign w:val="center"/>
          </w:tcPr>
          <w:p>
            <w:pPr>
              <w:autoSpaceDE w:val="0"/>
              <w:autoSpaceDN w:val="0"/>
              <w:adjustRightInd w:val="0"/>
              <w:spacing w:after="0" w:line="240" w:lineRule="auto"/>
              <w:jc w:val="center"/>
              <w:rPr>
                <w:rFonts w:ascii="Verdana" w:hAnsi="Verdana" w:cs="Verdana"/>
                <w:b/>
                <w:bCs/>
                <w:noProof/>
                <w:color w:val="000000"/>
                <w:sz w:val="16"/>
                <w:szCs w:val="16"/>
              </w:rPr>
            </w:pPr>
            <w:r>
              <w:rPr>
                <w:rFonts w:ascii="Verdana" w:hAnsi="Verdana"/>
                <w:b/>
                <w:noProof/>
                <w:color w:val="000000"/>
                <w:sz w:val="16"/>
              </w:rPr>
              <w:t>81,9</w:t>
            </w:r>
          </w:p>
        </w:tc>
        <w:tc>
          <w:tcPr>
            <w:tcW w:w="1660" w:type="dxa"/>
            <w:tcBorders>
              <w:top w:val="nil"/>
              <w:left w:val="nil"/>
              <w:bottom w:val="single" w:sz="8" w:space="0" w:color="auto"/>
              <w:right w:val="single" w:sz="8" w:space="0" w:color="auto"/>
            </w:tcBorders>
            <w:shd w:val="clear" w:color="auto" w:fill="auto"/>
            <w:noWrap/>
            <w:vAlign w:val="center"/>
          </w:tcPr>
          <w:p>
            <w:pPr>
              <w:autoSpaceDE w:val="0"/>
              <w:autoSpaceDN w:val="0"/>
              <w:adjustRightInd w:val="0"/>
              <w:spacing w:after="0" w:line="240" w:lineRule="auto"/>
              <w:jc w:val="center"/>
              <w:rPr>
                <w:rFonts w:ascii="Verdana" w:hAnsi="Verdana" w:cs="Verdana"/>
                <w:b/>
                <w:bCs/>
                <w:noProof/>
                <w:color w:val="000000"/>
                <w:sz w:val="16"/>
                <w:szCs w:val="16"/>
              </w:rPr>
            </w:pPr>
            <w:r>
              <w:rPr>
                <w:rFonts w:ascii="Verdana" w:hAnsi="Verdana"/>
                <w:b/>
                <w:noProof/>
                <w:color w:val="000000"/>
                <w:sz w:val="16"/>
              </w:rPr>
              <w:t>148,0</w:t>
            </w:r>
          </w:p>
        </w:tc>
        <w:tc>
          <w:tcPr>
            <w:tcW w:w="1660" w:type="dxa"/>
            <w:tcBorders>
              <w:top w:val="nil"/>
              <w:left w:val="nil"/>
              <w:bottom w:val="single" w:sz="8" w:space="0" w:color="auto"/>
              <w:right w:val="single" w:sz="8" w:space="0" w:color="auto"/>
            </w:tcBorders>
            <w:shd w:val="clear" w:color="auto" w:fill="auto"/>
            <w:noWrap/>
            <w:vAlign w:val="center"/>
          </w:tcPr>
          <w:p>
            <w:pPr>
              <w:autoSpaceDE w:val="0"/>
              <w:autoSpaceDN w:val="0"/>
              <w:adjustRightInd w:val="0"/>
              <w:spacing w:after="0" w:line="240" w:lineRule="auto"/>
              <w:jc w:val="center"/>
              <w:rPr>
                <w:rFonts w:ascii="Verdana" w:hAnsi="Verdana" w:cs="Verdana"/>
                <w:b/>
                <w:bCs/>
                <w:noProof/>
                <w:color w:val="000000"/>
                <w:sz w:val="16"/>
                <w:szCs w:val="16"/>
              </w:rPr>
            </w:pPr>
            <w:r>
              <w:rPr>
                <w:rFonts w:ascii="Verdana" w:hAnsi="Verdana"/>
                <w:b/>
                <w:noProof/>
                <w:color w:val="000000"/>
                <w:sz w:val="16"/>
              </w:rPr>
              <w:t>123,3</w:t>
            </w:r>
          </w:p>
        </w:tc>
        <w:tc>
          <w:tcPr>
            <w:tcW w:w="1660" w:type="dxa"/>
            <w:tcBorders>
              <w:top w:val="nil"/>
              <w:left w:val="nil"/>
              <w:bottom w:val="single" w:sz="8" w:space="0" w:color="auto"/>
              <w:right w:val="single" w:sz="8" w:space="0" w:color="auto"/>
            </w:tcBorders>
            <w:shd w:val="clear" w:color="auto" w:fill="auto"/>
            <w:noWrap/>
            <w:vAlign w:val="center"/>
          </w:tcPr>
          <w:p>
            <w:pPr>
              <w:autoSpaceDE w:val="0"/>
              <w:autoSpaceDN w:val="0"/>
              <w:adjustRightInd w:val="0"/>
              <w:spacing w:after="0" w:line="240" w:lineRule="auto"/>
              <w:jc w:val="center"/>
              <w:rPr>
                <w:rFonts w:ascii="Verdana" w:hAnsi="Verdana" w:cs="Verdana"/>
                <w:b/>
                <w:bCs/>
                <w:noProof/>
                <w:color w:val="000000"/>
                <w:sz w:val="16"/>
                <w:szCs w:val="16"/>
              </w:rPr>
            </w:pPr>
            <w:r>
              <w:rPr>
                <w:rFonts w:ascii="Verdana" w:hAnsi="Verdana"/>
                <w:b/>
                <w:noProof/>
                <w:color w:val="000000"/>
                <w:sz w:val="16"/>
              </w:rPr>
              <w:t>353,2</w:t>
            </w:r>
          </w:p>
        </w:tc>
      </w:tr>
    </w:tbl>
    <w:p>
      <w:pPr>
        <w:spacing w:after="0" w:line="240" w:lineRule="auto"/>
        <w:rPr>
          <w:rFonts w:ascii="Verdana" w:eastAsia="Times New Roman" w:hAnsi="Verdana"/>
          <w:b/>
          <w:bCs/>
          <w:noProof/>
          <w:color w:val="000000"/>
          <w:sz w:val="16"/>
          <w:szCs w:val="16"/>
        </w:rPr>
      </w:pPr>
    </w:p>
    <w:p>
      <w:pPr>
        <w:spacing w:after="0" w:line="240" w:lineRule="auto"/>
        <w:rPr>
          <w:rFonts w:ascii="Verdana" w:eastAsia="Times New Roman" w:hAnsi="Verdana"/>
          <w:b/>
          <w:bCs/>
          <w:noProof/>
          <w:color w:val="000000"/>
          <w:sz w:val="16"/>
          <w:szCs w:val="16"/>
        </w:rPr>
      </w:pPr>
      <w:r>
        <w:rPr>
          <w:noProof/>
        </w:rPr>
        <w:br w:type="page"/>
      </w:r>
    </w:p>
    <w:p>
      <w:pPr>
        <w:pStyle w:val="ManualHeading2"/>
        <w:rPr>
          <w:i/>
          <w:noProof/>
          <w:szCs w:val="22"/>
        </w:rPr>
      </w:pPr>
      <w:bookmarkStart w:id="147" w:name="_Toc456258184"/>
      <w:bookmarkStart w:id="148" w:name="_Toc461437509"/>
      <w:r>
        <w:t>7.</w:t>
      </w:r>
      <w:r>
        <w:tab/>
      </w:r>
      <w:r>
        <w:rPr>
          <w:noProof/>
        </w:rPr>
        <w:t>Corrections cumulées à la fin de 2015, telles que communiquées par les États membres, pour la politique de cohésion durant la période 2007-2013</w:t>
      </w:r>
      <w:r>
        <w:rPr>
          <w:rStyle w:val="FootnoteReference"/>
          <w:rFonts w:ascii="Verdana" w:hAnsi="Verdana"/>
          <w:b w:val="0"/>
          <w:noProof/>
          <w:sz w:val="22"/>
        </w:rPr>
        <w:footnoteReference w:id="32"/>
      </w:r>
      <w:bookmarkEnd w:id="147"/>
      <w:bookmarkEnd w:id="148"/>
    </w:p>
    <w:p>
      <w:pPr>
        <w:spacing w:after="0" w:line="240" w:lineRule="auto"/>
        <w:jc w:val="both"/>
        <w:rPr>
          <w:rFonts w:ascii="Verdana" w:hAnsi="Verdana"/>
          <w:b/>
          <w:i/>
          <w:noProof/>
          <w:sz w:val="18"/>
        </w:rPr>
      </w:pPr>
    </w:p>
    <w:tbl>
      <w:tblPr>
        <w:tblW w:w="3117" w:type="pct"/>
        <w:tblInd w:w="1144" w:type="dxa"/>
        <w:tblLook w:val="04A0" w:firstRow="1" w:lastRow="0" w:firstColumn="1" w:lastColumn="0" w:noHBand="0" w:noVBand="1"/>
      </w:tblPr>
      <w:tblGrid>
        <w:gridCol w:w="2140"/>
        <w:gridCol w:w="1127"/>
        <w:gridCol w:w="871"/>
        <w:gridCol w:w="757"/>
        <w:gridCol w:w="984"/>
      </w:tblGrid>
      <w:tr>
        <w:trPr>
          <w:trHeight w:val="270"/>
        </w:trPr>
        <w:tc>
          <w:tcPr>
            <w:tcW w:w="5000" w:type="pct"/>
            <w:gridSpan w:val="5"/>
            <w:tcBorders>
              <w:top w:val="nil"/>
              <w:left w:val="nil"/>
              <w:bottom w:val="single" w:sz="8" w:space="0" w:color="auto"/>
              <w:right w:val="nil"/>
            </w:tcBorders>
            <w:shd w:val="clear" w:color="auto" w:fill="auto"/>
            <w:vAlign w:val="center"/>
            <w:hideMark/>
          </w:tcPr>
          <w:p>
            <w:pPr>
              <w:spacing w:after="0" w:line="240" w:lineRule="auto"/>
              <w:jc w:val="right"/>
              <w:rPr>
                <w:rFonts w:ascii="Verdana" w:eastAsia="Times New Roman" w:hAnsi="Verdana"/>
                <w:i/>
                <w:iCs/>
                <w:noProof/>
                <w:color w:val="000000"/>
                <w:sz w:val="16"/>
                <w:szCs w:val="16"/>
              </w:rPr>
            </w:pPr>
            <w:r>
              <w:rPr>
                <w:rFonts w:ascii="Verdana" w:hAnsi="Verdana"/>
                <w:i/>
                <w:noProof/>
                <w:color w:val="000000"/>
                <w:sz w:val="16"/>
              </w:rPr>
              <w:t>En Mio EUR</w:t>
            </w:r>
          </w:p>
        </w:tc>
      </w:tr>
      <w:tr>
        <w:trPr>
          <w:trHeight w:val="255"/>
        </w:trPr>
        <w:tc>
          <w:tcPr>
            <w:tcW w:w="1843" w:type="pct"/>
            <w:vMerge w:val="restart"/>
            <w:tcBorders>
              <w:top w:val="nil"/>
              <w:left w:val="single" w:sz="8" w:space="0" w:color="auto"/>
              <w:bottom w:val="single" w:sz="8" w:space="0" w:color="000000"/>
              <w:right w:val="single" w:sz="8" w:space="0" w:color="auto"/>
            </w:tcBorders>
            <w:shd w:val="clear" w:color="000000" w:fill="99CCFF"/>
            <w:vAlign w:val="center"/>
            <w:hideMark/>
          </w:tcPr>
          <w:p>
            <w:pPr>
              <w:spacing w:after="0" w:line="240" w:lineRule="auto"/>
              <w:jc w:val="both"/>
              <w:rPr>
                <w:rFonts w:ascii="Verdana" w:eastAsia="Times New Roman" w:hAnsi="Verdana"/>
                <w:b/>
                <w:bCs/>
                <w:noProof/>
                <w:color w:val="000000"/>
                <w:sz w:val="16"/>
                <w:szCs w:val="16"/>
              </w:rPr>
            </w:pPr>
            <w:r>
              <w:rPr>
                <w:rFonts w:ascii="Verdana" w:hAnsi="Verdana"/>
                <w:b/>
                <w:noProof/>
                <w:color w:val="000000"/>
                <w:sz w:val="16"/>
              </w:rPr>
              <w:t>État membre</w:t>
            </w:r>
          </w:p>
        </w:tc>
        <w:tc>
          <w:tcPr>
            <w:tcW w:w="866" w:type="pct"/>
            <w:vMerge w:val="restart"/>
            <w:tcBorders>
              <w:top w:val="nil"/>
              <w:left w:val="single" w:sz="8" w:space="0" w:color="auto"/>
              <w:bottom w:val="single" w:sz="8" w:space="0" w:color="000000"/>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FEDER/FC</w:t>
            </w:r>
          </w:p>
        </w:tc>
        <w:tc>
          <w:tcPr>
            <w:tcW w:w="764" w:type="pct"/>
            <w:vMerge w:val="restart"/>
            <w:tcBorders>
              <w:top w:val="nil"/>
              <w:left w:val="single" w:sz="8" w:space="0" w:color="auto"/>
              <w:bottom w:val="single" w:sz="8" w:space="0" w:color="000000"/>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FSE</w:t>
            </w:r>
          </w:p>
        </w:tc>
        <w:tc>
          <w:tcPr>
            <w:tcW w:w="667" w:type="pct"/>
            <w:vMerge w:val="restart"/>
            <w:tcBorders>
              <w:top w:val="nil"/>
              <w:left w:val="single" w:sz="8" w:space="0" w:color="auto"/>
              <w:bottom w:val="single" w:sz="8" w:space="0" w:color="000000"/>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FEP</w:t>
            </w:r>
          </w:p>
        </w:tc>
        <w:tc>
          <w:tcPr>
            <w:tcW w:w="860" w:type="pct"/>
            <w:vMerge w:val="restart"/>
            <w:tcBorders>
              <w:top w:val="nil"/>
              <w:left w:val="single" w:sz="8" w:space="0" w:color="auto"/>
              <w:bottom w:val="single" w:sz="8" w:space="0" w:color="000000"/>
              <w:right w:val="single" w:sz="8" w:space="0" w:color="auto"/>
            </w:tcBorders>
            <w:shd w:val="clear" w:color="000000" w:fill="99CCFF"/>
            <w:vAlign w:val="center"/>
            <w:hideMark/>
          </w:tcPr>
          <w:p>
            <w:pPr>
              <w:spacing w:after="0" w:line="240" w:lineRule="auto"/>
              <w:jc w:val="center"/>
              <w:rPr>
                <w:rFonts w:ascii="Verdana" w:eastAsia="Times New Roman" w:hAnsi="Verdana"/>
                <w:b/>
                <w:bCs/>
                <w:noProof/>
                <w:color w:val="000000"/>
                <w:sz w:val="16"/>
                <w:szCs w:val="16"/>
              </w:rPr>
            </w:pPr>
            <w:r>
              <w:rPr>
                <w:rFonts w:ascii="Verdana" w:hAnsi="Verdana"/>
                <w:b/>
                <w:noProof/>
                <w:color w:val="000000"/>
                <w:sz w:val="16"/>
              </w:rPr>
              <w:t>Total</w:t>
            </w:r>
          </w:p>
        </w:tc>
      </w:tr>
      <w:tr>
        <w:trPr>
          <w:trHeight w:val="270"/>
        </w:trPr>
        <w:tc>
          <w:tcPr>
            <w:tcW w:w="1843" w:type="pct"/>
            <w:vMerge/>
            <w:tcBorders>
              <w:top w:val="nil"/>
              <w:left w:val="single" w:sz="8" w:space="0" w:color="auto"/>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z w:val="16"/>
                <w:szCs w:val="16"/>
              </w:rPr>
            </w:pPr>
          </w:p>
        </w:tc>
        <w:tc>
          <w:tcPr>
            <w:tcW w:w="866" w:type="pct"/>
            <w:vMerge/>
            <w:tcBorders>
              <w:top w:val="nil"/>
              <w:left w:val="single" w:sz="8" w:space="0" w:color="auto"/>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z w:val="16"/>
                <w:szCs w:val="16"/>
              </w:rPr>
            </w:pPr>
          </w:p>
        </w:tc>
        <w:tc>
          <w:tcPr>
            <w:tcW w:w="764" w:type="pct"/>
            <w:vMerge/>
            <w:tcBorders>
              <w:top w:val="nil"/>
              <w:left w:val="single" w:sz="8" w:space="0" w:color="auto"/>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z w:val="16"/>
                <w:szCs w:val="16"/>
              </w:rPr>
            </w:pPr>
          </w:p>
        </w:tc>
        <w:tc>
          <w:tcPr>
            <w:tcW w:w="667" w:type="pct"/>
            <w:vMerge/>
            <w:tcBorders>
              <w:top w:val="nil"/>
              <w:left w:val="single" w:sz="8" w:space="0" w:color="auto"/>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z w:val="16"/>
                <w:szCs w:val="16"/>
              </w:rPr>
            </w:pPr>
          </w:p>
        </w:tc>
        <w:tc>
          <w:tcPr>
            <w:tcW w:w="860" w:type="pct"/>
            <w:vMerge/>
            <w:tcBorders>
              <w:top w:val="nil"/>
              <w:left w:val="single" w:sz="8" w:space="0" w:color="auto"/>
              <w:bottom w:val="single" w:sz="8" w:space="0" w:color="000000"/>
              <w:right w:val="single" w:sz="8" w:space="0" w:color="auto"/>
            </w:tcBorders>
            <w:vAlign w:val="center"/>
            <w:hideMark/>
          </w:tcPr>
          <w:p>
            <w:pPr>
              <w:spacing w:after="0" w:line="240" w:lineRule="auto"/>
              <w:rPr>
                <w:rFonts w:ascii="Verdana" w:eastAsia="Times New Roman" w:hAnsi="Verdana"/>
                <w:b/>
                <w:bCs/>
                <w:noProof/>
                <w:color w:val="000000"/>
                <w:sz w:val="16"/>
                <w:szCs w:val="16"/>
              </w:rPr>
            </w:pP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Belgique</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5,2</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23,4</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28,6</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Bulgarie</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62,8</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4,8</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67,7</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République tchèque</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336,4</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2,8</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339,1</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Danemark</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0,7</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0,1</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0,2</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1,0</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Allemagne</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393,7</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99,2</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1,2</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494,1</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Estonie</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19,0</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0,7</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0,5</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20,3</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Irlande</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0,8</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18,2</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0,2</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19,1</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Grèce</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672,7</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33,3</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0,1</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706,2</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Espagne</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499,7</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240,7</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47,1</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787,5</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France</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164,9</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64,2</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2,4</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231,5</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Croatie</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1,7</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0,3</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2,0</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Italie</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435,8</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111,6</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4,2</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551,6</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Chypre</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0,7</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0,6</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0,3</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1,7</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Lettonie</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4,1</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2,5</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1,2</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7,8</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Lituanie</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18,8</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0,6</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0,1</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19,5</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Luxembourg</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1,0</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1,0</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Hongrie</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302,1</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2,7</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0,1</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304,9</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Malte</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1,6</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0,3</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0,0</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1,9</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Pays-Bas</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10,0</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5,5</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5,5</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21,0</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Autriche</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10,8</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4,4</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0,0</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15,1</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Pologne</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530,4</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0,8</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531,1</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Portugal</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223,1</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73,4</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2,5</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299,0</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Roumanie</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252,3</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252,3</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Slovénie</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73,8</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6,8</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0,0</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80,7</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Slovaquie</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168,6</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8,9</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0,1</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177,5</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Finlande</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2,0</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0,9</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1,0</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3,9</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Suède</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7,1</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1,4</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0,3</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8,8</w:t>
            </w:r>
          </w:p>
        </w:tc>
      </w:tr>
      <w:tr>
        <w:trPr>
          <w:trHeight w:val="244"/>
        </w:trPr>
        <w:tc>
          <w:tcPr>
            <w:tcW w:w="1843" w:type="pct"/>
            <w:tcBorders>
              <w:top w:val="nil"/>
              <w:left w:val="single" w:sz="8" w:space="0" w:color="auto"/>
              <w:bottom w:val="nil"/>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Royaume-Uni</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137,3</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42,8</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2,7</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182,7</w:t>
            </w:r>
          </w:p>
        </w:tc>
      </w:tr>
      <w:tr>
        <w:trPr>
          <w:trHeight w:val="244"/>
        </w:trPr>
        <w:tc>
          <w:tcPr>
            <w:tcW w:w="1843" w:type="pct"/>
            <w:tcBorders>
              <w:top w:val="nil"/>
              <w:left w:val="single" w:sz="8" w:space="0" w:color="auto"/>
              <w:bottom w:val="single" w:sz="8" w:space="0" w:color="auto"/>
              <w:right w:val="single" w:sz="8" w:space="0" w:color="auto"/>
            </w:tcBorders>
            <w:shd w:val="clear" w:color="auto" w:fill="auto"/>
            <w:noWrap/>
          </w:tcPr>
          <w:p>
            <w:pPr>
              <w:autoSpaceDE w:val="0"/>
              <w:autoSpaceDN w:val="0"/>
              <w:adjustRightInd w:val="0"/>
              <w:spacing w:after="0" w:line="240" w:lineRule="auto"/>
              <w:rPr>
                <w:rFonts w:ascii="Verdana" w:hAnsi="Verdana" w:cs="Verdana"/>
                <w:noProof/>
                <w:color w:val="000000"/>
                <w:sz w:val="16"/>
                <w:szCs w:val="16"/>
              </w:rPr>
            </w:pPr>
            <w:r>
              <w:rPr>
                <w:rFonts w:ascii="Verdana" w:hAnsi="Verdana"/>
                <w:noProof/>
                <w:color w:val="000000"/>
                <w:sz w:val="16"/>
              </w:rPr>
              <w:t>Transfrontières</w:t>
            </w:r>
          </w:p>
        </w:tc>
        <w:tc>
          <w:tcPr>
            <w:tcW w:w="866"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35,6</w:t>
            </w:r>
          </w:p>
        </w:tc>
        <w:tc>
          <w:tcPr>
            <w:tcW w:w="764"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667" w:type="pct"/>
            <w:tcBorders>
              <w:top w:val="nil"/>
              <w:left w:val="nil"/>
              <w:bottom w:val="nil"/>
              <w:right w:val="single" w:sz="8" w:space="0" w:color="auto"/>
            </w:tcBorders>
            <w:shd w:val="clear" w:color="auto" w:fill="auto"/>
          </w:tcPr>
          <w:p>
            <w:pPr>
              <w:autoSpaceDE w:val="0"/>
              <w:autoSpaceDN w:val="0"/>
              <w:adjustRightInd w:val="0"/>
              <w:spacing w:after="0" w:line="240" w:lineRule="auto"/>
              <w:jc w:val="right"/>
              <w:rPr>
                <w:rFonts w:ascii="Verdana" w:hAnsi="Verdana" w:cs="Verdana"/>
                <w:noProof/>
                <w:color w:val="000000"/>
                <w:sz w:val="16"/>
                <w:szCs w:val="16"/>
              </w:rPr>
            </w:pPr>
            <w:r>
              <w:rPr>
                <w:rFonts w:ascii="Verdana" w:hAnsi="Verdana"/>
                <w:noProof/>
                <w:color w:val="000000"/>
                <w:sz w:val="16"/>
              </w:rPr>
              <w:t>-</w:t>
            </w:r>
          </w:p>
        </w:tc>
        <w:tc>
          <w:tcPr>
            <w:tcW w:w="860" w:type="pct"/>
            <w:tcBorders>
              <w:top w:val="nil"/>
              <w:left w:val="nil"/>
              <w:bottom w:val="nil"/>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35,6</w:t>
            </w:r>
          </w:p>
        </w:tc>
      </w:tr>
      <w:tr>
        <w:trPr>
          <w:trHeight w:val="300"/>
        </w:trPr>
        <w:tc>
          <w:tcPr>
            <w:tcW w:w="1843" w:type="pct"/>
            <w:tcBorders>
              <w:top w:val="nil"/>
              <w:left w:val="single" w:sz="8" w:space="0" w:color="auto"/>
              <w:bottom w:val="single" w:sz="8" w:space="0" w:color="auto"/>
              <w:right w:val="nil"/>
            </w:tcBorders>
            <w:shd w:val="clear" w:color="auto" w:fill="auto"/>
            <w:noWrap/>
          </w:tcPr>
          <w:p>
            <w:pPr>
              <w:autoSpaceDE w:val="0"/>
              <w:autoSpaceDN w:val="0"/>
              <w:adjustRightInd w:val="0"/>
              <w:spacing w:after="0" w:line="240" w:lineRule="auto"/>
              <w:rPr>
                <w:rFonts w:ascii="Verdana" w:hAnsi="Verdana" w:cs="Verdana"/>
                <w:b/>
                <w:bCs/>
                <w:noProof/>
                <w:color w:val="000000"/>
                <w:sz w:val="16"/>
                <w:szCs w:val="16"/>
              </w:rPr>
            </w:pPr>
            <w:r>
              <w:rPr>
                <w:rFonts w:ascii="Verdana" w:hAnsi="Verdana"/>
                <w:b/>
                <w:noProof/>
                <w:color w:val="000000"/>
                <w:sz w:val="16"/>
              </w:rPr>
              <w:t>TOTAL EXÉCUTÉ</w:t>
            </w:r>
          </w:p>
        </w:tc>
        <w:tc>
          <w:tcPr>
            <w:tcW w:w="866" w:type="pct"/>
            <w:tcBorders>
              <w:top w:val="single" w:sz="8" w:space="0" w:color="auto"/>
              <w:left w:val="single" w:sz="8" w:space="0" w:color="auto"/>
              <w:bottom w:val="single" w:sz="8" w:space="0" w:color="auto"/>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4 371,7</w:t>
            </w:r>
          </w:p>
        </w:tc>
        <w:tc>
          <w:tcPr>
            <w:tcW w:w="764" w:type="pct"/>
            <w:tcBorders>
              <w:top w:val="single" w:sz="8" w:space="0" w:color="auto"/>
              <w:left w:val="nil"/>
              <w:bottom w:val="single" w:sz="8" w:space="0" w:color="auto"/>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751,3</w:t>
            </w:r>
          </w:p>
        </w:tc>
        <w:tc>
          <w:tcPr>
            <w:tcW w:w="667" w:type="pct"/>
            <w:tcBorders>
              <w:top w:val="single" w:sz="8" w:space="0" w:color="auto"/>
              <w:left w:val="nil"/>
              <w:bottom w:val="single" w:sz="8" w:space="0" w:color="auto"/>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70,4</w:t>
            </w:r>
          </w:p>
        </w:tc>
        <w:tc>
          <w:tcPr>
            <w:tcW w:w="860" w:type="pct"/>
            <w:tcBorders>
              <w:top w:val="single" w:sz="8" w:space="0" w:color="auto"/>
              <w:left w:val="nil"/>
              <w:bottom w:val="single" w:sz="8" w:space="0" w:color="auto"/>
              <w:right w:val="single" w:sz="8" w:space="0" w:color="auto"/>
            </w:tcBorders>
            <w:shd w:val="clear" w:color="auto" w:fill="auto"/>
            <w:noWrap/>
          </w:tcPr>
          <w:p>
            <w:pPr>
              <w:autoSpaceDE w:val="0"/>
              <w:autoSpaceDN w:val="0"/>
              <w:adjustRightInd w:val="0"/>
              <w:spacing w:after="0" w:line="240" w:lineRule="auto"/>
              <w:jc w:val="right"/>
              <w:rPr>
                <w:rFonts w:ascii="Verdana" w:hAnsi="Verdana" w:cs="Verdana"/>
                <w:b/>
                <w:bCs/>
                <w:noProof/>
                <w:color w:val="000000"/>
                <w:sz w:val="16"/>
                <w:szCs w:val="16"/>
              </w:rPr>
            </w:pPr>
            <w:r>
              <w:rPr>
                <w:rFonts w:ascii="Verdana" w:hAnsi="Verdana"/>
                <w:b/>
                <w:noProof/>
                <w:color w:val="000000"/>
                <w:sz w:val="16"/>
              </w:rPr>
              <w:t>5 193,5</w:t>
            </w:r>
          </w:p>
        </w:tc>
      </w:tr>
    </w:tbl>
    <w:p>
      <w:pPr>
        <w:spacing w:after="0" w:line="240" w:lineRule="auto"/>
        <w:rPr>
          <w:rFonts w:ascii="Verdana" w:hAnsi="Verdana"/>
          <w:noProof/>
          <w:sz w:val="20"/>
        </w:rPr>
      </w:pPr>
    </w:p>
    <w:p>
      <w:pPr>
        <w:spacing w:after="0" w:line="240" w:lineRule="auto"/>
        <w:rPr>
          <w:rFonts w:ascii="Verdana" w:hAnsi="Verdana"/>
          <w:b/>
          <w:i/>
          <w:noProof/>
          <w:sz w:val="20"/>
        </w:rPr>
      </w:pPr>
    </w:p>
    <w:p>
      <w:pPr>
        <w:spacing w:after="0" w:line="240" w:lineRule="auto"/>
        <w:rPr>
          <w:rFonts w:ascii="Verdana" w:hAnsi="Verdana"/>
          <w:b/>
          <w:i/>
          <w:noProof/>
          <w:sz w:val="20"/>
        </w:rPr>
      </w:pPr>
    </w:p>
    <w:sectPr>
      <w:headerReference w:type="even" r:id="rId31"/>
      <w:headerReference w:type="default" r:id="rId32"/>
      <w:footerReference w:type="even" r:id="rId33"/>
      <w:footerReference w:type="default" r:id="rId34"/>
      <w:headerReference w:type="first" r:id="rId35"/>
      <w:footerReference w:type="first" r:id="rId36"/>
      <w:pgSz w:w="11906" w:h="16838"/>
      <w:pgMar w:top="1440" w:right="1558" w:bottom="1440" w:left="1134" w:header="708" w:footer="708"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Pro">
    <w:altName w:val="Segoe UI"/>
    <w:charset w:val="00"/>
    <w:family w:val="swiss"/>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36346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pPr>
      <w:r>
        <w:rPr>
          <w:rStyle w:val="FootnoteReference"/>
          <w:rFonts w:ascii="Verdana" w:hAnsi="Verdana"/>
          <w:sz w:val="14"/>
        </w:rPr>
        <w:footnoteRef/>
      </w:r>
      <w:r>
        <w:rPr>
          <w:rFonts w:ascii="Verdana" w:hAnsi="Verdana"/>
          <w:sz w:val="14"/>
        </w:rPr>
        <w:t xml:space="preserve"> </w:t>
      </w:r>
      <w:r>
        <w:tab/>
      </w:r>
      <w:r>
        <w:rPr>
          <w:rFonts w:ascii="Verdana" w:hAnsi="Verdana"/>
          <w:sz w:val="14"/>
        </w:rPr>
        <w:t>Règlement (UE, Euratom) nº 966/2012 du Parlement européen et du Conseil du 25 octobre 2012 relatif aux règles financières applicables au budget général de l’Union et abrogeant le règlement (CE, Euratom) nº 1605/2002 du Conseil (JO L 298 du 26.10.2012, p. 1).</w:t>
      </w:r>
    </w:p>
  </w:footnote>
  <w:footnote w:id="2">
    <w:p>
      <w:pPr>
        <w:pStyle w:val="FootnoteText"/>
        <w:spacing w:after="0"/>
      </w:pPr>
      <w:r>
        <w:rPr>
          <w:rStyle w:val="FootnoteReference"/>
          <w:rFonts w:ascii="Verdana" w:hAnsi="Verdana"/>
          <w:sz w:val="14"/>
        </w:rPr>
        <w:footnoteRef/>
      </w:r>
      <w:r>
        <w:t xml:space="preserve"> </w:t>
      </w:r>
      <w:r>
        <w:tab/>
      </w:r>
      <w:r>
        <w:rPr>
          <w:rFonts w:ascii="Verdana" w:hAnsi="Verdana"/>
          <w:sz w:val="14"/>
        </w:rPr>
        <w:t>Règlement (UE) nº 1306/2013 du Parlement européen et du Conseil relatif au financement, à la gestion et au suivi de la politique agricole commune (JO L 347 du 20.12.2013, p. 549).</w:t>
      </w:r>
    </w:p>
  </w:footnote>
  <w:footnote w:id="3">
    <w:p>
      <w:pPr>
        <w:pStyle w:val="FootnoteText"/>
        <w:spacing w:after="0"/>
        <w:rPr>
          <w:rFonts w:ascii="Verdana" w:hAnsi="Verdana"/>
          <w:sz w:val="14"/>
        </w:rPr>
      </w:pPr>
      <w:r>
        <w:rPr>
          <w:rStyle w:val="FootnoteReference"/>
          <w:rFonts w:ascii="Verdana" w:hAnsi="Verdana"/>
          <w:sz w:val="14"/>
        </w:rPr>
        <w:footnoteRef/>
      </w:r>
      <w:r>
        <w:rPr>
          <w:rFonts w:ascii="Verdana" w:hAnsi="Verdana"/>
          <w:sz w:val="14"/>
        </w:rPr>
        <w:t xml:space="preserve"> </w:t>
      </w:r>
      <w:r>
        <w:tab/>
      </w:r>
      <w:r>
        <w:rPr>
          <w:rFonts w:ascii="Verdana" w:hAnsi="Verdana"/>
          <w:sz w:val="14"/>
        </w:rPr>
        <w:t>JO L 255 du 28.8.2014, p. 59.</w:t>
      </w:r>
    </w:p>
  </w:footnote>
  <w:footnote w:id="4">
    <w:p>
      <w:pPr>
        <w:pStyle w:val="FootnoteText"/>
        <w:spacing w:after="0"/>
        <w:rPr>
          <w:rFonts w:ascii="Verdana" w:hAnsi="Verdana" w:cstheme="minorHAnsi"/>
          <w:sz w:val="14"/>
          <w:szCs w:val="16"/>
        </w:rPr>
      </w:pPr>
      <w:r>
        <w:rPr>
          <w:rStyle w:val="FootnoteReference"/>
          <w:rFonts w:ascii="Verdana" w:hAnsi="Verdana" w:cstheme="minorHAnsi"/>
          <w:sz w:val="14"/>
        </w:rPr>
        <w:footnoteRef/>
      </w:r>
      <w:r>
        <w:rPr>
          <w:rFonts w:ascii="Verdana" w:hAnsi="Verdana" w:cstheme="minorHAnsi"/>
          <w:sz w:val="14"/>
        </w:rPr>
        <w:t xml:space="preserve"> </w:t>
      </w:r>
      <w:r>
        <w:tab/>
      </w:r>
      <w:r>
        <w:rPr>
          <w:rFonts w:ascii="Verdana" w:hAnsi="Verdana" w:cstheme="minorHAnsi"/>
          <w:sz w:val="14"/>
        </w:rPr>
        <w:t>Article 54, paragraphe 2, du règlement (UE) nº 1306/2013.</w:t>
      </w:r>
    </w:p>
  </w:footnote>
  <w:footnote w:id="5">
    <w:p>
      <w:pPr>
        <w:pStyle w:val="FootnoteText"/>
        <w:rPr>
          <w:rFonts w:ascii="Verdana" w:hAnsi="Verdana"/>
          <w:sz w:val="14"/>
          <w:szCs w:val="16"/>
        </w:rPr>
      </w:pPr>
      <w:r>
        <w:rPr>
          <w:rStyle w:val="FootnoteReference"/>
          <w:rFonts w:ascii="Verdana" w:hAnsi="Verdana"/>
          <w:sz w:val="14"/>
        </w:rPr>
        <w:footnoteRef/>
      </w:r>
      <w:r>
        <w:rPr>
          <w:rFonts w:ascii="Verdana" w:hAnsi="Verdana"/>
          <w:sz w:val="14"/>
        </w:rPr>
        <w:t xml:space="preserve"> </w:t>
      </w:r>
      <w:r>
        <w:tab/>
      </w:r>
      <w:r>
        <w:rPr>
          <w:rFonts w:ascii="Verdana" w:hAnsi="Verdana" w:cstheme="minorHAnsi"/>
          <w:sz w:val="14"/>
        </w:rPr>
        <w:t>Article 55 du règlement (UE) nº 1306/2013.</w:t>
      </w:r>
    </w:p>
  </w:footnote>
  <w:footnote w:id="6">
    <w:p>
      <w:pPr>
        <w:pStyle w:val="FootnoteText"/>
        <w:spacing w:after="0"/>
        <w:rPr>
          <w:rFonts w:ascii="Verdana" w:hAnsi="Verdana"/>
          <w:sz w:val="14"/>
        </w:rPr>
      </w:pPr>
      <w:r>
        <w:rPr>
          <w:rStyle w:val="FootnoteReference"/>
          <w:rFonts w:ascii="Verdana" w:hAnsi="Verdana"/>
          <w:sz w:val="14"/>
        </w:rPr>
        <w:footnoteRef/>
      </w:r>
      <w:r>
        <w:rPr>
          <w:rFonts w:ascii="Verdana" w:hAnsi="Verdana"/>
          <w:sz w:val="14"/>
        </w:rPr>
        <w:t xml:space="preserve"> </w:t>
      </w:r>
      <w:r>
        <w:tab/>
      </w:r>
      <w:r>
        <w:rPr>
          <w:rFonts w:ascii="Verdana" w:hAnsi="Verdana"/>
          <w:sz w:val="14"/>
        </w:rPr>
        <w:t>Rapport de la Commission au Parlement européen, au Conseil et à la Cour des comptes européenne: «Rapport annuel 2015 sur la gestion et la performance du budget de l'UE», COM(2016) 446 final du 5.7.2016.</w:t>
      </w:r>
    </w:p>
  </w:footnote>
  <w:footnote w:id="7">
    <w:p>
      <w:pPr>
        <w:pStyle w:val="FootnoteText"/>
        <w:spacing w:after="0"/>
        <w:rPr>
          <w:rFonts w:ascii="Verdana" w:hAnsi="Verdana"/>
          <w:sz w:val="14"/>
        </w:rPr>
      </w:pPr>
      <w:r>
        <w:rPr>
          <w:rStyle w:val="FootnoteReference"/>
          <w:rFonts w:ascii="Verdana" w:hAnsi="Verdana"/>
          <w:sz w:val="14"/>
        </w:rPr>
        <w:footnoteRef/>
      </w:r>
      <w:r>
        <w:rPr>
          <w:rFonts w:ascii="Verdana" w:hAnsi="Verdana"/>
          <w:sz w:val="14"/>
        </w:rPr>
        <w:t xml:space="preserve"> </w:t>
      </w:r>
      <w:r>
        <w:tab/>
      </w:r>
      <w:r>
        <w:rPr>
          <w:rFonts w:ascii="Verdana" w:hAnsi="Verdana"/>
          <w:sz w:val="14"/>
        </w:rPr>
        <w:t>Des écarts peuvent sembler exister entre certaines données financières des tableaux ci-dessous lorsqu’elles sont additionnées car les chiffres sont arrondis au million d’euros.</w:t>
      </w:r>
    </w:p>
  </w:footnote>
  <w:footnote w:id="8">
    <w:p>
      <w:pPr>
        <w:pStyle w:val="FootnoteText"/>
        <w:spacing w:after="0"/>
        <w:rPr>
          <w:rFonts w:ascii="Verdana" w:hAnsi="Verdana"/>
          <w:color w:val="000000" w:themeColor="text1"/>
          <w:sz w:val="14"/>
          <w:szCs w:val="14"/>
        </w:rPr>
      </w:pPr>
      <w:r>
        <w:rPr>
          <w:rStyle w:val="FootnoteReference"/>
          <w:rFonts w:ascii="Verdana" w:hAnsi="Verdana"/>
          <w:sz w:val="14"/>
        </w:rPr>
        <w:footnoteRef/>
      </w:r>
      <w:r>
        <w:rPr>
          <w:rFonts w:ascii="Verdana" w:hAnsi="Verdana"/>
          <w:sz w:val="14"/>
        </w:rPr>
        <w:t xml:space="preserve"> </w:t>
      </w:r>
      <w:r>
        <w:tab/>
      </w:r>
      <w:r>
        <w:rPr>
          <w:rFonts w:ascii="Verdana" w:hAnsi="Verdana"/>
          <w:sz w:val="14"/>
        </w:rPr>
        <w:t>Des informations plus détaillées figurent à la section 2.4.2.1 du rapport d’activités pour 2015 de la DG AGRI (</w:t>
      </w:r>
      <w:r>
        <w:rPr>
          <w:rFonts w:ascii="Verdana" w:hAnsi="Verdana"/>
          <w:color w:val="000000" w:themeColor="text1"/>
          <w:sz w:val="14"/>
        </w:rPr>
        <w:t>http://ec.europa.eu/atwork/index_fr.htm</w:t>
      </w:r>
      <w:r>
        <w:rPr>
          <w:rFonts w:ascii="Verdana" w:hAnsi="Verdana"/>
          <w:sz w:val="14"/>
        </w:rPr>
        <w:t>).</w:t>
      </w:r>
    </w:p>
  </w:footnote>
  <w:footnote w:id="9">
    <w:p>
      <w:pPr>
        <w:pStyle w:val="FootnoteText"/>
        <w:spacing w:after="0"/>
        <w:rPr>
          <w:sz w:val="14"/>
          <w:szCs w:val="16"/>
        </w:rPr>
      </w:pPr>
      <w:r>
        <w:rPr>
          <w:rStyle w:val="FootnoteReference"/>
          <w:sz w:val="14"/>
        </w:rPr>
        <w:footnoteRef/>
      </w:r>
      <w:r>
        <w:rPr>
          <w:sz w:val="14"/>
        </w:rPr>
        <w:t xml:space="preserve"> </w:t>
      </w:r>
      <w:r>
        <w:tab/>
      </w:r>
      <w:r>
        <w:rPr>
          <w:rFonts w:ascii="Verdana" w:hAnsi="Verdana"/>
          <w:sz w:val="14"/>
        </w:rPr>
        <w:t>Il importe de souligner que, dans certains cas, les montants communiqués par les États membres comprennent à la fois des corrections individuelles et des corrections forfaitaires ou extrapolées; pour les besoins du compte rendu, ces montants sont inscrits dans la catégorie (corrections individuelles ou forfaitaires) que l'on considère prédominante. Ces deux inconvénients n’ont aucune incidence sur la fiabilité des montants globaux communiqués.</w:t>
      </w:r>
    </w:p>
  </w:footnote>
  <w:footnote w:id="10">
    <w:p>
      <w:pPr>
        <w:pStyle w:val="FootnoteText"/>
        <w:spacing w:after="0"/>
        <w:rPr>
          <w:sz w:val="16"/>
        </w:rPr>
      </w:pPr>
      <w:r>
        <w:rPr>
          <w:rStyle w:val="FootnoteReference"/>
        </w:rPr>
        <w:footnoteRef/>
      </w:r>
      <w:r>
        <w:t xml:space="preserve"> </w:t>
      </w:r>
      <w:r>
        <w:tab/>
      </w:r>
      <w:r>
        <w:rPr>
          <w:rFonts w:ascii="Verdana" w:hAnsi="Verdana"/>
          <w:sz w:val="14"/>
        </w:rPr>
        <w:t>Pour le FEDER/FC, étant donné qu’aucune disposition juridique n’impose aux États membres de déclarer les corrections financières à la source et qu’il n’existe aucun compte rendu structuré depuis le début de la période de programmation, les montants communiqués constituent une estimation prudente et non exhaustive pour les cas dans lesquels la Commission a été en mesure de reconstituer une piste d’audit claire au niveau de l’autorité de certification.</w:t>
      </w:r>
    </w:p>
  </w:footnote>
  <w:footnote w:id="11">
    <w:p>
      <w:pPr>
        <w:pStyle w:val="FootnoteText"/>
        <w:spacing w:after="0"/>
        <w:ind w:left="284" w:hanging="284"/>
        <w:rPr>
          <w:rStyle w:val="FootnoteReference"/>
          <w:sz w:val="14"/>
          <w:szCs w:val="16"/>
        </w:rPr>
      </w:pPr>
      <w:r>
        <w:rPr>
          <w:rStyle w:val="FootnoteReference"/>
          <w:rFonts w:ascii="Verdana" w:hAnsi="Verdana"/>
          <w:sz w:val="14"/>
        </w:rPr>
        <w:footnoteRef/>
      </w:r>
      <w:r>
        <w:rPr>
          <w:rStyle w:val="FootnoteReference"/>
          <w:rFonts w:ascii="Verdana" w:hAnsi="Verdana"/>
          <w:sz w:val="14"/>
        </w:rPr>
        <w:t xml:space="preserve"> </w:t>
      </w:r>
      <w:r>
        <w:tab/>
      </w:r>
      <w:r>
        <w:rPr>
          <w:rStyle w:val="FootnoteReference"/>
          <w:rFonts w:ascii="Verdana" w:hAnsi="Verdana"/>
          <w:sz w:val="14"/>
          <w:vertAlign w:val="baseline"/>
        </w:rPr>
        <w:t>Article 21, paragraphe 3, point c), du règlement financier.</w:t>
      </w:r>
    </w:p>
  </w:footnote>
  <w:footnote w:id="12">
    <w:p>
      <w:pPr>
        <w:pStyle w:val="FootnoteText"/>
        <w:spacing w:after="0"/>
        <w:rPr>
          <w:rFonts w:ascii="Verdana" w:hAnsi="Verdana"/>
          <w:sz w:val="14"/>
        </w:rPr>
      </w:pPr>
      <w:r>
        <w:rPr>
          <w:rStyle w:val="FootnoteReference"/>
          <w:rFonts w:ascii="Verdana" w:hAnsi="Verdana"/>
          <w:sz w:val="14"/>
        </w:rPr>
        <w:footnoteRef/>
      </w:r>
      <w:r>
        <w:rPr>
          <w:rFonts w:ascii="Verdana" w:hAnsi="Verdana"/>
          <w:sz w:val="14"/>
        </w:rPr>
        <w:t xml:space="preserve"> </w:t>
      </w:r>
      <w:r>
        <w:tab/>
      </w:r>
      <w:r>
        <w:rPr>
          <w:rFonts w:ascii="Verdana" w:hAnsi="Verdana"/>
          <w:sz w:val="14"/>
        </w:rPr>
        <w:t>JO L 255 du 28.8.2014, pp. 18 et 59.</w:t>
      </w:r>
    </w:p>
  </w:footnote>
  <w:footnote w:id="13">
    <w:p>
      <w:pPr>
        <w:pStyle w:val="FootnoteText"/>
        <w:spacing w:after="0"/>
        <w:rPr>
          <w:rFonts w:ascii="Verdana" w:hAnsi="Verdana"/>
          <w:sz w:val="14"/>
        </w:rPr>
      </w:pPr>
      <w:r>
        <w:rPr>
          <w:rStyle w:val="FootnoteReference"/>
          <w:rFonts w:ascii="Verdana" w:hAnsi="Verdana"/>
          <w:sz w:val="14"/>
        </w:rPr>
        <w:footnoteRef/>
      </w:r>
      <w:r>
        <w:rPr>
          <w:rFonts w:ascii="Verdana" w:hAnsi="Verdana"/>
          <w:sz w:val="14"/>
        </w:rPr>
        <w:t xml:space="preserve"> </w:t>
      </w:r>
      <w:r>
        <w:tab/>
      </w:r>
      <w:r>
        <w:rPr>
          <w:rFonts w:ascii="Verdana" w:hAnsi="Verdana"/>
          <w:sz w:val="14"/>
        </w:rPr>
        <w:t>Règlement (UE) nº 1306/2013 du Parlement européen et du Conseil relatif au financement, à la gestion et au suivi de la politique agricole commune (JO L 347 du 20.12.2013, p. 549).</w:t>
      </w:r>
    </w:p>
  </w:footnote>
  <w:footnote w:id="14">
    <w:p>
      <w:pPr>
        <w:pStyle w:val="FootnoteText"/>
        <w:spacing w:after="0"/>
        <w:rPr>
          <w:rFonts w:ascii="Verdana" w:hAnsi="Verdana"/>
          <w:sz w:val="14"/>
        </w:rPr>
      </w:pPr>
      <w:r>
        <w:rPr>
          <w:rStyle w:val="FootnoteReference"/>
          <w:rFonts w:ascii="Verdana" w:hAnsi="Verdana"/>
          <w:sz w:val="14"/>
        </w:rPr>
        <w:footnoteRef/>
      </w:r>
      <w:r>
        <w:rPr>
          <w:rFonts w:ascii="Verdana" w:hAnsi="Verdana"/>
          <w:sz w:val="14"/>
        </w:rPr>
        <w:t xml:space="preserve"> </w:t>
      </w:r>
      <w:r>
        <w:tab/>
      </w:r>
      <w:r>
        <w:rPr>
          <w:rFonts w:ascii="Verdana" w:hAnsi="Verdana"/>
          <w:sz w:val="14"/>
        </w:rPr>
        <w:t>Article 41 du règlement n°1306/2013.</w:t>
      </w:r>
    </w:p>
  </w:footnote>
  <w:footnote w:id="15">
    <w:p>
      <w:pPr>
        <w:pStyle w:val="FootnoteText"/>
        <w:spacing w:after="0"/>
        <w:rPr>
          <w:rFonts w:ascii="Verdana" w:hAnsi="Verdana"/>
          <w:sz w:val="14"/>
        </w:rPr>
      </w:pPr>
      <w:r>
        <w:rPr>
          <w:rStyle w:val="FootnoteReference"/>
          <w:rFonts w:ascii="Verdana" w:hAnsi="Verdana"/>
          <w:sz w:val="14"/>
        </w:rPr>
        <w:footnoteRef/>
      </w:r>
      <w:r>
        <w:rPr>
          <w:rFonts w:ascii="Verdana" w:hAnsi="Verdana"/>
          <w:sz w:val="14"/>
        </w:rPr>
        <w:t xml:space="preserve"> </w:t>
      </w:r>
      <w:r>
        <w:tab/>
      </w:r>
      <w:r>
        <w:rPr>
          <w:rFonts w:ascii="Verdana" w:hAnsi="Verdana"/>
          <w:sz w:val="14"/>
        </w:rPr>
        <w:t>Règlement (UE) nº 1303/2013 du Parlement européen et du Conseil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(JO L 347 du 20.12.2013, p. 320).</w:t>
      </w:r>
    </w:p>
  </w:footnote>
  <w:footnote w:id="16">
    <w:p>
      <w:pPr>
        <w:pStyle w:val="FootnoteText"/>
        <w:spacing w:after="0"/>
        <w:rPr>
          <w:rStyle w:val="FootnoteReference"/>
          <w:rFonts w:ascii="Verdana" w:hAnsi="Verdana"/>
          <w:sz w:val="14"/>
          <w:szCs w:val="16"/>
          <w:vertAlign w:val="baseline"/>
        </w:rPr>
      </w:pPr>
      <w:r>
        <w:rPr>
          <w:rStyle w:val="FootnoteReference"/>
          <w:rFonts w:ascii="Verdana" w:hAnsi="Verdana"/>
          <w:sz w:val="14"/>
        </w:rPr>
        <w:footnoteRef/>
      </w:r>
      <w:r>
        <w:rPr>
          <w:rStyle w:val="FootnoteReference"/>
          <w:rFonts w:ascii="Verdana" w:hAnsi="Verdana"/>
          <w:sz w:val="14"/>
        </w:rPr>
        <w:t xml:space="preserve"> </w:t>
      </w:r>
      <w:r>
        <w:tab/>
      </w:r>
      <w:r>
        <w:rPr>
          <w:rStyle w:val="FootnoteReference"/>
          <w:rFonts w:ascii="Verdana" w:hAnsi="Verdana"/>
          <w:sz w:val="14"/>
          <w:vertAlign w:val="baseline"/>
        </w:rPr>
        <w:t xml:space="preserve">La procédure par laquelle la Commission accepte les comptes des États membres et donc les dépenses effectuées par les organismes payeurs en faveur des agriculteurs et autres bénéficiaires. </w:t>
      </w:r>
      <w:r>
        <w:rPr>
          <w:rFonts w:ascii="Verdana" w:hAnsi="Verdana"/>
          <w:sz w:val="14"/>
        </w:rPr>
        <w:t>Premièrement, les comptes des organismes payeurs sont vérifiés, sous l'angle de leur exactitude, par des organismes de certification nationaux dans les États membres et font ensuite l’objet d’une décision annuelle d’apurement des comptes arrêtée par la Commission.</w:t>
      </w:r>
      <w:r>
        <w:t xml:space="preserve"> </w:t>
      </w:r>
      <w:r>
        <w:rPr>
          <w:rFonts w:ascii="Verdana" w:hAnsi="Verdana"/>
          <w:sz w:val="14"/>
        </w:rPr>
        <w:t>Deuxièmement, la Commission elle-même mène la procédure d’apurement de conformité sur la base d’audits lui permettant de déterminer et d’exclure (les années suivantes) les paiements qui ne sont pas conformes aux règles.</w:t>
      </w:r>
    </w:p>
  </w:footnote>
  <w:footnote w:id="17">
    <w:p>
      <w:pPr>
        <w:pStyle w:val="FootnoteText"/>
        <w:rPr>
          <w:rFonts w:ascii="Verdana" w:hAnsi="Verdana"/>
          <w:sz w:val="14"/>
          <w:szCs w:val="16"/>
        </w:rPr>
      </w:pPr>
      <w:r>
        <w:rPr>
          <w:rStyle w:val="FootnoteReference"/>
          <w:rFonts w:ascii="Verdana" w:hAnsi="Verdana"/>
          <w:sz w:val="14"/>
        </w:rPr>
        <w:footnoteRef/>
      </w:r>
      <w:r>
        <w:rPr>
          <w:rFonts w:ascii="Verdana" w:hAnsi="Verdana"/>
          <w:sz w:val="14"/>
        </w:rPr>
        <w:t xml:space="preserve"> </w:t>
      </w:r>
      <w:r>
        <w:tab/>
      </w:r>
      <w:r>
        <w:rPr>
          <w:rFonts w:ascii="Verdana" w:hAnsi="Verdana"/>
          <w:sz w:val="14"/>
        </w:rPr>
        <w:t>Règlement d’exécution (UE) nº 375/2012 de la Commission du 2 mai 2012 modifiant le règlement (CE) nº 885/2006 portant modalités d’application du règlement (CE) nº 1290/2005 du Conseil en ce qui concerne l’agrément des organismes payeurs et autres entités ainsi que l’apurement des comptes du FEAGA et du Feader (JO L 118 du 3.5.2012, p. 4-5).</w:t>
      </w:r>
    </w:p>
  </w:footnote>
  <w:footnote w:id="18">
    <w:p>
      <w:pPr>
        <w:pStyle w:val="FootnoteText"/>
        <w:spacing w:after="0"/>
        <w:jc w:val="left"/>
        <w:rPr>
          <w:rFonts w:ascii="Verdana" w:hAnsi="Verdana"/>
          <w:sz w:val="14"/>
          <w:szCs w:val="16"/>
        </w:rPr>
      </w:pPr>
      <w:r>
        <w:rPr>
          <w:rStyle w:val="FootnoteReference"/>
          <w:rFonts w:ascii="Verdana" w:hAnsi="Verdana"/>
          <w:sz w:val="14"/>
        </w:rPr>
        <w:footnoteRef/>
      </w:r>
      <w:r>
        <w:rPr>
          <w:rFonts w:ascii="Verdana" w:hAnsi="Verdana"/>
          <w:sz w:val="14"/>
        </w:rPr>
        <w:t xml:space="preserve"> </w:t>
      </w:r>
      <w:r>
        <w:tab/>
      </w:r>
      <w:r>
        <w:rPr>
          <w:rFonts w:ascii="Verdana" w:hAnsi="Verdana"/>
          <w:sz w:val="14"/>
        </w:rPr>
        <w:t>À la fin de 2014, cinquante cas faisaient l'objet d'un suivi. Pour huit de ces cas, le suivi s'est achevé en 2015. Vingt-huit nouveaux rapports d'enquête finaux transmis par l’OLAF en 2015 font actuellement l’objet d’un suivi.</w:t>
      </w:r>
    </w:p>
  </w:footnote>
  <w:footnote w:id="19">
    <w:p>
      <w:pPr>
        <w:pStyle w:val="FootnoteText"/>
        <w:spacing w:after="0"/>
        <w:jc w:val="left"/>
        <w:rPr>
          <w:rFonts w:ascii="Verdana" w:hAnsi="Verdana"/>
          <w:sz w:val="14"/>
          <w:szCs w:val="16"/>
          <w:lang w:val="pt-PT"/>
        </w:rPr>
      </w:pPr>
      <w:r>
        <w:rPr>
          <w:rStyle w:val="FootnoteReference"/>
          <w:rFonts w:ascii="Verdana" w:hAnsi="Verdana"/>
          <w:sz w:val="14"/>
        </w:rPr>
        <w:footnoteRef/>
      </w:r>
      <w:r>
        <w:rPr>
          <w:rFonts w:ascii="Verdana" w:hAnsi="Verdana"/>
          <w:sz w:val="14"/>
          <w:lang w:val="pt-PT"/>
        </w:rPr>
        <w:t xml:space="preserve"> </w:t>
      </w:r>
      <w:r>
        <w:rPr>
          <w:lang w:val="pt-PT"/>
        </w:rPr>
        <w:tab/>
      </w:r>
      <w:r>
        <w:rPr>
          <w:rFonts w:ascii="Verdana" w:hAnsi="Verdana"/>
          <w:sz w:val="14"/>
          <w:lang w:val="pt-PT"/>
        </w:rPr>
        <w:t>COM(2015) 386 final, http://eur-lex.europa.eu/legal-content/FR/TXT/PDF/?uri=CELEX:52015DC0386&amp;from=fr.</w:t>
      </w:r>
    </w:p>
  </w:footnote>
  <w:footnote w:id="20">
    <w:p>
      <w:pPr>
        <w:pStyle w:val="FootnoteText"/>
        <w:spacing w:after="0"/>
        <w:rPr>
          <w:rFonts w:ascii="Verdana" w:hAnsi="Verdana"/>
          <w:sz w:val="14"/>
          <w:szCs w:val="16"/>
        </w:rPr>
      </w:pPr>
      <w:r>
        <w:rPr>
          <w:rStyle w:val="FootnoteReference"/>
          <w:rFonts w:ascii="Verdana" w:hAnsi="Verdana"/>
          <w:sz w:val="14"/>
        </w:rPr>
        <w:footnoteRef/>
      </w:r>
      <w:r>
        <w:rPr>
          <w:rFonts w:ascii="Verdana" w:hAnsi="Verdana"/>
          <w:sz w:val="14"/>
        </w:rPr>
        <w:t xml:space="preserve"> </w:t>
      </w:r>
      <w:r>
        <w:tab/>
      </w:r>
      <w:r>
        <w:rPr>
          <w:rFonts w:ascii="Verdana" w:hAnsi="Verdana"/>
          <w:sz w:val="14"/>
        </w:rPr>
        <w:t>Voir la note Ares(2015)6023058 du 23 décembre 2015.</w:t>
      </w:r>
    </w:p>
  </w:footnote>
  <w:footnote w:id="21">
    <w:p>
      <w:pPr>
        <w:pStyle w:val="FootnoteText"/>
        <w:spacing w:after="0"/>
        <w:rPr>
          <w:rFonts w:ascii="Verdana" w:hAnsi="Verdana"/>
          <w:sz w:val="14"/>
        </w:rPr>
      </w:pPr>
      <w:r>
        <w:rPr>
          <w:rStyle w:val="FootnoteReference"/>
          <w:rFonts w:ascii="Verdana" w:hAnsi="Verdana"/>
          <w:sz w:val="14"/>
        </w:rPr>
        <w:footnoteRef/>
      </w:r>
      <w:r>
        <w:rPr>
          <w:rFonts w:ascii="Verdana" w:hAnsi="Verdana"/>
          <w:sz w:val="14"/>
        </w:rPr>
        <w:t xml:space="preserve"> </w:t>
      </w:r>
      <w:r>
        <w:tab/>
      </w:r>
      <w:r>
        <w:rPr>
          <w:rFonts w:ascii="Verdana" w:hAnsi="Verdana"/>
          <w:sz w:val="14"/>
        </w:rPr>
        <w:t>DG Emploi, affaires sociales et inclusion (EMPL), DG Affaires maritimes et pêche (MARE) et DG Politique régionale et urbaine (REGIO).</w:t>
      </w:r>
    </w:p>
  </w:footnote>
  <w:footnote w:id="22">
    <w:p>
      <w:pPr>
        <w:pStyle w:val="FootnoteText"/>
        <w:spacing w:after="0"/>
        <w:rPr>
          <w:rFonts w:ascii="Verdana" w:hAnsi="Verdana"/>
          <w:sz w:val="14"/>
        </w:rPr>
      </w:pPr>
      <w:r>
        <w:rPr>
          <w:rStyle w:val="FootnoteReference"/>
          <w:rFonts w:ascii="Verdana" w:hAnsi="Verdana"/>
          <w:sz w:val="14"/>
        </w:rPr>
        <w:footnoteRef/>
      </w:r>
      <w:r>
        <w:rPr>
          <w:rFonts w:ascii="Verdana" w:hAnsi="Verdana"/>
          <w:sz w:val="14"/>
        </w:rPr>
        <w:t xml:space="preserve"> </w:t>
      </w:r>
      <w:r>
        <w:tab/>
      </w:r>
      <w:r>
        <w:rPr>
          <w:rFonts w:ascii="Verdana" w:hAnsi="Verdana"/>
          <w:sz w:val="14"/>
        </w:rPr>
        <w:t>Le montant communiqué pour 2015 comprend des corrections financières négatives correspondant aux procès perdus, ce qui contrebalance la tendance décrite ici (voir la section 3.2.2).</w:t>
      </w:r>
    </w:p>
  </w:footnote>
  <w:footnote w:id="23">
    <w:p>
      <w:pPr>
        <w:pStyle w:val="FootnoteText"/>
        <w:spacing w:after="0"/>
        <w:rPr>
          <w:rStyle w:val="FootnoteReference"/>
          <w:rFonts w:ascii="Verdana" w:hAnsi="Verdana"/>
          <w:sz w:val="14"/>
          <w:vertAlign w:val="baseline"/>
        </w:rPr>
      </w:pPr>
      <w:r>
        <w:rPr>
          <w:rStyle w:val="FootnoteReference"/>
          <w:rFonts w:ascii="Verdana" w:hAnsi="Verdana"/>
          <w:sz w:val="14"/>
        </w:rPr>
        <w:footnoteRef/>
      </w:r>
      <w:r>
        <w:rPr>
          <w:rStyle w:val="FootnoteReference"/>
          <w:sz w:val="18"/>
        </w:rPr>
        <w:t xml:space="preserve"> </w:t>
      </w:r>
      <w:r>
        <w:tab/>
      </w:r>
      <w:r>
        <w:rPr>
          <w:rStyle w:val="FootnoteReference"/>
          <w:rFonts w:ascii="Verdana" w:hAnsi="Verdana"/>
          <w:sz w:val="14"/>
          <w:vertAlign w:val="baseline"/>
        </w:rPr>
        <w:t>Pour une explication plus complète du mécanisme de correction mis en place par la Commission pour la clôture 2000-2006, voir le document «Report on financial corrections carried out for ERDF and ESF on 2000-2006 programmes» (Rapport sur les corrections financières exécutées pour le FEDER et le FSE sur les programmes 2000-2006) [Ares(2013)689652 – 12 avril 2013].</w:t>
      </w:r>
    </w:p>
  </w:footnote>
  <w:footnote w:id="24">
    <w:p>
      <w:pPr>
        <w:pStyle w:val="FootnoteText"/>
        <w:spacing w:after="0"/>
        <w:rPr>
          <w:rFonts w:ascii="Verdana" w:hAnsi="Verdana"/>
          <w:sz w:val="14"/>
          <w:szCs w:val="16"/>
        </w:rPr>
      </w:pPr>
      <w:r>
        <w:rPr>
          <w:rStyle w:val="FootnoteReference"/>
          <w:rFonts w:ascii="Verdana" w:hAnsi="Verdana"/>
          <w:sz w:val="14"/>
        </w:rPr>
        <w:footnoteRef/>
      </w:r>
      <w:r>
        <w:rPr>
          <w:rFonts w:ascii="Verdana" w:hAnsi="Verdana"/>
          <w:sz w:val="14"/>
        </w:rPr>
        <w:t xml:space="preserve"> </w:t>
      </w:r>
      <w:r>
        <w:tab/>
      </w:r>
      <w:r>
        <w:rPr>
          <w:rFonts w:ascii="Verdana" w:hAnsi="Verdana"/>
          <w:sz w:val="14"/>
        </w:rPr>
        <w:t>Ce montant n'inclut pas les corrections financières à la source appliquées par les États membres avant la déclaration des dépenses à la Commission, puisqu’il n’y avait pas d’obligation légale de déclarer ces montants. Par conséquent, la Commission ne dispose pas de ces informations.</w:t>
      </w:r>
    </w:p>
  </w:footnote>
  <w:footnote w:id="25">
    <w:p>
      <w:pPr>
        <w:pStyle w:val="FootnoteText"/>
        <w:spacing w:after="0"/>
        <w:rPr>
          <w:rFonts w:ascii="Verdana" w:hAnsi="Verdana"/>
          <w:sz w:val="14"/>
        </w:rPr>
      </w:pPr>
      <w:r>
        <w:rPr>
          <w:rStyle w:val="FootnoteReference"/>
          <w:rFonts w:ascii="Verdana" w:hAnsi="Verdana"/>
          <w:sz w:val="14"/>
        </w:rPr>
        <w:footnoteRef/>
      </w:r>
      <w:r>
        <w:rPr>
          <w:rFonts w:ascii="Verdana" w:hAnsi="Verdana"/>
          <w:sz w:val="14"/>
        </w:rPr>
        <w:t xml:space="preserve"> </w:t>
      </w:r>
      <w:r>
        <w:tab/>
      </w:r>
      <w:r>
        <w:rPr>
          <w:rFonts w:ascii="Verdana" w:hAnsi="Verdana"/>
          <w:sz w:val="14"/>
        </w:rPr>
        <w:t>Les corrections à la source sont exclues du présent rapport annuel, conformément au cadre juridique applicable à la période 2007-2013.</w:t>
      </w:r>
    </w:p>
  </w:footnote>
  <w:footnote w:id="26">
    <w:p>
      <w:pPr>
        <w:pStyle w:val="FootnoteText"/>
        <w:spacing w:after="0"/>
        <w:rPr>
          <w:rFonts w:ascii="Verdana" w:hAnsi="Verdana"/>
          <w:sz w:val="14"/>
        </w:rPr>
      </w:pPr>
      <w:r>
        <w:rPr>
          <w:rStyle w:val="FootnoteReference"/>
          <w:rFonts w:ascii="Verdana" w:hAnsi="Verdana"/>
          <w:sz w:val="14"/>
        </w:rPr>
        <w:footnoteRef/>
      </w:r>
      <w:r>
        <w:rPr>
          <w:rFonts w:ascii="Verdana" w:hAnsi="Verdana"/>
          <w:sz w:val="14"/>
        </w:rPr>
        <w:t xml:space="preserve"> </w:t>
      </w:r>
      <w:r>
        <w:tab/>
      </w:r>
      <w:r>
        <w:rPr>
          <w:rFonts w:ascii="Verdana" w:hAnsi="Verdana"/>
          <w:sz w:val="14"/>
        </w:rPr>
        <w:t>Afin d’éviter tout risque de double comptabilisation, les montants déclarés dans la présente section sont calculés comme la différence entre les montants cumulés communiqués par les États membres (rapports sur les retraits et recouvrements au titre de l'article 20) et les corrections financières communiquées par la Commission (tableau 3.2.3 ci-dessus).</w:t>
      </w:r>
    </w:p>
  </w:footnote>
  <w:footnote w:id="27">
    <w:p>
      <w:pPr>
        <w:pStyle w:val="FootnoteText"/>
        <w:spacing w:after="0"/>
        <w:ind w:left="426" w:hanging="426"/>
        <w:rPr>
          <w:rFonts w:ascii="Verdana" w:hAnsi="Verdana"/>
          <w:sz w:val="14"/>
          <w:szCs w:val="14"/>
        </w:rPr>
      </w:pPr>
      <w:r>
        <w:rPr>
          <w:rStyle w:val="FootnoteReference"/>
          <w:rFonts w:ascii="Verdana" w:hAnsi="Verdana"/>
          <w:sz w:val="14"/>
        </w:rPr>
        <w:footnoteRef/>
      </w:r>
      <w:r>
        <w:rPr>
          <w:rFonts w:ascii="Verdana" w:hAnsi="Verdana"/>
          <w:sz w:val="14"/>
        </w:rPr>
        <w:t xml:space="preserve"> </w:t>
      </w:r>
      <w:r>
        <w:tab/>
      </w:r>
      <w:r>
        <w:rPr>
          <w:rFonts w:ascii="Verdana" w:hAnsi="Verdana"/>
          <w:sz w:val="14"/>
        </w:rPr>
        <w:t>Le budget de la recherche est exécuté par la Commission et les agences exécutives.</w:t>
      </w:r>
    </w:p>
  </w:footnote>
  <w:footnote w:id="28">
    <w:p>
      <w:pPr>
        <w:pStyle w:val="FootnoteText"/>
        <w:spacing w:after="0"/>
        <w:ind w:left="426" w:hanging="426"/>
        <w:rPr>
          <w:rFonts w:ascii="Verdana" w:hAnsi="Verdana"/>
          <w:sz w:val="14"/>
          <w:szCs w:val="14"/>
        </w:rPr>
      </w:pPr>
      <w:r>
        <w:rPr>
          <w:rStyle w:val="FootnoteReference"/>
          <w:rFonts w:ascii="Verdana" w:hAnsi="Verdana"/>
          <w:sz w:val="14"/>
        </w:rPr>
        <w:footnoteRef/>
      </w:r>
      <w:r>
        <w:rPr>
          <w:rFonts w:ascii="Verdana" w:hAnsi="Verdana"/>
          <w:sz w:val="14"/>
        </w:rPr>
        <w:t xml:space="preserve"> </w:t>
      </w:r>
      <w:r>
        <w:tab/>
      </w:r>
      <w:r>
        <w:rPr>
          <w:rFonts w:ascii="Verdana" w:hAnsi="Verdana"/>
          <w:sz w:val="14"/>
        </w:rPr>
        <w:t>L'exécution du budget de la recherche est confiée à des entreprises communes.</w:t>
      </w:r>
    </w:p>
  </w:footnote>
  <w:footnote w:id="29">
    <w:p>
      <w:pPr>
        <w:pStyle w:val="FootnoteText"/>
        <w:tabs>
          <w:tab w:val="left" w:pos="426"/>
        </w:tabs>
        <w:spacing w:after="0"/>
        <w:ind w:left="0" w:firstLine="0"/>
        <w:rPr>
          <w:rFonts w:ascii="Verdana" w:hAnsi="Verdana"/>
          <w:sz w:val="14"/>
          <w:szCs w:val="14"/>
        </w:rPr>
      </w:pPr>
      <w:r>
        <w:rPr>
          <w:rStyle w:val="FootnoteReference"/>
          <w:rFonts w:ascii="Verdana" w:hAnsi="Verdana"/>
          <w:sz w:val="14"/>
        </w:rPr>
        <w:footnoteRef/>
      </w:r>
      <w:r>
        <w:rPr>
          <w:rFonts w:ascii="Verdana" w:hAnsi="Verdana"/>
          <w:sz w:val="14"/>
        </w:rPr>
        <w:t xml:space="preserve"> </w:t>
      </w:r>
      <w:r>
        <w:tab/>
      </w:r>
      <w:r>
        <w:rPr>
          <w:rFonts w:ascii="Verdana" w:hAnsi="Verdana"/>
          <w:sz w:val="14"/>
        </w:rPr>
        <w:t>Le budget est exécuté par des organisations internationales.</w:t>
      </w:r>
    </w:p>
  </w:footnote>
  <w:footnote w:id="30">
    <w:p>
      <w:pPr>
        <w:pStyle w:val="FootnoteText"/>
        <w:tabs>
          <w:tab w:val="left" w:pos="426"/>
        </w:tabs>
        <w:spacing w:after="0"/>
        <w:ind w:left="426" w:hanging="426"/>
        <w:rPr>
          <w:rFonts w:ascii="Verdana" w:hAnsi="Verdana"/>
          <w:b/>
          <w:color w:val="000000" w:themeColor="text1"/>
          <w:sz w:val="14"/>
          <w:szCs w:val="14"/>
        </w:rPr>
      </w:pPr>
      <w:r>
        <w:rPr>
          <w:rStyle w:val="FootnoteReference"/>
          <w:rFonts w:ascii="Verdana" w:hAnsi="Verdana"/>
          <w:color w:val="000000" w:themeColor="text1"/>
          <w:sz w:val="14"/>
        </w:rPr>
        <w:footnoteRef/>
      </w:r>
      <w:r>
        <w:rPr>
          <w:rFonts w:ascii="Verdana" w:hAnsi="Verdana"/>
          <w:color w:val="000000" w:themeColor="text1"/>
          <w:sz w:val="14"/>
        </w:rPr>
        <w:t xml:space="preserve"> </w:t>
      </w:r>
      <w:r>
        <w:tab/>
      </w:r>
      <w:r>
        <w:rPr>
          <w:rStyle w:val="Strong"/>
          <w:rFonts w:ascii="Verdana" w:hAnsi="Verdana"/>
          <w:b w:val="0"/>
          <w:color w:val="000000" w:themeColor="text1"/>
          <w:sz w:val="14"/>
        </w:rPr>
        <w:t>Règlement (UE, Euratom) 2015/1929 du Parlement européen et du Conseil du 28 octobre 2015 modifiant le règlement (UE, Euratom) nº 966/2012 relatif aux règles financières applicables au budget général de l'Union (JO L 286 du 30.10.2015, p. 1).</w:t>
      </w:r>
    </w:p>
  </w:footnote>
  <w:footnote w:id="31">
    <w:p>
      <w:pPr>
        <w:pStyle w:val="FootnoteText"/>
        <w:rPr>
          <w:rFonts w:ascii="Verdana" w:hAnsi="Verdana"/>
          <w:sz w:val="14"/>
        </w:rPr>
      </w:pPr>
      <w:r>
        <w:rPr>
          <w:rStyle w:val="FootnoteReference"/>
          <w:rFonts w:ascii="Verdana" w:hAnsi="Verdana"/>
          <w:sz w:val="14"/>
        </w:rPr>
        <w:footnoteRef/>
      </w:r>
      <w:r>
        <w:rPr>
          <w:rFonts w:ascii="Verdana" w:hAnsi="Verdana"/>
          <w:sz w:val="14"/>
        </w:rPr>
        <w:t xml:space="preserve"> </w:t>
      </w:r>
      <w:r>
        <w:tab/>
      </w:r>
      <w:r>
        <w:rPr>
          <w:rFonts w:ascii="Verdana" w:hAnsi="Verdana"/>
          <w:sz w:val="14"/>
        </w:rPr>
        <w:t>Tiré des statistiques de contrôle communiquées à la Commission par les États membres.</w:t>
      </w:r>
    </w:p>
  </w:footnote>
  <w:footnote w:id="32">
    <w:p>
      <w:pPr>
        <w:pStyle w:val="FootnoteText"/>
        <w:rPr>
          <w:rFonts w:ascii="Verdana" w:hAnsi="Verdana"/>
          <w:sz w:val="14"/>
        </w:rPr>
      </w:pPr>
      <w:r>
        <w:rPr>
          <w:rStyle w:val="FootnoteReference"/>
        </w:rPr>
        <w:footnoteRef/>
      </w:r>
      <w:r>
        <w:t xml:space="preserve"> </w:t>
      </w:r>
      <w:r>
        <w:tab/>
      </w:r>
      <w:r>
        <w:rPr>
          <w:rFonts w:ascii="Verdana" w:hAnsi="Verdana"/>
          <w:sz w:val="14"/>
        </w:rPr>
        <w:t>En plus des rapports établis par la Commission (voir la section 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6D7112"/>
    <w:multiLevelType w:val="hybridMultilevel"/>
    <w:tmpl w:val="C97040E6"/>
    <w:lvl w:ilvl="0" w:tplc="08090001">
      <w:start w:val="1"/>
      <w:numFmt w:val="bullet"/>
      <w:lvlText w:val=""/>
      <w:lvlJc w:val="left"/>
      <w:pPr>
        <w:ind w:left="720" w:hanging="360"/>
      </w:pPr>
      <w:rPr>
        <w:rFonts w:ascii="Symbol" w:hAnsi="Symbol" w:hint="default"/>
      </w:rPr>
    </w:lvl>
    <w:lvl w:ilvl="1" w:tplc="84B4944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7D4E03"/>
    <w:multiLevelType w:val="hybridMultilevel"/>
    <w:tmpl w:val="215C43C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581652A"/>
    <w:multiLevelType w:val="multilevel"/>
    <w:tmpl w:val="0809001F"/>
    <w:styleLink w:val="Style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0CDA3ACC"/>
    <w:multiLevelType w:val="hybridMultilevel"/>
    <w:tmpl w:val="DFBEF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40568E"/>
    <w:multiLevelType w:val="multilevel"/>
    <w:tmpl w:val="3854380A"/>
    <w:lvl w:ilvl="0">
      <w:start w:val="2"/>
      <w:numFmt w:val="decimal"/>
      <w:lvlText w:val="%1."/>
      <w:lvlJc w:val="left"/>
      <w:pPr>
        <w:tabs>
          <w:tab w:val="num" w:pos="480"/>
        </w:tabs>
        <w:ind w:left="480" w:hanging="480"/>
      </w:pPr>
      <w:rPr>
        <w:rFonts w:hint="default"/>
        <w:b/>
      </w:rPr>
    </w:lvl>
    <w:lvl w:ilvl="1">
      <w:start w:val="1"/>
      <w:numFmt w:val="decimal"/>
      <w:lvlText w:val="%2."/>
      <w:lvlJc w:val="left"/>
      <w:pPr>
        <w:tabs>
          <w:tab w:val="num" w:pos="1026"/>
        </w:tabs>
        <w:ind w:left="1026" w:hanging="600"/>
      </w:pPr>
      <w:rPr>
        <w:rFonts w:hint="default"/>
        <w:sz w:val="22"/>
      </w:rPr>
    </w:lvl>
    <w:lvl w:ilvl="2">
      <w:start w:val="1"/>
      <w:numFmt w:val="none"/>
      <w:lvlText w:val="3.1."/>
      <w:lvlJc w:val="left"/>
      <w:pPr>
        <w:tabs>
          <w:tab w:val="num" w:pos="1920"/>
        </w:tabs>
        <w:ind w:left="1920"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F1264B4"/>
    <w:multiLevelType w:val="hybridMultilevel"/>
    <w:tmpl w:val="2DC64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8C7D1C"/>
    <w:multiLevelType w:val="hybridMultilevel"/>
    <w:tmpl w:val="FD4A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1">
    <w:nsid w:val="130E2DC8"/>
    <w:multiLevelType w:val="multilevel"/>
    <w:tmpl w:val="3854380A"/>
    <w:lvl w:ilvl="0">
      <w:start w:val="2"/>
      <w:numFmt w:val="decimal"/>
      <w:lvlText w:val="%1."/>
      <w:lvlJc w:val="left"/>
      <w:pPr>
        <w:tabs>
          <w:tab w:val="num" w:pos="480"/>
        </w:tabs>
        <w:ind w:left="480" w:hanging="480"/>
      </w:pPr>
      <w:rPr>
        <w:rFonts w:hint="default"/>
        <w:b/>
      </w:rPr>
    </w:lvl>
    <w:lvl w:ilvl="1">
      <w:start w:val="1"/>
      <w:numFmt w:val="decimal"/>
      <w:lvlText w:val="%2."/>
      <w:lvlJc w:val="left"/>
      <w:pPr>
        <w:tabs>
          <w:tab w:val="num" w:pos="1026"/>
        </w:tabs>
        <w:ind w:left="1026" w:hanging="600"/>
      </w:pPr>
      <w:rPr>
        <w:rFonts w:hint="default"/>
        <w:sz w:val="22"/>
      </w:rPr>
    </w:lvl>
    <w:lvl w:ilvl="2">
      <w:start w:val="1"/>
      <w:numFmt w:val="none"/>
      <w:lvlText w:val="3.1."/>
      <w:lvlJc w:val="left"/>
      <w:pPr>
        <w:tabs>
          <w:tab w:val="num" w:pos="1920"/>
        </w:tabs>
        <w:ind w:left="1920"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3">
    <w:nsid w:val="1AC7089E"/>
    <w:multiLevelType w:val="hybridMultilevel"/>
    <w:tmpl w:val="546C08AC"/>
    <w:lvl w:ilvl="0" w:tplc="08090011">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F5E1D64"/>
    <w:multiLevelType w:val="multilevel"/>
    <w:tmpl w:val="F7E6CECC"/>
    <w:lvl w:ilvl="0">
      <w:start w:val="1"/>
      <w:numFmt w:val="decimal"/>
      <w:lvlText w:val="%1."/>
      <w:lvlJc w:val="left"/>
      <w:pPr>
        <w:tabs>
          <w:tab w:val="num" w:pos="360"/>
        </w:tabs>
        <w:ind w:left="0" w:firstLine="0"/>
      </w:pPr>
      <w:rPr>
        <w:rFonts w:hint="default"/>
      </w:rPr>
    </w:lvl>
    <w:lvl w:ilvl="1">
      <w:start w:val="9"/>
      <w:numFmt w:val="decimal"/>
      <w:pStyle w:val="Para2"/>
      <w:lvlText w:val="%1.%2."/>
      <w:lvlJc w:val="left"/>
      <w:pPr>
        <w:tabs>
          <w:tab w:val="num" w:pos="720"/>
        </w:tabs>
        <w:ind w:left="0" w:firstLine="0"/>
      </w:pPr>
      <w:rPr>
        <w:rFonts w:hint="default"/>
      </w:rPr>
    </w:lvl>
    <w:lvl w:ilvl="2">
      <w:start w:val="1"/>
      <w:numFmt w:val="decimal"/>
      <w:pStyle w:val="Para3"/>
      <w:lvlText w:val="%1.%2.%3."/>
      <w:lvlJc w:val="left"/>
      <w:pPr>
        <w:tabs>
          <w:tab w:val="num" w:pos="720"/>
        </w:tabs>
        <w:ind w:left="0" w:firstLine="0"/>
      </w:pPr>
      <w:rPr>
        <w:rFonts w:hint="default"/>
      </w:rPr>
    </w:lvl>
    <w:lvl w:ilvl="3">
      <w:start w:val="1"/>
      <w:numFmt w:val="lowerLetter"/>
      <w:pStyle w:val="Para4"/>
      <w:lvlText w:val="(%4)"/>
      <w:lvlJc w:val="left"/>
      <w:pPr>
        <w:tabs>
          <w:tab w:val="num" w:pos="454"/>
        </w:tabs>
        <w:ind w:left="454" w:hanging="454"/>
      </w:pPr>
      <w:rPr>
        <w:rFonts w:hint="default"/>
      </w:rPr>
    </w:lvl>
    <w:lvl w:ilvl="4">
      <w:start w:val="1"/>
      <w:numFmt w:val="lowerRoman"/>
      <w:pStyle w:val="Para5"/>
      <w:lvlText w:val="(%5)"/>
      <w:lvlJc w:val="left"/>
      <w:pPr>
        <w:tabs>
          <w:tab w:val="num" w:pos="1174"/>
        </w:tabs>
        <w:ind w:left="851" w:hanging="39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5">
    <w:nsid w:val="22D57C8E"/>
    <w:multiLevelType w:val="hybridMultilevel"/>
    <w:tmpl w:val="55924DB6"/>
    <w:lvl w:ilvl="0" w:tplc="1CDC6D7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3BA45AA"/>
    <w:multiLevelType w:val="hybridMultilevel"/>
    <w:tmpl w:val="AE347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8">
    <w:nsid w:val="251C653F"/>
    <w:multiLevelType w:val="hybridMultilevel"/>
    <w:tmpl w:val="FD6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AA23723"/>
    <w:multiLevelType w:val="hybridMultilevel"/>
    <w:tmpl w:val="7FE048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2">
    <w:nsid w:val="359A0316"/>
    <w:multiLevelType w:val="hybridMultilevel"/>
    <w:tmpl w:val="BD5CE308"/>
    <w:lvl w:ilvl="0" w:tplc="FFFFFFFF">
      <w:start w:val="1"/>
      <w:numFmt w:val="bullet"/>
      <w:pStyle w:val="ADPPuce1"/>
      <w:lvlText w:val=""/>
      <w:lvlJc w:val="left"/>
      <w:pPr>
        <w:tabs>
          <w:tab w:val="num" w:pos="1080"/>
        </w:tabs>
        <w:ind w:left="1060" w:hanging="340"/>
      </w:pPr>
      <w:rPr>
        <w:rFonts w:ascii="Symbol" w:hAnsi="Symbol" w:hint="default"/>
        <w:color w:val="000080"/>
      </w:rPr>
    </w:lvl>
    <w:lvl w:ilvl="1" w:tplc="FFFFFFFF">
      <w:numFmt w:val="bullet"/>
      <w:lvlText w:val="-"/>
      <w:lvlJc w:val="left"/>
      <w:pPr>
        <w:tabs>
          <w:tab w:val="num" w:pos="1083"/>
        </w:tabs>
        <w:ind w:left="1083" w:hanging="360"/>
      </w:pPr>
      <w:rPr>
        <w:rFonts w:ascii="Times New Roman" w:eastAsia="Times New Roman" w:hAnsi="Times New Roman" w:cs="Times New Roman" w:hint="default"/>
      </w:rPr>
    </w:lvl>
    <w:lvl w:ilvl="2" w:tplc="FFFFFFFF" w:tentative="1">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23">
    <w:nsid w:val="3A050637"/>
    <w:multiLevelType w:val="hybridMultilevel"/>
    <w:tmpl w:val="2514C218"/>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nsid w:val="3A5459E8"/>
    <w:multiLevelType w:val="singleLevel"/>
    <w:tmpl w:val="2188C922"/>
    <w:lvl w:ilvl="0">
      <w:start w:val="1"/>
      <w:numFmt w:val="bullet"/>
      <w:lvlRestart w:val="0"/>
      <w:pStyle w:val="Tiret1"/>
      <w:lvlText w:val="–"/>
      <w:lvlJc w:val="left"/>
      <w:pPr>
        <w:tabs>
          <w:tab w:val="num" w:pos="1417"/>
        </w:tabs>
        <w:ind w:left="1417" w:hanging="567"/>
      </w:pPr>
    </w:lvl>
  </w:abstractNum>
  <w:abstractNum w:abstractNumId="2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7">
    <w:nsid w:val="3C90278F"/>
    <w:multiLevelType w:val="singleLevel"/>
    <w:tmpl w:val="0FE08974"/>
    <w:lvl w:ilvl="0">
      <w:start w:val="1"/>
      <w:numFmt w:val="bullet"/>
      <w:lvlRestart w:val="0"/>
      <w:pStyle w:val="Tiret3"/>
      <w:lvlText w:val="–"/>
      <w:lvlJc w:val="left"/>
      <w:pPr>
        <w:tabs>
          <w:tab w:val="num" w:pos="2551"/>
        </w:tabs>
        <w:ind w:left="2551" w:hanging="567"/>
      </w:pPr>
    </w:lvl>
  </w:abstractNum>
  <w:abstractNum w:abstractNumId="2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A432656"/>
    <w:multiLevelType w:val="multilevel"/>
    <w:tmpl w:val="4F62D4A2"/>
    <w:lvl w:ilvl="0">
      <w:start w:val="1"/>
      <w:numFmt w:val="decimal"/>
      <w:lvlText w:val="%1."/>
      <w:lvlJc w:val="left"/>
      <w:pPr>
        <w:tabs>
          <w:tab w:val="num" w:pos="480"/>
        </w:tabs>
        <w:ind w:left="480" w:hanging="480"/>
      </w:pPr>
      <w:rPr>
        <w:rFonts w:hint="default"/>
        <w:b/>
      </w:rPr>
    </w:lvl>
    <w:lvl w:ilvl="1">
      <w:start w:val="1"/>
      <w:numFmt w:val="decimal"/>
      <w:pStyle w:val="Heading2"/>
      <w:lvlText w:val="%1.%2."/>
      <w:lvlJc w:val="left"/>
      <w:pPr>
        <w:tabs>
          <w:tab w:val="num" w:pos="1026"/>
        </w:tabs>
        <w:ind w:left="1026" w:hanging="600"/>
      </w:pPr>
      <w:rPr>
        <w:rFonts w:ascii="Verdana" w:hAnsi="Verdana" w:hint="default"/>
        <w:sz w:val="22"/>
      </w:rPr>
    </w:lvl>
    <w:lvl w:ilvl="2">
      <w:start w:val="1"/>
      <w:numFmt w:val="none"/>
      <w:pStyle w:val="Heading3"/>
      <w:lvlText w:val="3.1."/>
      <w:lvlJc w:val="left"/>
      <w:pPr>
        <w:tabs>
          <w:tab w:val="num" w:pos="1920"/>
        </w:tabs>
        <w:ind w:left="1920" w:hanging="840"/>
      </w:pPr>
      <w:rPr>
        <w:rFonts w:hint="default"/>
      </w:rPr>
    </w:lvl>
    <w:lvl w:ilvl="3">
      <w:start w:val="1"/>
      <w:numFmt w:val="decimal"/>
      <w:pStyle w:val="Heading4"/>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6">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7">
    <w:nsid w:val="5A8F6E19"/>
    <w:multiLevelType w:val="hybridMultilevel"/>
    <w:tmpl w:val="2880F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BA751CA"/>
    <w:multiLevelType w:val="multilevel"/>
    <w:tmpl w:val="3854380A"/>
    <w:lvl w:ilvl="0">
      <w:start w:val="2"/>
      <w:numFmt w:val="decimal"/>
      <w:lvlText w:val="%1."/>
      <w:lvlJc w:val="left"/>
      <w:pPr>
        <w:tabs>
          <w:tab w:val="num" w:pos="480"/>
        </w:tabs>
        <w:ind w:left="480" w:hanging="480"/>
      </w:pPr>
      <w:rPr>
        <w:rFonts w:hint="default"/>
        <w:b/>
      </w:rPr>
    </w:lvl>
    <w:lvl w:ilvl="1">
      <w:start w:val="1"/>
      <w:numFmt w:val="decimal"/>
      <w:lvlText w:val="%2."/>
      <w:lvlJc w:val="left"/>
      <w:pPr>
        <w:tabs>
          <w:tab w:val="num" w:pos="1026"/>
        </w:tabs>
        <w:ind w:left="1026" w:hanging="600"/>
      </w:pPr>
      <w:rPr>
        <w:rFonts w:hint="default"/>
        <w:sz w:val="22"/>
      </w:rPr>
    </w:lvl>
    <w:lvl w:ilvl="2">
      <w:start w:val="1"/>
      <w:numFmt w:val="none"/>
      <w:lvlText w:val="3.1."/>
      <w:lvlJc w:val="left"/>
      <w:pPr>
        <w:tabs>
          <w:tab w:val="num" w:pos="1920"/>
        </w:tabs>
        <w:ind w:left="1920"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1">
    <w:nsid w:val="62970F71"/>
    <w:multiLevelType w:val="singleLevel"/>
    <w:tmpl w:val="5AFA8C72"/>
    <w:lvl w:ilvl="0">
      <w:start w:val="1"/>
      <w:numFmt w:val="bullet"/>
      <w:lvlRestart w:val="0"/>
      <w:pStyle w:val="Tiret2"/>
      <w:lvlText w:val="–"/>
      <w:lvlJc w:val="left"/>
      <w:pPr>
        <w:tabs>
          <w:tab w:val="num" w:pos="1984"/>
        </w:tabs>
        <w:ind w:left="1984" w:hanging="567"/>
      </w:pPr>
    </w:lvl>
  </w:abstractNum>
  <w:abstractNum w:abstractNumId="4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5">
    <w:nsid w:val="677D625A"/>
    <w:multiLevelType w:val="hybridMultilevel"/>
    <w:tmpl w:val="CFCED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89E4F55"/>
    <w:multiLevelType w:val="multilevel"/>
    <w:tmpl w:val="3854380A"/>
    <w:lvl w:ilvl="0">
      <w:start w:val="2"/>
      <w:numFmt w:val="decimal"/>
      <w:lvlText w:val="%1."/>
      <w:lvlJc w:val="left"/>
      <w:pPr>
        <w:tabs>
          <w:tab w:val="num" w:pos="480"/>
        </w:tabs>
        <w:ind w:left="480" w:hanging="480"/>
      </w:pPr>
      <w:rPr>
        <w:rFonts w:hint="default"/>
        <w:b/>
      </w:rPr>
    </w:lvl>
    <w:lvl w:ilvl="1">
      <w:start w:val="1"/>
      <w:numFmt w:val="decimal"/>
      <w:lvlText w:val="%2."/>
      <w:lvlJc w:val="left"/>
      <w:pPr>
        <w:tabs>
          <w:tab w:val="num" w:pos="1026"/>
        </w:tabs>
        <w:ind w:left="1026" w:hanging="600"/>
      </w:pPr>
      <w:rPr>
        <w:rFonts w:hint="default"/>
        <w:sz w:val="22"/>
      </w:rPr>
    </w:lvl>
    <w:lvl w:ilvl="2">
      <w:start w:val="1"/>
      <w:numFmt w:val="none"/>
      <w:lvlText w:val="3.1."/>
      <w:lvlJc w:val="left"/>
      <w:pPr>
        <w:tabs>
          <w:tab w:val="num" w:pos="1920"/>
        </w:tabs>
        <w:ind w:left="1920"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69995580"/>
    <w:multiLevelType w:val="singleLevel"/>
    <w:tmpl w:val="75CC7CBA"/>
    <w:lvl w:ilvl="0">
      <w:start w:val="1"/>
      <w:numFmt w:val="decimal"/>
      <w:lvlRestart w:val="0"/>
      <w:pStyle w:val="Considrant"/>
      <w:lvlText w:val="(%1)"/>
      <w:lvlJc w:val="left"/>
      <w:pPr>
        <w:tabs>
          <w:tab w:val="num" w:pos="709"/>
        </w:tabs>
        <w:ind w:left="709" w:hanging="709"/>
      </w:pPr>
    </w:lvl>
  </w:abstractNum>
  <w:abstractNum w:abstractNumId="48">
    <w:nsid w:val="6B781E33"/>
    <w:multiLevelType w:val="hybridMultilevel"/>
    <w:tmpl w:val="E710C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0">
    <w:nsid w:val="748D178B"/>
    <w:multiLevelType w:val="hybridMultilevel"/>
    <w:tmpl w:val="DC26197C"/>
    <w:lvl w:ilvl="0" w:tplc="60BEAD32">
      <w:start w:val="1"/>
      <w:numFmt w:val="bullet"/>
      <w:lvlText w:val="-"/>
      <w:lvlJc w:val="left"/>
      <w:pPr>
        <w:ind w:left="1800" w:hanging="360"/>
      </w:pPr>
      <w:rPr>
        <w:rFonts w:ascii="Arial" w:hAnsi="Aria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51">
    <w:nsid w:val="78646E5C"/>
    <w:multiLevelType w:val="hybridMultilevel"/>
    <w:tmpl w:val="F41A12F8"/>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2">
    <w:nsid w:val="78EA708B"/>
    <w:multiLevelType w:val="hybridMultilevel"/>
    <w:tmpl w:val="2BDE2FBC"/>
    <w:lvl w:ilvl="0" w:tplc="B4CEC1E0">
      <w:start w:val="1"/>
      <w:numFmt w:val="decimal"/>
      <w:lvlText w:val="%1."/>
      <w:lvlJc w:val="left"/>
      <w:pPr>
        <w:ind w:left="360" w:hanging="360"/>
      </w:pPr>
      <w:rPr>
        <w:rFonts w:hint="default"/>
      </w:rPr>
    </w:lvl>
    <w:lvl w:ilvl="1" w:tplc="C060DD54">
      <w:start w:val="1"/>
      <w:numFmt w:val="decimal"/>
      <w:lvlText w:val="3.%2."/>
      <w:lvlJc w:val="left"/>
      <w:pPr>
        <w:ind w:left="1440" w:hanging="360"/>
      </w:pPr>
      <w:rPr>
        <w:rFonts w:hint="default"/>
        <w:caps w:val="0"/>
        <w:smallCaps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nsid w:val="7AE6177F"/>
    <w:multiLevelType w:val="hybridMultilevel"/>
    <w:tmpl w:val="35A4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5">
    <w:nsid w:val="7CBD1F96"/>
    <w:multiLevelType w:val="hybridMultilevel"/>
    <w:tmpl w:val="E1A4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3"/>
  </w:num>
  <w:num w:numId="4">
    <w:abstractNumId w:val="35"/>
  </w:num>
  <w:num w:numId="5">
    <w:abstractNumId w:val="25"/>
  </w:num>
  <w:num w:numId="6">
    <w:abstractNumId w:val="21"/>
  </w:num>
  <w:num w:numId="7">
    <w:abstractNumId w:val="12"/>
  </w:num>
  <w:num w:numId="8">
    <w:abstractNumId w:val="10"/>
  </w:num>
  <w:num w:numId="9">
    <w:abstractNumId w:val="42"/>
  </w:num>
  <w:num w:numId="10">
    <w:abstractNumId w:val="44"/>
  </w:num>
  <w:num w:numId="11">
    <w:abstractNumId w:val="43"/>
  </w:num>
  <w:num w:numId="12">
    <w:abstractNumId w:val="49"/>
  </w:num>
  <w:num w:numId="13">
    <w:abstractNumId w:val="17"/>
  </w:num>
  <w:num w:numId="14">
    <w:abstractNumId w:val="28"/>
  </w:num>
  <w:num w:numId="15">
    <w:abstractNumId w:val="30"/>
  </w:num>
  <w:num w:numId="16">
    <w:abstractNumId w:val="29"/>
  </w:num>
  <w:num w:numId="17">
    <w:abstractNumId w:val="4"/>
  </w:num>
  <w:num w:numId="18">
    <w:abstractNumId w:val="32"/>
  </w:num>
  <w:num w:numId="19">
    <w:abstractNumId w:val="22"/>
  </w:num>
  <w:num w:numId="20">
    <w:abstractNumId w:val="26"/>
  </w:num>
  <w:num w:numId="21">
    <w:abstractNumId w:val="24"/>
  </w:num>
  <w:num w:numId="22">
    <w:abstractNumId w:val="41"/>
  </w:num>
  <w:num w:numId="23">
    <w:abstractNumId w:val="27"/>
  </w:num>
  <w:num w:numId="24">
    <w:abstractNumId w:val="36"/>
  </w:num>
  <w:num w:numId="25">
    <w:abstractNumId w:val="54"/>
  </w:num>
  <w:num w:numId="26">
    <w:abstractNumId w:val="34"/>
  </w:num>
  <w:num w:numId="27">
    <w:abstractNumId w:val="20"/>
  </w:num>
  <w:num w:numId="28">
    <w:abstractNumId w:val="40"/>
  </w:num>
  <w:num w:numId="29">
    <w:abstractNumId w:val="39"/>
  </w:num>
  <w:num w:numId="30">
    <w:abstractNumId w:val="31"/>
  </w:num>
  <w:num w:numId="31">
    <w:abstractNumId w:val="47"/>
  </w:num>
  <w:num w:numId="32">
    <w:abstractNumId w:val="5"/>
  </w:num>
  <w:num w:numId="33">
    <w:abstractNumId w:val="14"/>
  </w:num>
  <w:num w:numId="34">
    <w:abstractNumId w:val="13"/>
  </w:num>
  <w:num w:numId="35">
    <w:abstractNumId w:val="50"/>
  </w:num>
  <w:num w:numId="36">
    <w:abstractNumId w:val="48"/>
  </w:num>
  <w:num w:numId="37">
    <w:abstractNumId w:val="52"/>
  </w:num>
  <w:num w:numId="38">
    <w:abstractNumId w:val="8"/>
  </w:num>
  <w:num w:numId="39">
    <w:abstractNumId w:val="45"/>
  </w:num>
  <w:num w:numId="40">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7"/>
  </w:num>
  <w:num w:numId="43">
    <w:abstractNumId w:val="2"/>
  </w:num>
  <w:num w:numId="44">
    <w:abstractNumId w:val="53"/>
  </w:num>
  <w:num w:numId="45">
    <w:abstractNumId w:val="18"/>
  </w:num>
  <w:num w:numId="46">
    <w:abstractNumId w:val="9"/>
  </w:num>
  <w:num w:numId="47">
    <w:abstractNumId w:val="37"/>
  </w:num>
  <w:num w:numId="48">
    <w:abstractNumId w:val="16"/>
  </w:num>
  <w:num w:numId="49">
    <w:abstractNumId w:val="51"/>
  </w:num>
  <w:num w:numId="50">
    <w:abstractNumId w:val="23"/>
  </w:num>
  <w:num w:numId="51">
    <w:abstractNumId w:val="15"/>
  </w:num>
  <w:num w:numId="52">
    <w:abstractNumId w:val="3"/>
  </w:num>
  <w:num w:numId="53">
    <w:abstractNumId w:val="38"/>
  </w:num>
  <w:num w:numId="54">
    <w:abstractNumId w:val="11"/>
  </w:num>
  <w:num w:numId="55">
    <w:abstractNumId w:val="46"/>
  </w:num>
  <w:num w:numId="56">
    <w:abstractNumId w:val="33"/>
  </w:num>
  <w:num w:numId="57">
    <w:abstractNumId w:val="33"/>
  </w:num>
  <w:num w:numId="58">
    <w:abstractNumId w:val="19"/>
  </w:num>
  <w:num w:numId="59">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3244B52D70F45C78E91EF5DFE34E927"/>
    <w:docVar w:name="LW_CROSSREFERENCE" w:val="&lt;UNUSED&gt;"/>
    <w:docVar w:name="LW_DocType" w:val="NORMAL"/>
    <w:docVar w:name="LW_EMISSION" w:val="18.7.2016"/>
    <w:docVar w:name="LW_EMISSION_ISODATE" w:val="2016-07-18"/>
    <w:docVar w:name="LW_EMISSION_LOCATION" w:val="BRX"/>
    <w:docVar w:name="LW_EMISSION_PREFIX" w:val="Bruxelles, le "/>
    <w:docVar w:name="LW_EMISSION_SUFFIX" w:val=" "/>
    <w:docVar w:name="LW_ID_DOCTYPE_NONLW" w:val="CP-009"/>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486"/>
    <w:docVar w:name="LW_REF.INTERNE" w:val="&lt;UNUSED&gt;"/>
    <w:docVar w:name="LW_SOUS.TITRE.OBJ.CP" w:val="&lt;UNUSED&gt;"/>
    <w:docVar w:name="LW_SUPERTITRE" w:val="&lt;UNUSED&gt;"/>
    <w:docVar w:name="LW_TITRE.OBJ.CP" w:val="PROTECTION DU BUDGET DE L\u8217?UE JUSQU\u8217?À LA FIN 2015"/>
    <w:docVar w:name="LW_TYPE.DOC.CP" w:val="COMMUNICATION DE LA COMMISSION"/>
    <w:docVar w:name="LW_TYPE.DOC.CP.USERTEXT" w:val="AU PARLEMENT EUROPÉEN, AU CONSEIL ET A LA COUR DES COMPTES EUROPÉENN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qFormat="1"/>
    <w:lsdException w:name="line number" w:uiPriority="99"/>
    <w:lsdException w:name="Title" w:semiHidden="0" w:unhideWhenUsed="0" w:qFormat="1"/>
    <w:lsdException w:name="Signature" w:uiPriority="99"/>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spacing w:before="240" w:after="240" w:line="240" w:lineRule="auto"/>
      <w:jc w:val="both"/>
      <w:outlineLvl w:val="0"/>
    </w:pPr>
    <w:rPr>
      <w:rFonts w:ascii="Verdana" w:eastAsia="Times New Roman" w:hAnsi="Verdana"/>
      <w:b/>
      <w:caps/>
      <w:smallCaps/>
      <w:kern w:val="32"/>
      <w:szCs w:val="32"/>
    </w:rPr>
  </w:style>
  <w:style w:type="paragraph" w:styleId="Heading2">
    <w:name w:val="heading 2"/>
    <w:basedOn w:val="Normal"/>
    <w:next w:val="Normal"/>
    <w:link w:val="Heading2Char"/>
    <w:uiPriority w:val="9"/>
    <w:unhideWhenUsed/>
    <w:qFormat/>
    <w:pPr>
      <w:keepNext/>
      <w:numPr>
        <w:ilvl w:val="1"/>
        <w:numId w:val="3"/>
      </w:numPr>
      <w:spacing w:before="240" w:after="60"/>
      <w:outlineLvl w:val="1"/>
    </w:pPr>
    <w:rPr>
      <w:rFonts w:ascii="Cambria" w:eastAsia="Times New Roman" w:hAnsi="Cambria"/>
      <w:b/>
      <w:bCs/>
      <w:i/>
      <w:iCs/>
      <w:sz w:val="28"/>
      <w:szCs w:val="28"/>
    </w:rPr>
  </w:style>
  <w:style w:type="paragraph" w:styleId="Heading3">
    <w:name w:val="heading 3"/>
    <w:basedOn w:val="Normal"/>
    <w:next w:val="Text3"/>
    <w:link w:val="Heading3Char"/>
    <w:qFormat/>
    <w:pPr>
      <w:keepNext/>
      <w:numPr>
        <w:ilvl w:val="2"/>
        <w:numId w:val="3"/>
      </w:numPr>
      <w:spacing w:after="240" w:line="240" w:lineRule="auto"/>
      <w:jc w:val="both"/>
      <w:outlineLvl w:val="2"/>
    </w:pPr>
    <w:rPr>
      <w:rFonts w:ascii="Times New Roman" w:eastAsia="Times New Roman" w:hAnsi="Times New Roman"/>
      <w:i/>
      <w:sz w:val="24"/>
      <w:szCs w:val="20"/>
    </w:rPr>
  </w:style>
  <w:style w:type="paragraph" w:styleId="Heading4">
    <w:name w:val="heading 4"/>
    <w:basedOn w:val="Normal"/>
    <w:next w:val="Text4"/>
    <w:link w:val="Heading4Char"/>
    <w:qFormat/>
    <w:pPr>
      <w:keepNext/>
      <w:numPr>
        <w:ilvl w:val="3"/>
        <w:numId w:val="3"/>
      </w:numPr>
      <w:spacing w:after="240" w:line="240" w:lineRule="auto"/>
      <w:jc w:val="both"/>
      <w:outlineLvl w:val="3"/>
    </w:pPr>
    <w:rPr>
      <w:rFonts w:ascii="Times New Roman" w:eastAsia="Times New Roman" w:hAnsi="Times New Roman"/>
      <w:sz w:val="24"/>
      <w:szCs w:val="20"/>
    </w:rPr>
  </w:style>
  <w:style w:type="paragraph" w:styleId="Heading5">
    <w:name w:val="heading 5"/>
    <w:basedOn w:val="Normal"/>
    <w:next w:val="Normal"/>
    <w:link w:val="Heading5Char"/>
    <w:qFormat/>
    <w:pPr>
      <w:spacing w:before="240" w:after="60" w:line="240" w:lineRule="auto"/>
      <w:ind w:left="3332" w:hanging="708"/>
      <w:jc w:val="both"/>
      <w:outlineLvl w:val="4"/>
    </w:pPr>
    <w:rPr>
      <w:rFonts w:ascii="Arial" w:eastAsia="Times New Roman" w:hAnsi="Arial"/>
      <w:szCs w:val="20"/>
    </w:rPr>
  </w:style>
  <w:style w:type="paragraph" w:styleId="Heading6">
    <w:name w:val="heading 6"/>
    <w:basedOn w:val="Normal"/>
    <w:next w:val="Normal"/>
    <w:link w:val="Heading6Char"/>
    <w:qFormat/>
    <w:pPr>
      <w:spacing w:before="240" w:after="60" w:line="240" w:lineRule="auto"/>
      <w:ind w:left="4040" w:hanging="708"/>
      <w:jc w:val="both"/>
      <w:outlineLvl w:val="5"/>
    </w:pPr>
    <w:rPr>
      <w:rFonts w:ascii="Arial" w:eastAsia="Times New Roman" w:hAnsi="Arial"/>
      <w:i/>
      <w:szCs w:val="20"/>
    </w:rPr>
  </w:style>
  <w:style w:type="paragraph" w:styleId="Heading7">
    <w:name w:val="heading 7"/>
    <w:basedOn w:val="Normal"/>
    <w:next w:val="Normal"/>
    <w:link w:val="Heading7Char"/>
    <w:qFormat/>
    <w:pPr>
      <w:spacing w:before="240" w:after="60" w:line="240" w:lineRule="auto"/>
      <w:ind w:left="4748" w:hanging="708"/>
      <w:jc w:val="both"/>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line="240" w:lineRule="auto"/>
      <w:ind w:left="5456" w:hanging="708"/>
      <w:jc w:val="both"/>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line="240" w:lineRule="auto"/>
      <w:ind w:left="6164" w:hanging="708"/>
      <w:jc w:val="both"/>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styleId="Hyperlink">
    <w:name w:val="Hyperlink"/>
    <w:uiPriority w:val="99"/>
    <w:unhideWhenUsed/>
    <w:rPr>
      <w:color w:val="0000FF"/>
      <w:u w:val="single"/>
    </w:rPr>
  </w:style>
  <w:style w:type="character" w:customStyle="1" w:styleId="Heading1Char">
    <w:name w:val="Heading 1 Char"/>
    <w:link w:val="Heading1"/>
    <w:rPr>
      <w:rFonts w:ascii="Verdana" w:eastAsia="Times New Roman" w:hAnsi="Verdana"/>
      <w:b/>
      <w:caps/>
      <w:smallCaps/>
      <w:kern w:val="32"/>
      <w:sz w:val="22"/>
      <w:szCs w:val="32"/>
      <w:lang w:val="fr-FR" w:eastAsia="fr-FR"/>
    </w:rPr>
  </w:style>
  <w:style w:type="paragraph" w:styleId="TOCHeading">
    <w:name w:val="TOC Heading"/>
    <w:basedOn w:val="Normal"/>
    <w:next w:val="Normal"/>
    <w:unhideWhenUsed/>
    <w:qFormat/>
    <w:pPr>
      <w:spacing w:before="120" w:after="240" w:line="240" w:lineRule="auto"/>
      <w:jc w:val="center"/>
    </w:pPr>
    <w:rPr>
      <w:rFonts w:ascii="Times New Roman" w:hAnsi="Times New Roman"/>
      <w:b/>
      <w:sz w:val="28"/>
      <w:szCs w:val="20"/>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hAnsi="Times New Roman"/>
      <w:sz w:val="24"/>
      <w:szCs w:val="20"/>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hAnsi="Times New Roman"/>
      <w:sz w:val="24"/>
      <w:szCs w:val="20"/>
    </w:rPr>
  </w:style>
  <w:style w:type="character" w:customStyle="1" w:styleId="Heading2Char">
    <w:name w:val="Heading 2 Char"/>
    <w:link w:val="Heading2"/>
    <w:uiPriority w:val="9"/>
    <w:rPr>
      <w:rFonts w:ascii="Cambria" w:eastAsia="Times New Roman" w:hAnsi="Cambria"/>
      <w:b/>
      <w:bCs/>
      <w:i/>
      <w:iCs/>
      <w:sz w:val="28"/>
      <w:szCs w:val="28"/>
      <w:lang w:val="fr-FR" w:eastAsia="fr-FR"/>
    </w:rPr>
  </w:style>
  <w:style w:type="character" w:customStyle="1" w:styleId="Heading3Char">
    <w:name w:val="Heading 3 Char"/>
    <w:link w:val="Heading3"/>
    <w:rPr>
      <w:rFonts w:ascii="Times New Roman" w:eastAsia="Times New Roman" w:hAnsi="Times New Roman"/>
      <w:i/>
      <w:sz w:val="24"/>
      <w:lang w:val="fr-FR" w:eastAsia="fr-FR"/>
    </w:rPr>
  </w:style>
  <w:style w:type="character" w:customStyle="1" w:styleId="Heading4Char">
    <w:name w:val="Heading 4 Char"/>
    <w:link w:val="Heading4"/>
    <w:rPr>
      <w:rFonts w:ascii="Times New Roman" w:eastAsia="Times New Roman" w:hAnsi="Times New Roman"/>
      <w:sz w:val="24"/>
      <w:lang w:val="fr-FR" w:eastAsia="fr-FR"/>
    </w:rPr>
  </w:style>
  <w:style w:type="character" w:customStyle="1" w:styleId="Heading5Char">
    <w:name w:val="Heading 5 Char"/>
    <w:link w:val="Heading5"/>
    <w:rPr>
      <w:rFonts w:ascii="Arial" w:eastAsia="Times New Roman" w:hAnsi="Arial"/>
      <w:sz w:val="22"/>
      <w:lang w:eastAsia="fr-FR"/>
    </w:rPr>
  </w:style>
  <w:style w:type="character" w:customStyle="1" w:styleId="Heading6Char">
    <w:name w:val="Heading 6 Char"/>
    <w:link w:val="Heading6"/>
    <w:rPr>
      <w:rFonts w:ascii="Arial" w:eastAsia="Times New Roman" w:hAnsi="Arial"/>
      <w:i/>
      <w:sz w:val="22"/>
      <w:lang w:eastAsia="fr-FR"/>
    </w:rPr>
  </w:style>
  <w:style w:type="character" w:customStyle="1" w:styleId="Heading7Char">
    <w:name w:val="Heading 7 Char"/>
    <w:link w:val="Heading7"/>
    <w:rPr>
      <w:rFonts w:ascii="Arial" w:eastAsia="Times New Roman" w:hAnsi="Arial"/>
      <w:lang w:eastAsia="fr-FR"/>
    </w:rPr>
  </w:style>
  <w:style w:type="character" w:customStyle="1" w:styleId="Heading8Char">
    <w:name w:val="Heading 8 Char"/>
    <w:link w:val="Heading8"/>
    <w:rPr>
      <w:rFonts w:ascii="Arial" w:eastAsia="Times New Roman" w:hAnsi="Arial"/>
      <w:i/>
      <w:lang w:eastAsia="fr-FR"/>
    </w:rPr>
  </w:style>
  <w:style w:type="character" w:customStyle="1" w:styleId="Heading9Char">
    <w:name w:val="Heading 9 Char"/>
    <w:link w:val="Heading9"/>
    <w:rPr>
      <w:rFonts w:ascii="Arial" w:eastAsia="Times New Roman" w:hAnsi="Arial"/>
      <w:i/>
      <w:sz w:val="18"/>
      <w:lang w:eastAsia="fr-FR"/>
    </w:rPr>
  </w:style>
  <w:style w:type="paragraph" w:customStyle="1" w:styleId="Text1">
    <w:name w:val="Text 1"/>
    <w:basedOn w:val="Normal"/>
    <w:pPr>
      <w:spacing w:after="240" w:line="240" w:lineRule="auto"/>
      <w:ind w:left="482"/>
      <w:jc w:val="both"/>
    </w:pPr>
    <w:rPr>
      <w:rFonts w:ascii="Times New Roman" w:eastAsia="Times New Roman" w:hAnsi="Times New Roman"/>
      <w:sz w:val="24"/>
      <w:szCs w:val="20"/>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sz w:val="24"/>
      <w:szCs w:val="20"/>
    </w:rPr>
  </w:style>
  <w:style w:type="paragraph" w:customStyle="1" w:styleId="Text3">
    <w:name w:val="Text 3"/>
    <w:basedOn w:val="Normal"/>
    <w:pPr>
      <w:tabs>
        <w:tab w:val="left" w:pos="2302"/>
      </w:tabs>
      <w:spacing w:after="240" w:line="240" w:lineRule="auto"/>
      <w:ind w:left="1916"/>
      <w:jc w:val="both"/>
    </w:pPr>
    <w:rPr>
      <w:rFonts w:ascii="Times New Roman" w:eastAsia="Times New Roman" w:hAnsi="Times New Roman"/>
      <w:sz w:val="24"/>
      <w:szCs w:val="20"/>
    </w:rPr>
  </w:style>
  <w:style w:type="paragraph" w:customStyle="1" w:styleId="Text4">
    <w:name w:val="Text 4"/>
    <w:basedOn w:val="Normal"/>
    <w:pPr>
      <w:spacing w:after="240" w:line="240" w:lineRule="auto"/>
      <w:ind w:left="2880"/>
      <w:jc w:val="both"/>
    </w:pPr>
    <w:rPr>
      <w:rFonts w:ascii="Times New Roman" w:eastAsia="Times New Roman" w:hAnsi="Times New Roman"/>
      <w:sz w:val="24"/>
      <w:szCs w:val="20"/>
    </w:rPr>
  </w:style>
  <w:style w:type="paragraph" w:customStyle="1" w:styleId="Address">
    <w:name w:val="Address"/>
    <w:basedOn w:val="Normal"/>
    <w:pPr>
      <w:spacing w:after="0" w:line="240" w:lineRule="auto"/>
    </w:pPr>
    <w:rPr>
      <w:rFonts w:ascii="Times New Roman" w:eastAsia="Times New Roman" w:hAnsi="Times New Roman"/>
      <w:sz w:val="24"/>
      <w:szCs w:val="20"/>
    </w:rPr>
  </w:style>
  <w:style w:type="paragraph" w:customStyle="1" w:styleId="AddressTL">
    <w:name w:val="AddressTL"/>
    <w:basedOn w:val="Normal"/>
    <w:next w:val="Normal"/>
    <w:pPr>
      <w:spacing w:after="720" w:line="240" w:lineRule="auto"/>
    </w:pPr>
    <w:rPr>
      <w:rFonts w:ascii="Times New Roman" w:eastAsia="Times New Roman" w:hAnsi="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sz w:val="24"/>
      <w:szCs w:val="20"/>
    </w:rPr>
  </w:style>
  <w:style w:type="character" w:customStyle="1" w:styleId="BodyTextChar">
    <w:name w:val="Body Text Char"/>
    <w:link w:val="BodyText"/>
    <w:rPr>
      <w:rFonts w:ascii="Times New Roman" w:eastAsia="Times New Roman" w:hAnsi="Times New Roman"/>
      <w:sz w:val="24"/>
      <w:lang w:eastAsia="fr-FR"/>
    </w:rPr>
  </w:style>
  <w:style w:type="paragraph" w:styleId="BodyText2">
    <w:name w:val="Body Text 2"/>
    <w:basedOn w:val="Normal"/>
    <w:link w:val="BodyText2Char"/>
    <w:pPr>
      <w:spacing w:after="120" w:line="480" w:lineRule="auto"/>
      <w:jc w:val="both"/>
    </w:pPr>
    <w:rPr>
      <w:rFonts w:ascii="Times New Roman" w:eastAsia="Times New Roman" w:hAnsi="Times New Roman"/>
      <w:sz w:val="24"/>
      <w:szCs w:val="20"/>
    </w:rPr>
  </w:style>
  <w:style w:type="character" w:customStyle="1" w:styleId="BodyText2Char">
    <w:name w:val="Body Text 2 Char"/>
    <w:link w:val="BodyText2"/>
    <w:rPr>
      <w:rFonts w:ascii="Times New Roman" w:eastAsia="Times New Roman" w:hAnsi="Times New Roman"/>
      <w:sz w:val="24"/>
      <w:lang w:eastAsia="fr-FR"/>
    </w:rPr>
  </w:style>
  <w:style w:type="paragraph" w:styleId="BodyText3">
    <w:name w:val="Body Text 3"/>
    <w:basedOn w:val="Normal"/>
    <w:link w:val="BodyText3Char"/>
    <w:pPr>
      <w:spacing w:after="120" w:line="240" w:lineRule="auto"/>
      <w:jc w:val="both"/>
    </w:pPr>
    <w:rPr>
      <w:rFonts w:ascii="Times New Roman" w:eastAsia="Times New Roman" w:hAnsi="Times New Roman"/>
      <w:sz w:val="16"/>
      <w:szCs w:val="20"/>
    </w:rPr>
  </w:style>
  <w:style w:type="character" w:customStyle="1" w:styleId="BodyText3Char">
    <w:name w:val="Body Text 3 Char"/>
    <w:link w:val="BodyText3"/>
    <w:rPr>
      <w:rFonts w:ascii="Times New Roman" w:eastAsia="Times New Roman" w:hAnsi="Times New Roman"/>
      <w:sz w:val="16"/>
      <w:lang w:eastAsia="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lang w:eastAsia="fr-FR"/>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sz w:val="24"/>
      <w:szCs w:val="20"/>
    </w:rPr>
  </w:style>
  <w:style w:type="character" w:customStyle="1" w:styleId="BodyTextIndentChar">
    <w:name w:val="Body Text Indent Char"/>
    <w:link w:val="BodyTextIndent"/>
    <w:rPr>
      <w:rFonts w:ascii="Times New Roman" w:eastAsia="Times New Roman" w:hAnsi="Times New Roman"/>
      <w:sz w:val="24"/>
      <w:lang w:eastAsia="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lang w:eastAsia="fr-FR"/>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sz w:val="24"/>
      <w:szCs w:val="20"/>
    </w:rPr>
  </w:style>
  <w:style w:type="character" w:customStyle="1" w:styleId="BodyTextIndent2Char">
    <w:name w:val="Body Text Indent 2 Char"/>
    <w:link w:val="BodyTextIndent2"/>
    <w:rPr>
      <w:rFonts w:ascii="Times New Roman" w:eastAsia="Times New Roman" w:hAnsi="Times New Roman"/>
      <w:sz w:val="24"/>
      <w:lang w:eastAsia="fr-FR"/>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rPr>
  </w:style>
  <w:style w:type="character" w:customStyle="1" w:styleId="BodyTextIndent3Char">
    <w:name w:val="Body Text Indent 3 Char"/>
    <w:link w:val="BodyTextIndent3"/>
    <w:rPr>
      <w:rFonts w:ascii="Times New Roman" w:eastAsia="Times New Roman" w:hAnsi="Times New Roman"/>
      <w:sz w:val="16"/>
      <w:lang w:eastAsia="fr-FR"/>
    </w:rPr>
  </w:style>
  <w:style w:type="paragraph" w:styleId="Caption">
    <w:name w:val="caption"/>
    <w:basedOn w:val="Normal"/>
    <w:next w:val="Normal"/>
    <w:qFormat/>
    <w:pPr>
      <w:spacing w:before="120" w:after="120" w:line="240" w:lineRule="auto"/>
      <w:jc w:val="both"/>
    </w:pPr>
    <w:rPr>
      <w:rFonts w:ascii="Times New Roman" w:eastAsia="Times New Roman" w:hAnsi="Times New Roman"/>
      <w:b/>
      <w:sz w:val="24"/>
      <w:szCs w:val="20"/>
    </w:rPr>
  </w:style>
  <w:style w:type="paragraph" w:styleId="Closing">
    <w:name w:val="Closing"/>
    <w:basedOn w:val="Normal"/>
    <w:next w:val="Signature"/>
    <w:link w:val="ClosingChar"/>
    <w:pPr>
      <w:tabs>
        <w:tab w:val="left" w:pos="5103"/>
      </w:tabs>
      <w:spacing w:before="240" w:after="240" w:line="240" w:lineRule="auto"/>
      <w:ind w:left="5103"/>
    </w:pPr>
    <w:rPr>
      <w:rFonts w:ascii="Times New Roman" w:eastAsia="Times New Roman" w:hAnsi="Times New Roman"/>
      <w:sz w:val="24"/>
      <w:szCs w:val="20"/>
    </w:rPr>
  </w:style>
  <w:style w:type="character" w:customStyle="1" w:styleId="ClosingChar">
    <w:name w:val="Closing Char"/>
    <w:link w:val="Closing"/>
    <w:rPr>
      <w:rFonts w:ascii="Times New Roman" w:eastAsia="Times New Roman" w:hAnsi="Times New Roman"/>
      <w:sz w:val="24"/>
      <w:lang w:eastAsia="fr-FR"/>
    </w:rPr>
  </w:style>
  <w:style w:type="paragraph" w:styleId="Signature">
    <w:name w:val="Signature"/>
    <w:basedOn w:val="Normal"/>
    <w:next w:val="Contact"/>
    <w:link w:val="SignatureChar"/>
    <w:uiPriority w:val="99"/>
    <w:pPr>
      <w:tabs>
        <w:tab w:val="left" w:pos="5103"/>
      </w:tabs>
      <w:spacing w:before="1200" w:after="0" w:line="240" w:lineRule="auto"/>
      <w:ind w:left="5103"/>
      <w:jc w:val="center"/>
    </w:pPr>
    <w:rPr>
      <w:rFonts w:ascii="Times New Roman" w:eastAsia="Times New Roman" w:hAnsi="Times New Roman"/>
      <w:sz w:val="24"/>
      <w:szCs w:val="20"/>
    </w:rPr>
  </w:style>
  <w:style w:type="character" w:customStyle="1" w:styleId="SignatureChar">
    <w:name w:val="Signature Char"/>
    <w:link w:val="Signature"/>
    <w:uiPriority w:val="99"/>
    <w:rPr>
      <w:rFonts w:ascii="Times New Roman" w:eastAsia="Times New Roman" w:hAnsi="Times New Roman"/>
      <w:sz w:val="24"/>
      <w:lang w:eastAsia="fr-FR"/>
    </w:rPr>
  </w:style>
  <w:style w:type="paragraph" w:customStyle="1" w:styleId="Enclosures">
    <w:name w:val="Enclosures"/>
    <w:basedOn w:val="Normal"/>
    <w:next w:val="Participants"/>
    <w:pPr>
      <w:keepNext/>
      <w:keepLines/>
      <w:tabs>
        <w:tab w:val="left" w:pos="5670"/>
      </w:tabs>
      <w:spacing w:before="480" w:after="0" w:line="240" w:lineRule="auto"/>
      <w:ind w:left="1985" w:hanging="1985"/>
    </w:pPr>
    <w:rPr>
      <w:rFonts w:ascii="Times New Roman" w:eastAsia="Times New Roman" w:hAnsi="Times New Roman"/>
      <w:sz w:val="24"/>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sz w:val="24"/>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sz w:val="24"/>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semiHidden/>
    <w:rPr>
      <w:rFonts w:ascii="Times New Roman" w:eastAsia="Times New Roman" w:hAnsi="Times New Roman"/>
      <w:lang w:eastAsia="fr-FR"/>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sz w:val="24"/>
      <w:szCs w:val="20"/>
    </w:rPr>
  </w:style>
  <w:style w:type="character" w:customStyle="1" w:styleId="DateChar">
    <w:name w:val="Date Char"/>
    <w:link w:val="Date"/>
    <w:rPr>
      <w:rFonts w:ascii="Times New Roman" w:eastAsia="Times New Roman" w:hAnsi="Times New Roman"/>
      <w:sz w:val="24"/>
      <w:lang w:eastAsia="fr-FR"/>
    </w:rPr>
  </w:style>
  <w:style w:type="paragraph" w:customStyle="1" w:styleId="References">
    <w:name w:val="References"/>
    <w:basedOn w:val="Normal"/>
    <w:next w:val="AddressTR"/>
    <w:uiPriority w:val="99"/>
    <w:pPr>
      <w:spacing w:after="240" w:line="240" w:lineRule="auto"/>
      <w:ind w:left="5103"/>
    </w:pPr>
    <w:rPr>
      <w:rFonts w:ascii="Times New Roman" w:eastAsia="Times New Roman" w:hAnsi="Times New Roman"/>
      <w:sz w:val="20"/>
      <w:szCs w:val="20"/>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sz w:val="24"/>
      <w:szCs w:val="20"/>
    </w:rPr>
  </w:style>
  <w:style w:type="character" w:customStyle="1" w:styleId="DocumentMapChar">
    <w:name w:val="Document Map Char"/>
    <w:link w:val="DocumentMap"/>
    <w:semiHidden/>
    <w:rPr>
      <w:rFonts w:ascii="Tahoma" w:eastAsia="Times New Roman" w:hAnsi="Tahoma"/>
      <w:sz w:val="24"/>
      <w:shd w:val="clear" w:color="auto" w:fill="000080"/>
      <w:lang w:eastAsia="fr-FR"/>
    </w:rPr>
  </w:style>
  <w:style w:type="paragraph" w:customStyle="1" w:styleId="DoubSign">
    <w:name w:val="DoubSign"/>
    <w:basedOn w:val="Normal"/>
    <w:next w:val="Contact"/>
    <w:pPr>
      <w:tabs>
        <w:tab w:val="left" w:pos="5103"/>
      </w:tabs>
      <w:spacing w:before="1200" w:after="0" w:line="240" w:lineRule="auto"/>
    </w:pPr>
    <w:rPr>
      <w:rFonts w:ascii="Times New Roman" w:eastAsia="Times New Roman" w:hAnsi="Times New Roman"/>
      <w:sz w:val="24"/>
      <w:szCs w:val="20"/>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Pr>
      <w:rFonts w:ascii="Times New Roman" w:eastAsia="Times New Roman" w:hAnsi="Times New Roman"/>
      <w:lang w:eastAsia="fr-FR"/>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sz w:val="20"/>
      <w:szCs w:val="20"/>
    </w:rPr>
  </w:style>
  <w:style w:type="paragraph" w:styleId="FootnoteText">
    <w:name w:val="footnote text"/>
    <w:basedOn w:val="Normal"/>
    <w:link w:val="FootnoteTextChar"/>
    <w:uiPriority w:val="99"/>
    <w:semiHidden/>
    <w:pPr>
      <w:spacing w:after="240" w:line="240" w:lineRule="auto"/>
      <w:ind w:left="357" w:hanging="357"/>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lang w:eastAsia="fr-FR"/>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sz w:val="24"/>
      <w:szCs w:val="20"/>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sz w:val="24"/>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sz w:val="24"/>
      <w:szCs w:val="20"/>
    </w:rPr>
  </w:style>
  <w:style w:type="paragraph" w:styleId="ListBullet">
    <w:name w:val="List Bullet"/>
    <w:basedOn w:val="Normal"/>
    <w:pPr>
      <w:numPr>
        <w:numId w:val="4"/>
      </w:numPr>
      <w:spacing w:after="240" w:line="240" w:lineRule="auto"/>
      <w:jc w:val="both"/>
    </w:pPr>
    <w:rPr>
      <w:rFonts w:ascii="Times New Roman" w:eastAsia="Times New Roman" w:hAnsi="Times New Roman"/>
      <w:sz w:val="24"/>
      <w:szCs w:val="20"/>
    </w:r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spacing w:after="240" w:line="240" w:lineRule="auto"/>
      <w:jc w:val="both"/>
    </w:pPr>
    <w:rPr>
      <w:rFonts w:ascii="Times New Roman" w:eastAsia="Times New Roman" w:hAnsi="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sz w:val="24"/>
      <w:szCs w:val="20"/>
    </w:rPr>
  </w:style>
  <w:style w:type="paragraph" w:styleId="ListNumber">
    <w:name w:val="List Number"/>
    <w:basedOn w:val="Normal"/>
    <w:pPr>
      <w:numPr>
        <w:numId w:val="14"/>
      </w:numPr>
      <w:spacing w:after="240" w:line="240" w:lineRule="auto"/>
      <w:jc w:val="both"/>
    </w:pPr>
    <w:rPr>
      <w:rFonts w:ascii="Times New Roman" w:eastAsia="Times New Roman" w:hAnsi="Times New Roman"/>
      <w:sz w:val="24"/>
      <w:szCs w:val="20"/>
    </w:r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spacing w:after="240" w:line="240" w:lineRule="auto"/>
      <w:jc w:val="both"/>
    </w:pPr>
    <w:rPr>
      <w:rFonts w:ascii="Times New Roman" w:eastAsia="Times New Roman" w:hAnsi="Times New Roman"/>
      <w:sz w:val="24"/>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rPr>
  </w:style>
  <w:style w:type="character" w:customStyle="1" w:styleId="MacroTextChar">
    <w:name w:val="Macro Text Char"/>
    <w:link w:val="MacroText"/>
    <w:semiHidden/>
    <w:rPr>
      <w:rFonts w:ascii="Courier New" w:eastAsia="Times New Roman" w:hAnsi="Courier New"/>
      <w:lang w:eastAsia="fr-FR" w:bidi="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sz w:val="24"/>
      <w:szCs w:val="20"/>
    </w:rPr>
  </w:style>
  <w:style w:type="character" w:customStyle="1" w:styleId="MessageHeaderChar">
    <w:name w:val="Message Header Char"/>
    <w:link w:val="MessageHeader"/>
    <w:rPr>
      <w:rFonts w:ascii="Arial" w:eastAsia="Times New Roman" w:hAnsi="Arial"/>
      <w:sz w:val="24"/>
      <w:shd w:val="pct20" w:color="auto" w:fill="auto"/>
      <w:lang w:eastAsia="fr-FR"/>
    </w:rPr>
  </w:style>
  <w:style w:type="paragraph" w:styleId="NormalIndent">
    <w:name w:val="Normal Indent"/>
    <w:basedOn w:val="Normal"/>
    <w:pPr>
      <w:spacing w:after="240" w:line="240" w:lineRule="auto"/>
      <w:ind w:left="720"/>
      <w:jc w:val="both"/>
    </w:pPr>
    <w:rPr>
      <w:rFonts w:ascii="Times New Roman" w:eastAsia="Times New Roman" w:hAnsi="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sz w:val="24"/>
      <w:szCs w:val="20"/>
    </w:rPr>
  </w:style>
  <w:style w:type="character" w:customStyle="1" w:styleId="NoteHeadingChar">
    <w:name w:val="Note Heading Char"/>
    <w:link w:val="NoteHeading"/>
    <w:rPr>
      <w:rFonts w:ascii="Times New Roman" w:eastAsia="Times New Roman" w:hAnsi="Times New Roman"/>
      <w:sz w:val="24"/>
      <w:lang w:eastAsia="fr-FR"/>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b/>
      <w:smallCaps/>
      <w:sz w:val="24"/>
      <w:szCs w:val="20"/>
    </w:rPr>
  </w:style>
  <w:style w:type="paragraph" w:customStyle="1" w:styleId="NumPar1">
    <w:name w:val="NumPar 1"/>
    <w:basedOn w:val="Heading1"/>
    <w:next w:val="Text1"/>
    <w:pPr>
      <w:keepNext w:val="0"/>
      <w:spacing w:before="0"/>
      <w:outlineLvl w:val="9"/>
    </w:pPr>
    <w:rPr>
      <w:rFonts w:ascii="Times New Roman" w:hAnsi="Times New Roman"/>
      <w:b w:val="0"/>
      <w:bCs/>
      <w:kern w:val="0"/>
      <w:sz w:val="24"/>
      <w:szCs w:val="20"/>
    </w:rPr>
  </w:style>
  <w:style w:type="paragraph" w:customStyle="1" w:styleId="NumPar2">
    <w:name w:val="NumPar 2"/>
    <w:basedOn w:val="Heading2"/>
    <w:next w:val="Text2"/>
    <w:pPr>
      <w:keepNext w:val="0"/>
      <w:numPr>
        <w:numId w:val="0"/>
      </w:numPr>
      <w:tabs>
        <w:tab w:val="num" w:pos="1080"/>
      </w:tabs>
      <w:spacing w:before="0" w:after="240" w:line="240" w:lineRule="auto"/>
      <w:ind w:left="1080" w:hanging="600"/>
      <w:jc w:val="both"/>
      <w:outlineLvl w:val="9"/>
    </w:pPr>
    <w:rPr>
      <w:rFonts w:ascii="Times New Roman" w:hAnsi="Times New Roman"/>
      <w:b w:val="0"/>
      <w:bCs w:val="0"/>
      <w:i w:val="0"/>
      <w:iCs w:val="0"/>
      <w:sz w:val="24"/>
      <w:szCs w:val="20"/>
    </w:rPr>
  </w:style>
  <w:style w:type="paragraph" w:customStyle="1" w:styleId="NumPar3">
    <w:name w:val="NumPar 3"/>
    <w:basedOn w:val="Heading3"/>
    <w:next w:val="Text3"/>
    <w:pPr>
      <w:keepNext w:val="0"/>
      <w:numPr>
        <w:numId w:val="0"/>
      </w:numPr>
      <w:tabs>
        <w:tab w:val="num" w:pos="1920"/>
      </w:tabs>
      <w:ind w:left="1920" w:hanging="840"/>
      <w:outlineLvl w:val="9"/>
    </w:pPr>
    <w:rPr>
      <w:i w:val="0"/>
    </w:rPr>
  </w:style>
  <w:style w:type="paragraph" w:customStyle="1" w:styleId="NumPar4">
    <w:name w:val="NumPar 4"/>
    <w:basedOn w:val="Heading4"/>
    <w:next w:val="Text4"/>
    <w:pPr>
      <w:keepNext w:val="0"/>
      <w:numPr>
        <w:numId w:val="0"/>
      </w:numPr>
      <w:tabs>
        <w:tab w:val="num" w:pos="2880"/>
      </w:tabs>
      <w:ind w:left="2880" w:hanging="960"/>
      <w:outlineLvl w:val="9"/>
    </w:pPr>
  </w:style>
  <w:style w:type="paragraph" w:styleId="PlainText">
    <w:name w:val="Plain Text"/>
    <w:basedOn w:val="Normal"/>
    <w:link w:val="PlainTextChar"/>
    <w:uiPriority w:val="99"/>
    <w:pPr>
      <w:spacing w:after="240" w:line="240" w:lineRule="auto"/>
      <w:jc w:val="both"/>
    </w:pPr>
    <w:rPr>
      <w:rFonts w:ascii="Courier New" w:eastAsia="Times New Roman" w:hAnsi="Courier New"/>
      <w:sz w:val="20"/>
      <w:szCs w:val="20"/>
    </w:rPr>
  </w:style>
  <w:style w:type="character" w:customStyle="1" w:styleId="PlainTextChar">
    <w:name w:val="Plain Text Char"/>
    <w:link w:val="PlainText"/>
    <w:uiPriority w:val="99"/>
    <w:rPr>
      <w:rFonts w:ascii="Courier New" w:eastAsia="Times New Roman" w:hAnsi="Courier New"/>
      <w:lang w:eastAsia="fr-FR"/>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sz w:val="24"/>
      <w:szCs w:val="20"/>
    </w:rPr>
  </w:style>
  <w:style w:type="character" w:customStyle="1" w:styleId="SalutationChar">
    <w:name w:val="Salutation Char"/>
    <w:link w:val="Salutation"/>
    <w:rPr>
      <w:rFonts w:ascii="Times New Roman" w:eastAsia="Times New Roman" w:hAnsi="Times New Roman"/>
      <w:sz w:val="24"/>
      <w:lang w:eastAsia="fr-FR"/>
    </w:rPr>
  </w:style>
  <w:style w:type="paragraph" w:styleId="Subtitle">
    <w:name w:val="Subtitle"/>
    <w:basedOn w:val="Normal"/>
    <w:link w:val="SubtitleChar"/>
    <w:qFormat/>
    <w:pPr>
      <w:spacing w:after="60" w:line="240" w:lineRule="auto"/>
      <w:jc w:val="center"/>
      <w:outlineLvl w:val="1"/>
    </w:pPr>
    <w:rPr>
      <w:rFonts w:ascii="Arial" w:eastAsia="Times New Roman" w:hAnsi="Arial"/>
      <w:sz w:val="24"/>
      <w:szCs w:val="20"/>
    </w:rPr>
  </w:style>
  <w:style w:type="character" w:customStyle="1" w:styleId="SubtitleChar">
    <w:name w:val="Subtitle Char"/>
    <w:link w:val="Subtitle"/>
    <w:rPr>
      <w:rFonts w:ascii="Arial" w:eastAsia="Times New Roman" w:hAnsi="Arial"/>
      <w:sz w:val="24"/>
      <w:lang w:eastAsia="fr-FR"/>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sz w:val="24"/>
      <w:szCs w:val="20"/>
    </w:rPr>
  </w:style>
  <w:style w:type="paragraph" w:styleId="Title">
    <w:name w:val="Title"/>
    <w:basedOn w:val="Normal"/>
    <w:link w:val="TitleChar"/>
    <w:qFormat/>
    <w:pPr>
      <w:spacing w:before="240" w:after="60" w:line="240" w:lineRule="auto"/>
      <w:jc w:val="center"/>
      <w:outlineLvl w:val="0"/>
    </w:pPr>
    <w:rPr>
      <w:rFonts w:ascii="Arial" w:eastAsia="Times New Roman" w:hAnsi="Arial"/>
      <w:b/>
      <w:kern w:val="28"/>
      <w:sz w:val="32"/>
      <w:szCs w:val="20"/>
    </w:rPr>
  </w:style>
  <w:style w:type="character" w:customStyle="1" w:styleId="TitleChar">
    <w:name w:val="Title Char"/>
    <w:link w:val="Title"/>
    <w:rPr>
      <w:rFonts w:ascii="Arial" w:eastAsia="Times New Roman" w:hAnsi="Arial"/>
      <w:b/>
      <w:kern w:val="28"/>
      <w:sz w:val="32"/>
      <w:lang w:eastAsia="fr-FR"/>
    </w:rPr>
  </w:style>
  <w:style w:type="paragraph" w:styleId="TOAHeading">
    <w:name w:val="toa heading"/>
    <w:basedOn w:val="Normal"/>
    <w:next w:val="Normal"/>
    <w:semiHidden/>
    <w:pPr>
      <w:spacing w:before="120" w:after="240" w:line="240" w:lineRule="auto"/>
      <w:jc w:val="both"/>
    </w:pPr>
    <w:rPr>
      <w:rFonts w:ascii="Arial" w:eastAsia="Times New Roman" w:hAnsi="Arial"/>
      <w:b/>
      <w:sz w:val="24"/>
      <w:szCs w:val="20"/>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sz w:val="24"/>
      <w:szCs w:val="20"/>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sz w:val="24"/>
      <w:szCs w:val="20"/>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sz w:val="24"/>
      <w:szCs w:val="20"/>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sz w:val="24"/>
      <w:szCs w:val="20"/>
    </w:rPr>
  </w:style>
  <w:style w:type="paragraph" w:customStyle="1" w:styleId="ListBullet1">
    <w:name w:val="List Bullet 1"/>
    <w:basedOn w:val="Text1"/>
    <w:pPr>
      <w:numPr>
        <w:numId w:val="5"/>
      </w:numPr>
    </w:pPr>
  </w:style>
  <w:style w:type="paragraph" w:customStyle="1" w:styleId="ListDash">
    <w:name w:val="List Dash"/>
    <w:basedOn w:val="Normal"/>
    <w:pPr>
      <w:numPr>
        <w:numId w:val="9"/>
      </w:numPr>
      <w:spacing w:after="240" w:line="240" w:lineRule="auto"/>
      <w:jc w:val="both"/>
    </w:pPr>
    <w:rPr>
      <w:rFonts w:ascii="Times New Roman" w:eastAsia="Times New Roman" w:hAnsi="Times New Roman"/>
      <w:sz w:val="24"/>
      <w:szCs w:val="20"/>
    </w:r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14"/>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14"/>
      </w:numPr>
      <w:spacing w:after="240" w:line="240" w:lineRule="auto"/>
      <w:jc w:val="both"/>
    </w:pPr>
    <w:rPr>
      <w:rFonts w:ascii="Times New Roman" w:eastAsia="Times New Roman" w:hAnsi="Times New Roman"/>
      <w:sz w:val="24"/>
      <w:szCs w:val="20"/>
    </w:r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Contact">
    <w:name w:val="Contact"/>
    <w:basedOn w:val="Normal"/>
    <w:next w:val="Enclosures"/>
    <w:uiPriority w:val="99"/>
    <w:pPr>
      <w:spacing w:before="480" w:after="0" w:line="240" w:lineRule="auto"/>
      <w:ind w:left="567" w:hanging="567"/>
    </w:pPr>
    <w:rPr>
      <w:rFonts w:ascii="Times New Roman" w:eastAsia="Times New Roman" w:hAnsi="Times New Roman"/>
      <w:sz w:val="24"/>
      <w:szCs w:val="20"/>
    </w:rPr>
  </w:style>
  <w:style w:type="paragraph" w:customStyle="1" w:styleId="DisclaimerNotice">
    <w:name w:val="Disclaimer Notice"/>
    <w:basedOn w:val="Normal"/>
    <w:next w:val="AddressTR"/>
    <w:pPr>
      <w:spacing w:after="240" w:line="240" w:lineRule="auto"/>
      <w:ind w:left="5103"/>
    </w:pPr>
    <w:rPr>
      <w:rFonts w:ascii="Times New Roman" w:eastAsia="Times New Roman" w:hAnsi="Times New Roman"/>
      <w:i/>
      <w:sz w:val="20"/>
      <w:szCs w:val="20"/>
    </w:rPr>
  </w:style>
  <w:style w:type="paragraph" w:customStyle="1" w:styleId="Disclaimer">
    <w:name w:val="Disclaimer"/>
    <w:basedOn w:val="Normal"/>
    <w:pPr>
      <w:keepLines/>
      <w:pBdr>
        <w:top w:val="single" w:sz="4" w:space="1" w:color="auto"/>
      </w:pBdr>
      <w:spacing w:before="480" w:after="0" w:line="240" w:lineRule="auto"/>
      <w:jc w:val="both"/>
    </w:pPr>
    <w:rPr>
      <w:rFonts w:ascii="Times New Roman" w:eastAsia="Times New Roman" w:hAnsi="Times New Roman"/>
      <w:i/>
      <w:sz w:val="24"/>
      <w:szCs w:val="20"/>
    </w:rPr>
  </w:style>
  <w:style w:type="character" w:styleId="FollowedHyperlink">
    <w:name w:val="FollowedHyperlink"/>
    <w:rPr>
      <w:color w:val="800080"/>
      <w:u w:val="single"/>
    </w:rPr>
  </w:style>
  <w:style w:type="paragraph" w:customStyle="1" w:styleId="DisclaimerSJ">
    <w:name w:val="Disclaimer_SJ"/>
    <w:basedOn w:val="Normal"/>
    <w:next w:val="Normal"/>
    <w:pPr>
      <w:spacing w:after="0" w:line="240" w:lineRule="auto"/>
      <w:jc w:val="both"/>
    </w:pPr>
    <w:rPr>
      <w:rFonts w:ascii="Arial" w:eastAsia="Times New Roman" w:hAnsi="Arial"/>
      <w:b/>
      <w:sz w:val="16"/>
      <w:szCs w:val="20"/>
    </w:rPr>
  </w:style>
  <w:style w:type="paragraph" w:customStyle="1" w:styleId="Designator">
    <w:name w:val="Designator"/>
    <w:basedOn w:val="Normal"/>
    <w:pPr>
      <w:spacing w:after="0" w:line="240" w:lineRule="auto"/>
      <w:jc w:val="center"/>
    </w:pPr>
    <w:rPr>
      <w:rFonts w:ascii="Times New Roman" w:eastAsia="Times New Roman" w:hAnsi="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b/>
      <w:caps/>
      <w:sz w:val="32"/>
      <w:szCs w:val="20"/>
    </w:rPr>
  </w:style>
  <w:style w:type="paragraph" w:customStyle="1" w:styleId="RUE">
    <w:name w:val="RUE"/>
    <w:basedOn w:val="Normal"/>
    <w:pPr>
      <w:spacing w:after="0" w:line="240" w:lineRule="auto"/>
      <w:jc w:val="center"/>
    </w:pPr>
    <w:rPr>
      <w:rFonts w:ascii="Times New Roman" w:eastAsia="Times New Roman" w:hAnsi="Times New Roman"/>
      <w:b/>
      <w:caps/>
      <w:sz w:val="32"/>
      <w:szCs w:val="20"/>
      <w:bdr w:val="single" w:sz="18" w:space="0" w:color="auto"/>
    </w:rPr>
  </w:style>
  <w:style w:type="paragraph" w:customStyle="1" w:styleId="ConfidentialUE">
    <w:name w:val="Confidential UE"/>
    <w:basedOn w:val="Normal"/>
    <w:pPr>
      <w:spacing w:after="0" w:line="240" w:lineRule="auto"/>
      <w:jc w:val="center"/>
    </w:pPr>
    <w:rPr>
      <w:rFonts w:ascii="Times New Roman" w:eastAsia="Times New Roman" w:hAnsi="Times New Roman"/>
      <w:b/>
      <w:caps/>
      <w:sz w:val="32"/>
      <w:szCs w:val="20"/>
      <w:bdr w:val="single" w:sz="18" w:space="0" w:color="auto"/>
    </w:rPr>
  </w:style>
  <w:style w:type="paragraph" w:customStyle="1" w:styleId="TrsSecretUE">
    <w:name w:val="Très Secret UE"/>
    <w:basedOn w:val="Normal"/>
    <w:pPr>
      <w:spacing w:after="0" w:line="240" w:lineRule="auto"/>
      <w:jc w:val="center"/>
    </w:pPr>
    <w:rPr>
      <w:rFonts w:ascii="Times New Roman" w:eastAsia="Times New Roman" w:hAnsi="Times New Roman"/>
      <w:b/>
      <w:caps/>
      <w:color w:val="FF0000"/>
      <w:sz w:val="32"/>
      <w:szCs w:val="20"/>
      <w:bdr w:val="single" w:sz="18" w:space="0" w:color="FF0000"/>
    </w:rPr>
  </w:style>
  <w:style w:type="paragraph" w:customStyle="1" w:styleId="SecretUE">
    <w:name w:val="Secret UE"/>
    <w:basedOn w:val="Normal"/>
    <w:pPr>
      <w:spacing w:after="0" w:line="240" w:lineRule="auto"/>
      <w:jc w:val="center"/>
    </w:pPr>
    <w:rPr>
      <w:rFonts w:ascii="Times New Roman" w:eastAsia="Times New Roman" w:hAnsi="Times New Roman"/>
      <w:b/>
      <w:caps/>
      <w:color w:val="FF0000"/>
      <w:sz w:val="32"/>
      <w:szCs w:val="20"/>
      <w:bdr w:val="single" w:sz="18" w:space="0" w:color="FF0000"/>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character" w:styleId="FootnoteReference">
    <w:name w:val="footnote reference"/>
    <w:aliases w:val="EN Footnote Reference,-E Fußnotenzeichen,BVI fnr,Footnote,Footnote symbol,Footnote number,Footnote Reference Number,Footnote reference number,Times 10 Point,Exposant 3 Point,Footnote Reference Superscript,note TESI, BVI fnr,Appel note"/>
    <w:link w:val="FootnotesymbolCharChar"/>
    <w:uiPriority w:val="99"/>
    <w:qFormat/>
    <w:rPr>
      <w:vertAlign w:val="superscript"/>
    </w:rPr>
  </w:style>
  <w:style w:type="character" w:styleId="PageNumber">
    <w:name w:val="page number"/>
  </w:style>
  <w:style w:type="paragraph" w:customStyle="1" w:styleId="Style10">
    <w:name w:val="Style 1"/>
    <w:basedOn w:val="Normal"/>
    <w:pPr>
      <w:widowControl w:val="0"/>
      <w:autoSpaceDE w:val="0"/>
      <w:autoSpaceDN w:val="0"/>
      <w:adjustRightInd w:val="0"/>
      <w:spacing w:after="0" w:line="240" w:lineRule="auto"/>
    </w:pPr>
    <w:rPr>
      <w:rFonts w:ascii="Times New Roman" w:eastAsia="Times New Roman" w:hAnsi="Times New Roman"/>
      <w:sz w:val="20"/>
      <w:szCs w:val="24"/>
    </w:rPr>
  </w:style>
  <w:style w:type="paragraph" w:customStyle="1" w:styleId="ADPPuce1">
    <w:name w:val="ADP Puce 1"/>
    <w:basedOn w:val="Normal"/>
    <w:pPr>
      <w:numPr>
        <w:numId w:val="19"/>
      </w:numPr>
      <w:spacing w:after="0" w:line="240" w:lineRule="auto"/>
      <w:ind w:left="1080" w:hanging="360"/>
      <w:jc w:val="both"/>
    </w:pPr>
    <w:rPr>
      <w:rFonts w:ascii="Arial" w:eastAsia="Times New Roman" w:hAnsi="Arial"/>
      <w:sz w:val="20"/>
      <w:szCs w:val="24"/>
    </w:rPr>
  </w:style>
  <w:style w:type="character" w:styleId="Emphasis">
    <w:name w:val="Emphasis"/>
    <w:qFormat/>
    <w:rPr>
      <w:i/>
      <w:iCs/>
    </w:rPr>
  </w:style>
  <w:style w:type="character" w:styleId="Strong">
    <w:name w:val="Strong"/>
    <w:uiPriority w:val="22"/>
    <w:qFormat/>
    <w:rPr>
      <w:b/>
      <w:bCs/>
    </w:rPr>
  </w:style>
  <w:style w:type="table" w:styleId="TableGrid">
    <w:name w:val="Table Grid"/>
    <w:basedOn w:val="TableNormal"/>
    <w:uiPriority w:val="59"/>
    <w:pPr>
      <w:spacing w:after="120" w:line="240" w:lineRule="atLeas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pPr>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pPr>
      <w:spacing w:before="100" w:beforeAutospacing="1" w:after="100" w:afterAutospacing="1" w:line="220" w:lineRule="atLeast"/>
    </w:pPr>
    <w:rPr>
      <w:rFonts w:ascii="Verdana" w:eastAsia="Times New Roman" w:hAnsi="Verdana"/>
      <w:color w:val="000000"/>
      <w:sz w:val="16"/>
      <w:szCs w:val="16"/>
    </w:rPr>
  </w:style>
  <w:style w:type="character" w:styleId="CommentReference">
    <w:name w:val="annotation reference"/>
    <w:basedOn w:val="DefaultParagraphFont"/>
    <w:uiPriority w:val="99"/>
    <w:semiHidden/>
    <w:unhideWhenUsed/>
    <w:rPr>
      <w:sz w:val="16"/>
      <w:szCs w:val="16"/>
    </w:rPr>
  </w:style>
  <w:style w:type="paragraph" w:customStyle="1" w:styleId="HeaderLandscape">
    <w:name w:val="HeaderLandscape"/>
    <w:basedOn w:val="Normal"/>
    <w:pPr>
      <w:tabs>
        <w:tab w:val="center" w:pos="7285"/>
        <w:tab w:val="right" w:pos="14003"/>
      </w:tabs>
      <w:spacing w:before="120" w:after="120" w:line="240" w:lineRule="auto"/>
      <w:jc w:val="both"/>
    </w:pPr>
    <w:rPr>
      <w:rFonts w:ascii="Times New Roman" w:eastAsia="Times New Roman" w:hAnsi="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5"/>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25"/>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25"/>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25"/>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25"/>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25"/>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25"/>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25"/>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25"/>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26"/>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27"/>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28"/>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29"/>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30"/>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sz w:val="24"/>
      <w:szCs w:val="24"/>
      <w:u w:val="single"/>
    </w:rPr>
  </w:style>
  <w:style w:type="paragraph" w:customStyle="1" w:styleId="Considrant">
    <w:name w:val="Considérant"/>
    <w:basedOn w:val="Normal"/>
    <w:pPr>
      <w:numPr>
        <w:numId w:val="31"/>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rPr>
  </w:style>
  <w:style w:type="paragraph" w:styleId="CommentSubject">
    <w:name w:val="annotation subject"/>
    <w:basedOn w:val="CommentText"/>
    <w:next w:val="CommentText"/>
    <w:link w:val="CommentSubjectChar"/>
    <w:semiHidden/>
    <w:pPr>
      <w:spacing w:before="120" w:after="120"/>
    </w:pPr>
    <w:rPr>
      <w:b/>
      <w:bCs/>
    </w:rPr>
  </w:style>
  <w:style w:type="character" w:customStyle="1" w:styleId="CommentSubjectChar">
    <w:name w:val="Comment Subject Char"/>
    <w:link w:val="CommentSubject"/>
    <w:semiHidden/>
    <w:rPr>
      <w:rFonts w:ascii="Times New Roman" w:eastAsia="Times New Roman" w:hAnsi="Times New Roman"/>
      <w:b/>
      <w:bCs/>
      <w:lang w:eastAsia="fr-FR"/>
    </w:rPr>
  </w:style>
  <w:style w:type="paragraph" w:styleId="BalloonText">
    <w:name w:val="Balloon Text"/>
    <w:basedOn w:val="Normal"/>
    <w:link w:val="BalloonTextChar"/>
    <w:semiHidden/>
    <w:pPr>
      <w:spacing w:before="120" w:after="120" w:line="240" w:lineRule="auto"/>
      <w:jc w:val="both"/>
    </w:pPr>
    <w:rPr>
      <w:rFonts w:ascii="Tahoma" w:eastAsia="Times New Roman" w:hAnsi="Tahoma"/>
      <w:sz w:val="16"/>
      <w:szCs w:val="16"/>
    </w:rPr>
  </w:style>
  <w:style w:type="character" w:customStyle="1" w:styleId="BalloonTextChar">
    <w:name w:val="Balloon Text Char"/>
    <w:link w:val="BalloonText"/>
    <w:semiHidden/>
    <w:rPr>
      <w:rFonts w:ascii="Tahoma" w:eastAsia="Times New Roman" w:hAnsi="Tahoma" w:cs="Tahoma"/>
      <w:sz w:val="16"/>
      <w:szCs w:val="16"/>
      <w:lang w:eastAsia="fr-FR"/>
    </w:rPr>
  </w:style>
  <w:style w:type="table" w:customStyle="1" w:styleId="TableGrid1">
    <w:name w:val="Table Gri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pPr>
      <w:numPr>
        <w:numId w:val="32"/>
      </w:numPr>
    </w:pPr>
  </w:style>
  <w:style w:type="character" w:styleId="EndnoteReference">
    <w:name w:val="endnote reference"/>
    <w:semiHidden/>
    <w:rPr>
      <w:shd w:val="clear" w:color="auto" w:fill="auto"/>
      <w:vertAlign w:val="superscript"/>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aps/>
      <w:sz w:val="24"/>
      <w:szCs w:val="24"/>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sz w:val="24"/>
      <w:szCs w:val="24"/>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szCs w:val="24"/>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b/>
      <w:sz w:val="24"/>
      <w:szCs w:val="24"/>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sz w:val="24"/>
      <w:szCs w:val="24"/>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sz w:val="24"/>
      <w:szCs w:val="24"/>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b/>
      <w:sz w:val="24"/>
      <w:szCs w:val="24"/>
      <w:u w:val="single"/>
    </w:rPr>
  </w:style>
  <w:style w:type="character" w:customStyle="1" w:styleId="titlebold1">
    <w:name w:val="titlebold1"/>
    <w:rPr>
      <w:rFonts w:ascii="Tahoma" w:hAnsi="Tahoma" w:cs="Tahoma" w:hint="default"/>
      <w:b/>
      <w:bCs/>
      <w:color w:val="006699"/>
      <w:sz w:val="24"/>
      <w:szCs w:val="24"/>
    </w:rPr>
  </w:style>
  <w:style w:type="character" w:customStyle="1" w:styleId="numerique2">
    <w:name w:val="numerique2"/>
  </w:style>
  <w:style w:type="character" w:customStyle="1" w:styleId="alpha2">
    <w:name w:val="alpha2"/>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ListParagraph">
    <w:name w:val="List Paragraph"/>
    <w:aliases w:val="List Paragraph compact,Normal bullet 2"/>
    <w:basedOn w:val="Normal"/>
    <w:link w:val="ListParagraphChar"/>
    <w:uiPriority w:val="34"/>
    <w:qFormat/>
    <w:pPr>
      <w:spacing w:after="240" w:line="240" w:lineRule="auto"/>
      <w:ind w:left="720"/>
      <w:contextualSpacing/>
      <w:jc w:val="both"/>
    </w:pPr>
    <w:rPr>
      <w:rFonts w:ascii="Times New Roman" w:eastAsia="Times New Roman" w:hAnsi="Times New Roman"/>
      <w:sz w:val="24"/>
      <w:szCs w:val="20"/>
    </w:rPr>
  </w:style>
  <w:style w:type="paragraph" w:customStyle="1" w:styleId="CM4">
    <w:name w:val="CM4"/>
    <w:basedOn w:val="Default"/>
    <w:next w:val="Default"/>
    <w:uiPriority w:val="99"/>
    <w:rPr>
      <w:rFonts w:ascii="Times New Roman" w:eastAsia="Times New Roman" w:hAnsi="Times New Roman" w:cs="Times New Roman"/>
      <w:color w:val="auto"/>
    </w:rPr>
  </w:style>
  <w:style w:type="paragraph" w:customStyle="1" w:styleId="Para2">
    <w:name w:val="Para_2"/>
    <w:basedOn w:val="Normal"/>
    <w:link w:val="Para2Char1"/>
    <w:pPr>
      <w:numPr>
        <w:ilvl w:val="1"/>
        <w:numId w:val="33"/>
      </w:numPr>
      <w:spacing w:after="240" w:line="360" w:lineRule="auto"/>
    </w:pPr>
    <w:rPr>
      <w:rFonts w:ascii="Arial" w:eastAsia="Times New Roman" w:hAnsi="Arial"/>
      <w:noProof/>
      <w:sz w:val="24"/>
      <w:szCs w:val="20"/>
    </w:rPr>
  </w:style>
  <w:style w:type="paragraph" w:customStyle="1" w:styleId="Para3">
    <w:name w:val="Para_3"/>
    <w:basedOn w:val="Normal"/>
    <w:pPr>
      <w:numPr>
        <w:ilvl w:val="2"/>
        <w:numId w:val="33"/>
      </w:numPr>
      <w:tabs>
        <w:tab w:val="left" w:pos="992"/>
      </w:tabs>
      <w:spacing w:after="240" w:line="360" w:lineRule="auto"/>
    </w:pPr>
    <w:rPr>
      <w:rFonts w:ascii="Arial" w:eastAsia="Times New Roman" w:hAnsi="Arial"/>
      <w:noProof/>
      <w:sz w:val="24"/>
      <w:szCs w:val="20"/>
    </w:rPr>
  </w:style>
  <w:style w:type="paragraph" w:customStyle="1" w:styleId="Para4">
    <w:name w:val="Para_4"/>
    <w:basedOn w:val="Normal"/>
    <w:pPr>
      <w:numPr>
        <w:ilvl w:val="3"/>
        <w:numId w:val="33"/>
      </w:numPr>
      <w:spacing w:after="240" w:line="360" w:lineRule="auto"/>
    </w:pPr>
    <w:rPr>
      <w:rFonts w:ascii="Arial" w:eastAsia="Times New Roman" w:hAnsi="Arial"/>
      <w:sz w:val="24"/>
      <w:szCs w:val="20"/>
    </w:rPr>
  </w:style>
  <w:style w:type="paragraph" w:customStyle="1" w:styleId="Para5">
    <w:name w:val="Para_5"/>
    <w:basedOn w:val="Normal"/>
    <w:pPr>
      <w:numPr>
        <w:ilvl w:val="4"/>
        <w:numId w:val="33"/>
      </w:numPr>
      <w:tabs>
        <w:tab w:val="left" w:pos="567"/>
      </w:tabs>
      <w:spacing w:after="240" w:line="360" w:lineRule="auto"/>
    </w:pPr>
    <w:rPr>
      <w:rFonts w:ascii="Arial" w:eastAsia="Times New Roman" w:hAnsi="Arial"/>
      <w:sz w:val="24"/>
      <w:szCs w:val="20"/>
    </w:rPr>
  </w:style>
  <w:style w:type="character" w:customStyle="1" w:styleId="Para2Char1">
    <w:name w:val="Para_2 Char1"/>
    <w:link w:val="Para2"/>
    <w:rPr>
      <w:rFonts w:ascii="Arial" w:eastAsia="Times New Roman" w:hAnsi="Arial"/>
      <w:noProof/>
      <w:sz w:val="24"/>
      <w:lang w:val="fr-FR" w:eastAsia="fr-FR"/>
    </w:rPr>
  </w:style>
  <w:style w:type="paragraph" w:styleId="Revision">
    <w:name w:val="Revision"/>
    <w:hidden/>
    <w:uiPriority w:val="99"/>
    <w:semiHidden/>
    <w:rPr>
      <w:sz w:val="22"/>
      <w:szCs w:val="22"/>
    </w:rPr>
  </w:style>
  <w:style w:type="paragraph" w:customStyle="1" w:styleId="FootnotesymbolCharChar">
    <w:name w:val="Footnote symbol Char Char"/>
    <w:aliases w:val="Footnote reference number Char Char,Times 10 Point Char Char,Exposant 3 Point Char Char,Ref Char Char,de nota al pie Char Char,note TESI Char Char,SUPERS Char Char,EN Footnote Reference Char Char"/>
    <w:basedOn w:val="Normal"/>
    <w:link w:val="FootnoteReference"/>
    <w:uiPriority w:val="99"/>
    <w:pPr>
      <w:spacing w:before="120" w:after="160" w:line="240" w:lineRule="exact"/>
    </w:pPr>
    <w:rPr>
      <w:sz w:val="20"/>
      <w:szCs w:val="20"/>
      <w:vertAlign w:val="superscript"/>
    </w:rPr>
  </w:style>
  <w:style w:type="paragraph" w:customStyle="1" w:styleId="Textstand-alone">
    <w:name w:val="Text_stand-alone"/>
    <w:basedOn w:val="Normal"/>
    <w:qFormat/>
    <w:pPr>
      <w:spacing w:before="240" w:after="240" w:line="240" w:lineRule="auto"/>
      <w:jc w:val="both"/>
    </w:pPr>
    <w:rPr>
      <w:rFonts w:ascii="Verdana" w:eastAsia="Times New Roman" w:hAnsi="Verdana"/>
      <w:noProof/>
      <w:sz w:val="18"/>
      <w:szCs w:val="18"/>
    </w:rPr>
  </w:style>
  <w:style w:type="character" w:customStyle="1" w:styleId="ListParagraphChar">
    <w:name w:val="List Paragraph Char"/>
    <w:aliases w:val="List Paragraph compact Char,Normal bullet 2 Char"/>
    <w:link w:val="ListParagraph"/>
    <w:uiPriority w:val="34"/>
    <w:rPr>
      <w:rFonts w:ascii="Times New Roman" w:eastAsia="Times New Roman" w:hAnsi="Times New Roman"/>
      <w:sz w:val="24"/>
      <w:lang w:eastAsia="fr-FR"/>
    </w:rPr>
  </w:style>
  <w:style w:type="paragraph" w:customStyle="1" w:styleId="PSParagraphText">
    <w:name w:val="PS_Paragraph_Text"/>
    <w:basedOn w:val="Normal"/>
    <w:link w:val="PSParagraphTextChar"/>
    <w:qFormat/>
    <w:pPr>
      <w:spacing w:after="120" w:line="240" w:lineRule="auto"/>
      <w:jc w:val="both"/>
    </w:pPr>
    <w:rPr>
      <w:rFonts w:ascii="EC Square Sans Pro" w:eastAsia="Times New Roman" w:hAnsi="EC Square Sans Pro"/>
      <w:sz w:val="20"/>
      <w:szCs w:val="20"/>
    </w:rPr>
  </w:style>
  <w:style w:type="character" w:customStyle="1" w:styleId="PSParagraphTextChar">
    <w:name w:val="PS_Paragraph_Text Char"/>
    <w:link w:val="PSParagraphText"/>
    <w:rPr>
      <w:rFonts w:ascii="EC Square Sans Pro" w:eastAsia="Times New Roman" w:hAnsi="EC Square Sans P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qFormat="1"/>
    <w:lsdException w:name="line number" w:uiPriority="99"/>
    <w:lsdException w:name="Title" w:semiHidden="0" w:unhideWhenUsed="0" w:qFormat="1"/>
    <w:lsdException w:name="Signature" w:uiPriority="99"/>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spacing w:before="240" w:after="240" w:line="240" w:lineRule="auto"/>
      <w:jc w:val="both"/>
      <w:outlineLvl w:val="0"/>
    </w:pPr>
    <w:rPr>
      <w:rFonts w:ascii="Verdana" w:eastAsia="Times New Roman" w:hAnsi="Verdana"/>
      <w:b/>
      <w:caps/>
      <w:smallCaps/>
      <w:kern w:val="32"/>
      <w:szCs w:val="32"/>
    </w:rPr>
  </w:style>
  <w:style w:type="paragraph" w:styleId="Heading2">
    <w:name w:val="heading 2"/>
    <w:basedOn w:val="Normal"/>
    <w:next w:val="Normal"/>
    <w:link w:val="Heading2Char"/>
    <w:uiPriority w:val="9"/>
    <w:unhideWhenUsed/>
    <w:qFormat/>
    <w:pPr>
      <w:keepNext/>
      <w:numPr>
        <w:ilvl w:val="1"/>
        <w:numId w:val="3"/>
      </w:numPr>
      <w:spacing w:before="240" w:after="60"/>
      <w:outlineLvl w:val="1"/>
    </w:pPr>
    <w:rPr>
      <w:rFonts w:ascii="Cambria" w:eastAsia="Times New Roman" w:hAnsi="Cambria"/>
      <w:b/>
      <w:bCs/>
      <w:i/>
      <w:iCs/>
      <w:sz w:val="28"/>
      <w:szCs w:val="28"/>
    </w:rPr>
  </w:style>
  <w:style w:type="paragraph" w:styleId="Heading3">
    <w:name w:val="heading 3"/>
    <w:basedOn w:val="Normal"/>
    <w:next w:val="Text3"/>
    <w:link w:val="Heading3Char"/>
    <w:qFormat/>
    <w:pPr>
      <w:keepNext/>
      <w:numPr>
        <w:ilvl w:val="2"/>
        <w:numId w:val="3"/>
      </w:numPr>
      <w:spacing w:after="240" w:line="240" w:lineRule="auto"/>
      <w:jc w:val="both"/>
      <w:outlineLvl w:val="2"/>
    </w:pPr>
    <w:rPr>
      <w:rFonts w:ascii="Times New Roman" w:eastAsia="Times New Roman" w:hAnsi="Times New Roman"/>
      <w:i/>
      <w:sz w:val="24"/>
      <w:szCs w:val="20"/>
    </w:rPr>
  </w:style>
  <w:style w:type="paragraph" w:styleId="Heading4">
    <w:name w:val="heading 4"/>
    <w:basedOn w:val="Normal"/>
    <w:next w:val="Text4"/>
    <w:link w:val="Heading4Char"/>
    <w:qFormat/>
    <w:pPr>
      <w:keepNext/>
      <w:numPr>
        <w:ilvl w:val="3"/>
        <w:numId w:val="3"/>
      </w:numPr>
      <w:spacing w:after="240" w:line="240" w:lineRule="auto"/>
      <w:jc w:val="both"/>
      <w:outlineLvl w:val="3"/>
    </w:pPr>
    <w:rPr>
      <w:rFonts w:ascii="Times New Roman" w:eastAsia="Times New Roman" w:hAnsi="Times New Roman"/>
      <w:sz w:val="24"/>
      <w:szCs w:val="20"/>
    </w:rPr>
  </w:style>
  <w:style w:type="paragraph" w:styleId="Heading5">
    <w:name w:val="heading 5"/>
    <w:basedOn w:val="Normal"/>
    <w:next w:val="Normal"/>
    <w:link w:val="Heading5Char"/>
    <w:qFormat/>
    <w:pPr>
      <w:spacing w:before="240" w:after="60" w:line="240" w:lineRule="auto"/>
      <w:ind w:left="3332" w:hanging="708"/>
      <w:jc w:val="both"/>
      <w:outlineLvl w:val="4"/>
    </w:pPr>
    <w:rPr>
      <w:rFonts w:ascii="Arial" w:eastAsia="Times New Roman" w:hAnsi="Arial"/>
      <w:szCs w:val="20"/>
    </w:rPr>
  </w:style>
  <w:style w:type="paragraph" w:styleId="Heading6">
    <w:name w:val="heading 6"/>
    <w:basedOn w:val="Normal"/>
    <w:next w:val="Normal"/>
    <w:link w:val="Heading6Char"/>
    <w:qFormat/>
    <w:pPr>
      <w:spacing w:before="240" w:after="60" w:line="240" w:lineRule="auto"/>
      <w:ind w:left="4040" w:hanging="708"/>
      <w:jc w:val="both"/>
      <w:outlineLvl w:val="5"/>
    </w:pPr>
    <w:rPr>
      <w:rFonts w:ascii="Arial" w:eastAsia="Times New Roman" w:hAnsi="Arial"/>
      <w:i/>
      <w:szCs w:val="20"/>
    </w:rPr>
  </w:style>
  <w:style w:type="paragraph" w:styleId="Heading7">
    <w:name w:val="heading 7"/>
    <w:basedOn w:val="Normal"/>
    <w:next w:val="Normal"/>
    <w:link w:val="Heading7Char"/>
    <w:qFormat/>
    <w:pPr>
      <w:spacing w:before="240" w:after="60" w:line="240" w:lineRule="auto"/>
      <w:ind w:left="4748" w:hanging="708"/>
      <w:jc w:val="both"/>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line="240" w:lineRule="auto"/>
      <w:ind w:left="5456" w:hanging="708"/>
      <w:jc w:val="both"/>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line="240" w:lineRule="auto"/>
      <w:ind w:left="6164" w:hanging="708"/>
      <w:jc w:val="both"/>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styleId="Hyperlink">
    <w:name w:val="Hyperlink"/>
    <w:uiPriority w:val="99"/>
    <w:unhideWhenUsed/>
    <w:rPr>
      <w:color w:val="0000FF"/>
      <w:u w:val="single"/>
    </w:rPr>
  </w:style>
  <w:style w:type="character" w:customStyle="1" w:styleId="Heading1Char">
    <w:name w:val="Heading 1 Char"/>
    <w:link w:val="Heading1"/>
    <w:rPr>
      <w:rFonts w:ascii="Verdana" w:eastAsia="Times New Roman" w:hAnsi="Verdana"/>
      <w:b/>
      <w:caps/>
      <w:smallCaps/>
      <w:kern w:val="32"/>
      <w:sz w:val="22"/>
      <w:szCs w:val="32"/>
      <w:lang w:val="fr-FR" w:eastAsia="fr-FR"/>
    </w:rPr>
  </w:style>
  <w:style w:type="paragraph" w:styleId="TOCHeading">
    <w:name w:val="TOC Heading"/>
    <w:basedOn w:val="Normal"/>
    <w:next w:val="Normal"/>
    <w:unhideWhenUsed/>
    <w:qFormat/>
    <w:pPr>
      <w:spacing w:before="120" w:after="240" w:line="240" w:lineRule="auto"/>
      <w:jc w:val="center"/>
    </w:pPr>
    <w:rPr>
      <w:rFonts w:ascii="Times New Roman" w:hAnsi="Times New Roman"/>
      <w:b/>
      <w:sz w:val="28"/>
      <w:szCs w:val="20"/>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hAnsi="Times New Roman"/>
      <w:sz w:val="24"/>
      <w:szCs w:val="20"/>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hAnsi="Times New Roman"/>
      <w:sz w:val="24"/>
      <w:szCs w:val="20"/>
    </w:rPr>
  </w:style>
  <w:style w:type="character" w:customStyle="1" w:styleId="Heading2Char">
    <w:name w:val="Heading 2 Char"/>
    <w:link w:val="Heading2"/>
    <w:uiPriority w:val="9"/>
    <w:rPr>
      <w:rFonts w:ascii="Cambria" w:eastAsia="Times New Roman" w:hAnsi="Cambria"/>
      <w:b/>
      <w:bCs/>
      <w:i/>
      <w:iCs/>
      <w:sz w:val="28"/>
      <w:szCs w:val="28"/>
      <w:lang w:val="fr-FR" w:eastAsia="fr-FR"/>
    </w:rPr>
  </w:style>
  <w:style w:type="character" w:customStyle="1" w:styleId="Heading3Char">
    <w:name w:val="Heading 3 Char"/>
    <w:link w:val="Heading3"/>
    <w:rPr>
      <w:rFonts w:ascii="Times New Roman" w:eastAsia="Times New Roman" w:hAnsi="Times New Roman"/>
      <w:i/>
      <w:sz w:val="24"/>
      <w:lang w:val="fr-FR" w:eastAsia="fr-FR"/>
    </w:rPr>
  </w:style>
  <w:style w:type="character" w:customStyle="1" w:styleId="Heading4Char">
    <w:name w:val="Heading 4 Char"/>
    <w:link w:val="Heading4"/>
    <w:rPr>
      <w:rFonts w:ascii="Times New Roman" w:eastAsia="Times New Roman" w:hAnsi="Times New Roman"/>
      <w:sz w:val="24"/>
      <w:lang w:val="fr-FR" w:eastAsia="fr-FR"/>
    </w:rPr>
  </w:style>
  <w:style w:type="character" w:customStyle="1" w:styleId="Heading5Char">
    <w:name w:val="Heading 5 Char"/>
    <w:link w:val="Heading5"/>
    <w:rPr>
      <w:rFonts w:ascii="Arial" w:eastAsia="Times New Roman" w:hAnsi="Arial"/>
      <w:sz w:val="22"/>
      <w:lang w:eastAsia="fr-FR"/>
    </w:rPr>
  </w:style>
  <w:style w:type="character" w:customStyle="1" w:styleId="Heading6Char">
    <w:name w:val="Heading 6 Char"/>
    <w:link w:val="Heading6"/>
    <w:rPr>
      <w:rFonts w:ascii="Arial" w:eastAsia="Times New Roman" w:hAnsi="Arial"/>
      <w:i/>
      <w:sz w:val="22"/>
      <w:lang w:eastAsia="fr-FR"/>
    </w:rPr>
  </w:style>
  <w:style w:type="character" w:customStyle="1" w:styleId="Heading7Char">
    <w:name w:val="Heading 7 Char"/>
    <w:link w:val="Heading7"/>
    <w:rPr>
      <w:rFonts w:ascii="Arial" w:eastAsia="Times New Roman" w:hAnsi="Arial"/>
      <w:lang w:eastAsia="fr-FR"/>
    </w:rPr>
  </w:style>
  <w:style w:type="character" w:customStyle="1" w:styleId="Heading8Char">
    <w:name w:val="Heading 8 Char"/>
    <w:link w:val="Heading8"/>
    <w:rPr>
      <w:rFonts w:ascii="Arial" w:eastAsia="Times New Roman" w:hAnsi="Arial"/>
      <w:i/>
      <w:lang w:eastAsia="fr-FR"/>
    </w:rPr>
  </w:style>
  <w:style w:type="character" w:customStyle="1" w:styleId="Heading9Char">
    <w:name w:val="Heading 9 Char"/>
    <w:link w:val="Heading9"/>
    <w:rPr>
      <w:rFonts w:ascii="Arial" w:eastAsia="Times New Roman" w:hAnsi="Arial"/>
      <w:i/>
      <w:sz w:val="18"/>
      <w:lang w:eastAsia="fr-FR"/>
    </w:rPr>
  </w:style>
  <w:style w:type="paragraph" w:customStyle="1" w:styleId="Text1">
    <w:name w:val="Text 1"/>
    <w:basedOn w:val="Normal"/>
    <w:pPr>
      <w:spacing w:after="240" w:line="240" w:lineRule="auto"/>
      <w:ind w:left="482"/>
      <w:jc w:val="both"/>
    </w:pPr>
    <w:rPr>
      <w:rFonts w:ascii="Times New Roman" w:eastAsia="Times New Roman" w:hAnsi="Times New Roman"/>
      <w:sz w:val="24"/>
      <w:szCs w:val="20"/>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sz w:val="24"/>
      <w:szCs w:val="20"/>
    </w:rPr>
  </w:style>
  <w:style w:type="paragraph" w:customStyle="1" w:styleId="Text3">
    <w:name w:val="Text 3"/>
    <w:basedOn w:val="Normal"/>
    <w:pPr>
      <w:tabs>
        <w:tab w:val="left" w:pos="2302"/>
      </w:tabs>
      <w:spacing w:after="240" w:line="240" w:lineRule="auto"/>
      <w:ind w:left="1916"/>
      <w:jc w:val="both"/>
    </w:pPr>
    <w:rPr>
      <w:rFonts w:ascii="Times New Roman" w:eastAsia="Times New Roman" w:hAnsi="Times New Roman"/>
      <w:sz w:val="24"/>
      <w:szCs w:val="20"/>
    </w:rPr>
  </w:style>
  <w:style w:type="paragraph" w:customStyle="1" w:styleId="Text4">
    <w:name w:val="Text 4"/>
    <w:basedOn w:val="Normal"/>
    <w:pPr>
      <w:spacing w:after="240" w:line="240" w:lineRule="auto"/>
      <w:ind w:left="2880"/>
      <w:jc w:val="both"/>
    </w:pPr>
    <w:rPr>
      <w:rFonts w:ascii="Times New Roman" w:eastAsia="Times New Roman" w:hAnsi="Times New Roman"/>
      <w:sz w:val="24"/>
      <w:szCs w:val="20"/>
    </w:rPr>
  </w:style>
  <w:style w:type="paragraph" w:customStyle="1" w:styleId="Address">
    <w:name w:val="Address"/>
    <w:basedOn w:val="Normal"/>
    <w:pPr>
      <w:spacing w:after="0" w:line="240" w:lineRule="auto"/>
    </w:pPr>
    <w:rPr>
      <w:rFonts w:ascii="Times New Roman" w:eastAsia="Times New Roman" w:hAnsi="Times New Roman"/>
      <w:sz w:val="24"/>
      <w:szCs w:val="20"/>
    </w:rPr>
  </w:style>
  <w:style w:type="paragraph" w:customStyle="1" w:styleId="AddressTL">
    <w:name w:val="AddressTL"/>
    <w:basedOn w:val="Normal"/>
    <w:next w:val="Normal"/>
    <w:pPr>
      <w:spacing w:after="720" w:line="240" w:lineRule="auto"/>
    </w:pPr>
    <w:rPr>
      <w:rFonts w:ascii="Times New Roman" w:eastAsia="Times New Roman" w:hAnsi="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sz w:val="24"/>
      <w:szCs w:val="20"/>
    </w:rPr>
  </w:style>
  <w:style w:type="character" w:customStyle="1" w:styleId="BodyTextChar">
    <w:name w:val="Body Text Char"/>
    <w:link w:val="BodyText"/>
    <w:rPr>
      <w:rFonts w:ascii="Times New Roman" w:eastAsia="Times New Roman" w:hAnsi="Times New Roman"/>
      <w:sz w:val="24"/>
      <w:lang w:eastAsia="fr-FR"/>
    </w:rPr>
  </w:style>
  <w:style w:type="paragraph" w:styleId="BodyText2">
    <w:name w:val="Body Text 2"/>
    <w:basedOn w:val="Normal"/>
    <w:link w:val="BodyText2Char"/>
    <w:pPr>
      <w:spacing w:after="120" w:line="480" w:lineRule="auto"/>
      <w:jc w:val="both"/>
    </w:pPr>
    <w:rPr>
      <w:rFonts w:ascii="Times New Roman" w:eastAsia="Times New Roman" w:hAnsi="Times New Roman"/>
      <w:sz w:val="24"/>
      <w:szCs w:val="20"/>
    </w:rPr>
  </w:style>
  <w:style w:type="character" w:customStyle="1" w:styleId="BodyText2Char">
    <w:name w:val="Body Text 2 Char"/>
    <w:link w:val="BodyText2"/>
    <w:rPr>
      <w:rFonts w:ascii="Times New Roman" w:eastAsia="Times New Roman" w:hAnsi="Times New Roman"/>
      <w:sz w:val="24"/>
      <w:lang w:eastAsia="fr-FR"/>
    </w:rPr>
  </w:style>
  <w:style w:type="paragraph" w:styleId="BodyText3">
    <w:name w:val="Body Text 3"/>
    <w:basedOn w:val="Normal"/>
    <w:link w:val="BodyText3Char"/>
    <w:pPr>
      <w:spacing w:after="120" w:line="240" w:lineRule="auto"/>
      <w:jc w:val="both"/>
    </w:pPr>
    <w:rPr>
      <w:rFonts w:ascii="Times New Roman" w:eastAsia="Times New Roman" w:hAnsi="Times New Roman"/>
      <w:sz w:val="16"/>
      <w:szCs w:val="20"/>
    </w:rPr>
  </w:style>
  <w:style w:type="character" w:customStyle="1" w:styleId="BodyText3Char">
    <w:name w:val="Body Text 3 Char"/>
    <w:link w:val="BodyText3"/>
    <w:rPr>
      <w:rFonts w:ascii="Times New Roman" w:eastAsia="Times New Roman" w:hAnsi="Times New Roman"/>
      <w:sz w:val="16"/>
      <w:lang w:eastAsia="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lang w:eastAsia="fr-FR"/>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sz w:val="24"/>
      <w:szCs w:val="20"/>
    </w:rPr>
  </w:style>
  <w:style w:type="character" w:customStyle="1" w:styleId="BodyTextIndentChar">
    <w:name w:val="Body Text Indent Char"/>
    <w:link w:val="BodyTextIndent"/>
    <w:rPr>
      <w:rFonts w:ascii="Times New Roman" w:eastAsia="Times New Roman" w:hAnsi="Times New Roman"/>
      <w:sz w:val="24"/>
      <w:lang w:eastAsia="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lang w:eastAsia="fr-FR"/>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sz w:val="24"/>
      <w:szCs w:val="20"/>
    </w:rPr>
  </w:style>
  <w:style w:type="character" w:customStyle="1" w:styleId="BodyTextIndent2Char">
    <w:name w:val="Body Text Indent 2 Char"/>
    <w:link w:val="BodyTextIndent2"/>
    <w:rPr>
      <w:rFonts w:ascii="Times New Roman" w:eastAsia="Times New Roman" w:hAnsi="Times New Roman"/>
      <w:sz w:val="24"/>
      <w:lang w:eastAsia="fr-FR"/>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rPr>
  </w:style>
  <w:style w:type="character" w:customStyle="1" w:styleId="BodyTextIndent3Char">
    <w:name w:val="Body Text Indent 3 Char"/>
    <w:link w:val="BodyTextIndent3"/>
    <w:rPr>
      <w:rFonts w:ascii="Times New Roman" w:eastAsia="Times New Roman" w:hAnsi="Times New Roman"/>
      <w:sz w:val="16"/>
      <w:lang w:eastAsia="fr-FR"/>
    </w:rPr>
  </w:style>
  <w:style w:type="paragraph" w:styleId="Caption">
    <w:name w:val="caption"/>
    <w:basedOn w:val="Normal"/>
    <w:next w:val="Normal"/>
    <w:qFormat/>
    <w:pPr>
      <w:spacing w:before="120" w:after="120" w:line="240" w:lineRule="auto"/>
      <w:jc w:val="both"/>
    </w:pPr>
    <w:rPr>
      <w:rFonts w:ascii="Times New Roman" w:eastAsia="Times New Roman" w:hAnsi="Times New Roman"/>
      <w:b/>
      <w:sz w:val="24"/>
      <w:szCs w:val="20"/>
    </w:rPr>
  </w:style>
  <w:style w:type="paragraph" w:styleId="Closing">
    <w:name w:val="Closing"/>
    <w:basedOn w:val="Normal"/>
    <w:next w:val="Signature"/>
    <w:link w:val="ClosingChar"/>
    <w:pPr>
      <w:tabs>
        <w:tab w:val="left" w:pos="5103"/>
      </w:tabs>
      <w:spacing w:before="240" w:after="240" w:line="240" w:lineRule="auto"/>
      <w:ind w:left="5103"/>
    </w:pPr>
    <w:rPr>
      <w:rFonts w:ascii="Times New Roman" w:eastAsia="Times New Roman" w:hAnsi="Times New Roman"/>
      <w:sz w:val="24"/>
      <w:szCs w:val="20"/>
    </w:rPr>
  </w:style>
  <w:style w:type="character" w:customStyle="1" w:styleId="ClosingChar">
    <w:name w:val="Closing Char"/>
    <w:link w:val="Closing"/>
    <w:rPr>
      <w:rFonts w:ascii="Times New Roman" w:eastAsia="Times New Roman" w:hAnsi="Times New Roman"/>
      <w:sz w:val="24"/>
      <w:lang w:eastAsia="fr-FR"/>
    </w:rPr>
  </w:style>
  <w:style w:type="paragraph" w:styleId="Signature">
    <w:name w:val="Signature"/>
    <w:basedOn w:val="Normal"/>
    <w:next w:val="Contact"/>
    <w:link w:val="SignatureChar"/>
    <w:uiPriority w:val="99"/>
    <w:pPr>
      <w:tabs>
        <w:tab w:val="left" w:pos="5103"/>
      </w:tabs>
      <w:spacing w:before="1200" w:after="0" w:line="240" w:lineRule="auto"/>
      <w:ind w:left="5103"/>
      <w:jc w:val="center"/>
    </w:pPr>
    <w:rPr>
      <w:rFonts w:ascii="Times New Roman" w:eastAsia="Times New Roman" w:hAnsi="Times New Roman"/>
      <w:sz w:val="24"/>
      <w:szCs w:val="20"/>
    </w:rPr>
  </w:style>
  <w:style w:type="character" w:customStyle="1" w:styleId="SignatureChar">
    <w:name w:val="Signature Char"/>
    <w:link w:val="Signature"/>
    <w:uiPriority w:val="99"/>
    <w:rPr>
      <w:rFonts w:ascii="Times New Roman" w:eastAsia="Times New Roman" w:hAnsi="Times New Roman"/>
      <w:sz w:val="24"/>
      <w:lang w:eastAsia="fr-FR"/>
    </w:rPr>
  </w:style>
  <w:style w:type="paragraph" w:customStyle="1" w:styleId="Enclosures">
    <w:name w:val="Enclosures"/>
    <w:basedOn w:val="Normal"/>
    <w:next w:val="Participants"/>
    <w:pPr>
      <w:keepNext/>
      <w:keepLines/>
      <w:tabs>
        <w:tab w:val="left" w:pos="5670"/>
      </w:tabs>
      <w:spacing w:before="480" w:after="0" w:line="240" w:lineRule="auto"/>
      <w:ind w:left="1985" w:hanging="1985"/>
    </w:pPr>
    <w:rPr>
      <w:rFonts w:ascii="Times New Roman" w:eastAsia="Times New Roman" w:hAnsi="Times New Roman"/>
      <w:sz w:val="24"/>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sz w:val="24"/>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sz w:val="24"/>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semiHidden/>
    <w:rPr>
      <w:rFonts w:ascii="Times New Roman" w:eastAsia="Times New Roman" w:hAnsi="Times New Roman"/>
      <w:lang w:eastAsia="fr-FR"/>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sz w:val="24"/>
      <w:szCs w:val="20"/>
    </w:rPr>
  </w:style>
  <w:style w:type="character" w:customStyle="1" w:styleId="DateChar">
    <w:name w:val="Date Char"/>
    <w:link w:val="Date"/>
    <w:rPr>
      <w:rFonts w:ascii="Times New Roman" w:eastAsia="Times New Roman" w:hAnsi="Times New Roman"/>
      <w:sz w:val="24"/>
      <w:lang w:eastAsia="fr-FR"/>
    </w:rPr>
  </w:style>
  <w:style w:type="paragraph" w:customStyle="1" w:styleId="References">
    <w:name w:val="References"/>
    <w:basedOn w:val="Normal"/>
    <w:next w:val="AddressTR"/>
    <w:uiPriority w:val="99"/>
    <w:pPr>
      <w:spacing w:after="240" w:line="240" w:lineRule="auto"/>
      <w:ind w:left="5103"/>
    </w:pPr>
    <w:rPr>
      <w:rFonts w:ascii="Times New Roman" w:eastAsia="Times New Roman" w:hAnsi="Times New Roman"/>
      <w:sz w:val="20"/>
      <w:szCs w:val="20"/>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sz w:val="24"/>
      <w:szCs w:val="20"/>
    </w:rPr>
  </w:style>
  <w:style w:type="character" w:customStyle="1" w:styleId="DocumentMapChar">
    <w:name w:val="Document Map Char"/>
    <w:link w:val="DocumentMap"/>
    <w:semiHidden/>
    <w:rPr>
      <w:rFonts w:ascii="Tahoma" w:eastAsia="Times New Roman" w:hAnsi="Tahoma"/>
      <w:sz w:val="24"/>
      <w:shd w:val="clear" w:color="auto" w:fill="000080"/>
      <w:lang w:eastAsia="fr-FR"/>
    </w:rPr>
  </w:style>
  <w:style w:type="paragraph" w:customStyle="1" w:styleId="DoubSign">
    <w:name w:val="DoubSign"/>
    <w:basedOn w:val="Normal"/>
    <w:next w:val="Contact"/>
    <w:pPr>
      <w:tabs>
        <w:tab w:val="left" w:pos="5103"/>
      </w:tabs>
      <w:spacing w:before="1200" w:after="0" w:line="240" w:lineRule="auto"/>
    </w:pPr>
    <w:rPr>
      <w:rFonts w:ascii="Times New Roman" w:eastAsia="Times New Roman" w:hAnsi="Times New Roman"/>
      <w:sz w:val="24"/>
      <w:szCs w:val="20"/>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Pr>
      <w:rFonts w:ascii="Times New Roman" w:eastAsia="Times New Roman" w:hAnsi="Times New Roman"/>
      <w:lang w:eastAsia="fr-FR"/>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sz w:val="20"/>
      <w:szCs w:val="20"/>
    </w:rPr>
  </w:style>
  <w:style w:type="paragraph" w:styleId="FootnoteText">
    <w:name w:val="footnote text"/>
    <w:basedOn w:val="Normal"/>
    <w:link w:val="FootnoteTextChar"/>
    <w:uiPriority w:val="99"/>
    <w:semiHidden/>
    <w:pPr>
      <w:spacing w:after="240" w:line="240" w:lineRule="auto"/>
      <w:ind w:left="357" w:hanging="357"/>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lang w:eastAsia="fr-FR"/>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sz w:val="24"/>
      <w:szCs w:val="20"/>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sz w:val="24"/>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sz w:val="24"/>
      <w:szCs w:val="20"/>
    </w:rPr>
  </w:style>
  <w:style w:type="paragraph" w:styleId="ListBullet">
    <w:name w:val="List Bullet"/>
    <w:basedOn w:val="Normal"/>
    <w:pPr>
      <w:numPr>
        <w:numId w:val="4"/>
      </w:numPr>
      <w:spacing w:after="240" w:line="240" w:lineRule="auto"/>
      <w:jc w:val="both"/>
    </w:pPr>
    <w:rPr>
      <w:rFonts w:ascii="Times New Roman" w:eastAsia="Times New Roman" w:hAnsi="Times New Roman"/>
      <w:sz w:val="24"/>
      <w:szCs w:val="20"/>
    </w:r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spacing w:after="240" w:line="240" w:lineRule="auto"/>
      <w:jc w:val="both"/>
    </w:pPr>
    <w:rPr>
      <w:rFonts w:ascii="Times New Roman" w:eastAsia="Times New Roman" w:hAnsi="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sz w:val="24"/>
      <w:szCs w:val="20"/>
    </w:rPr>
  </w:style>
  <w:style w:type="paragraph" w:styleId="ListNumber">
    <w:name w:val="List Number"/>
    <w:basedOn w:val="Normal"/>
    <w:pPr>
      <w:numPr>
        <w:numId w:val="14"/>
      </w:numPr>
      <w:spacing w:after="240" w:line="240" w:lineRule="auto"/>
      <w:jc w:val="both"/>
    </w:pPr>
    <w:rPr>
      <w:rFonts w:ascii="Times New Roman" w:eastAsia="Times New Roman" w:hAnsi="Times New Roman"/>
      <w:sz w:val="24"/>
      <w:szCs w:val="20"/>
    </w:r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spacing w:after="240" w:line="240" w:lineRule="auto"/>
      <w:jc w:val="both"/>
    </w:pPr>
    <w:rPr>
      <w:rFonts w:ascii="Times New Roman" w:eastAsia="Times New Roman" w:hAnsi="Times New Roman"/>
      <w:sz w:val="24"/>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rPr>
  </w:style>
  <w:style w:type="character" w:customStyle="1" w:styleId="MacroTextChar">
    <w:name w:val="Macro Text Char"/>
    <w:link w:val="MacroText"/>
    <w:semiHidden/>
    <w:rPr>
      <w:rFonts w:ascii="Courier New" w:eastAsia="Times New Roman" w:hAnsi="Courier New"/>
      <w:lang w:eastAsia="fr-FR" w:bidi="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sz w:val="24"/>
      <w:szCs w:val="20"/>
    </w:rPr>
  </w:style>
  <w:style w:type="character" w:customStyle="1" w:styleId="MessageHeaderChar">
    <w:name w:val="Message Header Char"/>
    <w:link w:val="MessageHeader"/>
    <w:rPr>
      <w:rFonts w:ascii="Arial" w:eastAsia="Times New Roman" w:hAnsi="Arial"/>
      <w:sz w:val="24"/>
      <w:shd w:val="pct20" w:color="auto" w:fill="auto"/>
      <w:lang w:eastAsia="fr-FR"/>
    </w:rPr>
  </w:style>
  <w:style w:type="paragraph" w:styleId="NormalIndent">
    <w:name w:val="Normal Indent"/>
    <w:basedOn w:val="Normal"/>
    <w:pPr>
      <w:spacing w:after="240" w:line="240" w:lineRule="auto"/>
      <w:ind w:left="720"/>
      <w:jc w:val="both"/>
    </w:pPr>
    <w:rPr>
      <w:rFonts w:ascii="Times New Roman" w:eastAsia="Times New Roman" w:hAnsi="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sz w:val="24"/>
      <w:szCs w:val="20"/>
    </w:rPr>
  </w:style>
  <w:style w:type="character" w:customStyle="1" w:styleId="NoteHeadingChar">
    <w:name w:val="Note Heading Char"/>
    <w:link w:val="NoteHeading"/>
    <w:rPr>
      <w:rFonts w:ascii="Times New Roman" w:eastAsia="Times New Roman" w:hAnsi="Times New Roman"/>
      <w:sz w:val="24"/>
      <w:lang w:eastAsia="fr-FR"/>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b/>
      <w:smallCaps/>
      <w:sz w:val="24"/>
      <w:szCs w:val="20"/>
    </w:rPr>
  </w:style>
  <w:style w:type="paragraph" w:customStyle="1" w:styleId="NumPar1">
    <w:name w:val="NumPar 1"/>
    <w:basedOn w:val="Heading1"/>
    <w:next w:val="Text1"/>
    <w:pPr>
      <w:keepNext w:val="0"/>
      <w:spacing w:before="0"/>
      <w:outlineLvl w:val="9"/>
    </w:pPr>
    <w:rPr>
      <w:rFonts w:ascii="Times New Roman" w:hAnsi="Times New Roman"/>
      <w:b w:val="0"/>
      <w:bCs/>
      <w:kern w:val="0"/>
      <w:sz w:val="24"/>
      <w:szCs w:val="20"/>
    </w:rPr>
  </w:style>
  <w:style w:type="paragraph" w:customStyle="1" w:styleId="NumPar2">
    <w:name w:val="NumPar 2"/>
    <w:basedOn w:val="Heading2"/>
    <w:next w:val="Text2"/>
    <w:pPr>
      <w:keepNext w:val="0"/>
      <w:numPr>
        <w:numId w:val="0"/>
      </w:numPr>
      <w:tabs>
        <w:tab w:val="num" w:pos="1080"/>
      </w:tabs>
      <w:spacing w:before="0" w:after="240" w:line="240" w:lineRule="auto"/>
      <w:ind w:left="1080" w:hanging="600"/>
      <w:jc w:val="both"/>
      <w:outlineLvl w:val="9"/>
    </w:pPr>
    <w:rPr>
      <w:rFonts w:ascii="Times New Roman" w:hAnsi="Times New Roman"/>
      <w:b w:val="0"/>
      <w:bCs w:val="0"/>
      <w:i w:val="0"/>
      <w:iCs w:val="0"/>
      <w:sz w:val="24"/>
      <w:szCs w:val="20"/>
    </w:rPr>
  </w:style>
  <w:style w:type="paragraph" w:customStyle="1" w:styleId="NumPar3">
    <w:name w:val="NumPar 3"/>
    <w:basedOn w:val="Heading3"/>
    <w:next w:val="Text3"/>
    <w:pPr>
      <w:keepNext w:val="0"/>
      <w:numPr>
        <w:numId w:val="0"/>
      </w:numPr>
      <w:tabs>
        <w:tab w:val="num" w:pos="1920"/>
      </w:tabs>
      <w:ind w:left="1920" w:hanging="840"/>
      <w:outlineLvl w:val="9"/>
    </w:pPr>
    <w:rPr>
      <w:i w:val="0"/>
    </w:rPr>
  </w:style>
  <w:style w:type="paragraph" w:customStyle="1" w:styleId="NumPar4">
    <w:name w:val="NumPar 4"/>
    <w:basedOn w:val="Heading4"/>
    <w:next w:val="Text4"/>
    <w:pPr>
      <w:keepNext w:val="0"/>
      <w:numPr>
        <w:numId w:val="0"/>
      </w:numPr>
      <w:tabs>
        <w:tab w:val="num" w:pos="2880"/>
      </w:tabs>
      <w:ind w:left="2880" w:hanging="960"/>
      <w:outlineLvl w:val="9"/>
    </w:pPr>
  </w:style>
  <w:style w:type="paragraph" w:styleId="PlainText">
    <w:name w:val="Plain Text"/>
    <w:basedOn w:val="Normal"/>
    <w:link w:val="PlainTextChar"/>
    <w:uiPriority w:val="99"/>
    <w:pPr>
      <w:spacing w:after="240" w:line="240" w:lineRule="auto"/>
      <w:jc w:val="both"/>
    </w:pPr>
    <w:rPr>
      <w:rFonts w:ascii="Courier New" w:eastAsia="Times New Roman" w:hAnsi="Courier New"/>
      <w:sz w:val="20"/>
      <w:szCs w:val="20"/>
    </w:rPr>
  </w:style>
  <w:style w:type="character" w:customStyle="1" w:styleId="PlainTextChar">
    <w:name w:val="Plain Text Char"/>
    <w:link w:val="PlainText"/>
    <w:uiPriority w:val="99"/>
    <w:rPr>
      <w:rFonts w:ascii="Courier New" w:eastAsia="Times New Roman" w:hAnsi="Courier New"/>
      <w:lang w:eastAsia="fr-FR"/>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sz w:val="24"/>
      <w:szCs w:val="20"/>
    </w:rPr>
  </w:style>
  <w:style w:type="character" w:customStyle="1" w:styleId="SalutationChar">
    <w:name w:val="Salutation Char"/>
    <w:link w:val="Salutation"/>
    <w:rPr>
      <w:rFonts w:ascii="Times New Roman" w:eastAsia="Times New Roman" w:hAnsi="Times New Roman"/>
      <w:sz w:val="24"/>
      <w:lang w:eastAsia="fr-FR"/>
    </w:rPr>
  </w:style>
  <w:style w:type="paragraph" w:styleId="Subtitle">
    <w:name w:val="Subtitle"/>
    <w:basedOn w:val="Normal"/>
    <w:link w:val="SubtitleChar"/>
    <w:qFormat/>
    <w:pPr>
      <w:spacing w:after="60" w:line="240" w:lineRule="auto"/>
      <w:jc w:val="center"/>
      <w:outlineLvl w:val="1"/>
    </w:pPr>
    <w:rPr>
      <w:rFonts w:ascii="Arial" w:eastAsia="Times New Roman" w:hAnsi="Arial"/>
      <w:sz w:val="24"/>
      <w:szCs w:val="20"/>
    </w:rPr>
  </w:style>
  <w:style w:type="character" w:customStyle="1" w:styleId="SubtitleChar">
    <w:name w:val="Subtitle Char"/>
    <w:link w:val="Subtitle"/>
    <w:rPr>
      <w:rFonts w:ascii="Arial" w:eastAsia="Times New Roman" w:hAnsi="Arial"/>
      <w:sz w:val="24"/>
      <w:lang w:eastAsia="fr-FR"/>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sz w:val="24"/>
      <w:szCs w:val="20"/>
    </w:rPr>
  </w:style>
  <w:style w:type="paragraph" w:styleId="Title">
    <w:name w:val="Title"/>
    <w:basedOn w:val="Normal"/>
    <w:link w:val="TitleChar"/>
    <w:qFormat/>
    <w:pPr>
      <w:spacing w:before="240" w:after="60" w:line="240" w:lineRule="auto"/>
      <w:jc w:val="center"/>
      <w:outlineLvl w:val="0"/>
    </w:pPr>
    <w:rPr>
      <w:rFonts w:ascii="Arial" w:eastAsia="Times New Roman" w:hAnsi="Arial"/>
      <w:b/>
      <w:kern w:val="28"/>
      <w:sz w:val="32"/>
      <w:szCs w:val="20"/>
    </w:rPr>
  </w:style>
  <w:style w:type="character" w:customStyle="1" w:styleId="TitleChar">
    <w:name w:val="Title Char"/>
    <w:link w:val="Title"/>
    <w:rPr>
      <w:rFonts w:ascii="Arial" w:eastAsia="Times New Roman" w:hAnsi="Arial"/>
      <w:b/>
      <w:kern w:val="28"/>
      <w:sz w:val="32"/>
      <w:lang w:eastAsia="fr-FR"/>
    </w:rPr>
  </w:style>
  <w:style w:type="paragraph" w:styleId="TOAHeading">
    <w:name w:val="toa heading"/>
    <w:basedOn w:val="Normal"/>
    <w:next w:val="Normal"/>
    <w:semiHidden/>
    <w:pPr>
      <w:spacing w:before="120" w:after="240" w:line="240" w:lineRule="auto"/>
      <w:jc w:val="both"/>
    </w:pPr>
    <w:rPr>
      <w:rFonts w:ascii="Arial" w:eastAsia="Times New Roman" w:hAnsi="Arial"/>
      <w:b/>
      <w:sz w:val="24"/>
      <w:szCs w:val="20"/>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sz w:val="24"/>
      <w:szCs w:val="20"/>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sz w:val="24"/>
      <w:szCs w:val="20"/>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sz w:val="24"/>
      <w:szCs w:val="20"/>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sz w:val="24"/>
      <w:szCs w:val="20"/>
    </w:rPr>
  </w:style>
  <w:style w:type="paragraph" w:customStyle="1" w:styleId="ListBullet1">
    <w:name w:val="List Bullet 1"/>
    <w:basedOn w:val="Text1"/>
    <w:pPr>
      <w:numPr>
        <w:numId w:val="5"/>
      </w:numPr>
    </w:pPr>
  </w:style>
  <w:style w:type="paragraph" w:customStyle="1" w:styleId="ListDash">
    <w:name w:val="List Dash"/>
    <w:basedOn w:val="Normal"/>
    <w:pPr>
      <w:numPr>
        <w:numId w:val="9"/>
      </w:numPr>
      <w:spacing w:after="240" w:line="240" w:lineRule="auto"/>
      <w:jc w:val="both"/>
    </w:pPr>
    <w:rPr>
      <w:rFonts w:ascii="Times New Roman" w:eastAsia="Times New Roman" w:hAnsi="Times New Roman"/>
      <w:sz w:val="24"/>
      <w:szCs w:val="20"/>
    </w:r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14"/>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14"/>
      </w:numPr>
      <w:spacing w:after="240" w:line="240" w:lineRule="auto"/>
      <w:jc w:val="both"/>
    </w:pPr>
    <w:rPr>
      <w:rFonts w:ascii="Times New Roman" w:eastAsia="Times New Roman" w:hAnsi="Times New Roman"/>
      <w:sz w:val="24"/>
      <w:szCs w:val="20"/>
    </w:r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Contact">
    <w:name w:val="Contact"/>
    <w:basedOn w:val="Normal"/>
    <w:next w:val="Enclosures"/>
    <w:uiPriority w:val="99"/>
    <w:pPr>
      <w:spacing w:before="480" w:after="0" w:line="240" w:lineRule="auto"/>
      <w:ind w:left="567" w:hanging="567"/>
    </w:pPr>
    <w:rPr>
      <w:rFonts w:ascii="Times New Roman" w:eastAsia="Times New Roman" w:hAnsi="Times New Roman"/>
      <w:sz w:val="24"/>
      <w:szCs w:val="20"/>
    </w:rPr>
  </w:style>
  <w:style w:type="paragraph" w:customStyle="1" w:styleId="DisclaimerNotice">
    <w:name w:val="Disclaimer Notice"/>
    <w:basedOn w:val="Normal"/>
    <w:next w:val="AddressTR"/>
    <w:pPr>
      <w:spacing w:after="240" w:line="240" w:lineRule="auto"/>
      <w:ind w:left="5103"/>
    </w:pPr>
    <w:rPr>
      <w:rFonts w:ascii="Times New Roman" w:eastAsia="Times New Roman" w:hAnsi="Times New Roman"/>
      <w:i/>
      <w:sz w:val="20"/>
      <w:szCs w:val="20"/>
    </w:rPr>
  </w:style>
  <w:style w:type="paragraph" w:customStyle="1" w:styleId="Disclaimer">
    <w:name w:val="Disclaimer"/>
    <w:basedOn w:val="Normal"/>
    <w:pPr>
      <w:keepLines/>
      <w:pBdr>
        <w:top w:val="single" w:sz="4" w:space="1" w:color="auto"/>
      </w:pBdr>
      <w:spacing w:before="480" w:after="0" w:line="240" w:lineRule="auto"/>
      <w:jc w:val="both"/>
    </w:pPr>
    <w:rPr>
      <w:rFonts w:ascii="Times New Roman" w:eastAsia="Times New Roman" w:hAnsi="Times New Roman"/>
      <w:i/>
      <w:sz w:val="24"/>
      <w:szCs w:val="20"/>
    </w:rPr>
  </w:style>
  <w:style w:type="character" w:styleId="FollowedHyperlink">
    <w:name w:val="FollowedHyperlink"/>
    <w:rPr>
      <w:color w:val="800080"/>
      <w:u w:val="single"/>
    </w:rPr>
  </w:style>
  <w:style w:type="paragraph" w:customStyle="1" w:styleId="DisclaimerSJ">
    <w:name w:val="Disclaimer_SJ"/>
    <w:basedOn w:val="Normal"/>
    <w:next w:val="Normal"/>
    <w:pPr>
      <w:spacing w:after="0" w:line="240" w:lineRule="auto"/>
      <w:jc w:val="both"/>
    </w:pPr>
    <w:rPr>
      <w:rFonts w:ascii="Arial" w:eastAsia="Times New Roman" w:hAnsi="Arial"/>
      <w:b/>
      <w:sz w:val="16"/>
      <w:szCs w:val="20"/>
    </w:rPr>
  </w:style>
  <w:style w:type="paragraph" w:customStyle="1" w:styleId="Designator">
    <w:name w:val="Designator"/>
    <w:basedOn w:val="Normal"/>
    <w:pPr>
      <w:spacing w:after="0" w:line="240" w:lineRule="auto"/>
      <w:jc w:val="center"/>
    </w:pPr>
    <w:rPr>
      <w:rFonts w:ascii="Times New Roman" w:eastAsia="Times New Roman" w:hAnsi="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b/>
      <w:caps/>
      <w:sz w:val="32"/>
      <w:szCs w:val="20"/>
    </w:rPr>
  </w:style>
  <w:style w:type="paragraph" w:customStyle="1" w:styleId="RUE">
    <w:name w:val="RUE"/>
    <w:basedOn w:val="Normal"/>
    <w:pPr>
      <w:spacing w:after="0" w:line="240" w:lineRule="auto"/>
      <w:jc w:val="center"/>
    </w:pPr>
    <w:rPr>
      <w:rFonts w:ascii="Times New Roman" w:eastAsia="Times New Roman" w:hAnsi="Times New Roman"/>
      <w:b/>
      <w:caps/>
      <w:sz w:val="32"/>
      <w:szCs w:val="20"/>
      <w:bdr w:val="single" w:sz="18" w:space="0" w:color="auto"/>
    </w:rPr>
  </w:style>
  <w:style w:type="paragraph" w:customStyle="1" w:styleId="ConfidentialUE">
    <w:name w:val="Confidential UE"/>
    <w:basedOn w:val="Normal"/>
    <w:pPr>
      <w:spacing w:after="0" w:line="240" w:lineRule="auto"/>
      <w:jc w:val="center"/>
    </w:pPr>
    <w:rPr>
      <w:rFonts w:ascii="Times New Roman" w:eastAsia="Times New Roman" w:hAnsi="Times New Roman"/>
      <w:b/>
      <w:caps/>
      <w:sz w:val="32"/>
      <w:szCs w:val="20"/>
      <w:bdr w:val="single" w:sz="18" w:space="0" w:color="auto"/>
    </w:rPr>
  </w:style>
  <w:style w:type="paragraph" w:customStyle="1" w:styleId="TrsSecretUE">
    <w:name w:val="Très Secret UE"/>
    <w:basedOn w:val="Normal"/>
    <w:pPr>
      <w:spacing w:after="0" w:line="240" w:lineRule="auto"/>
      <w:jc w:val="center"/>
    </w:pPr>
    <w:rPr>
      <w:rFonts w:ascii="Times New Roman" w:eastAsia="Times New Roman" w:hAnsi="Times New Roman"/>
      <w:b/>
      <w:caps/>
      <w:color w:val="FF0000"/>
      <w:sz w:val="32"/>
      <w:szCs w:val="20"/>
      <w:bdr w:val="single" w:sz="18" w:space="0" w:color="FF0000"/>
    </w:rPr>
  </w:style>
  <w:style w:type="paragraph" w:customStyle="1" w:styleId="SecretUE">
    <w:name w:val="Secret UE"/>
    <w:basedOn w:val="Normal"/>
    <w:pPr>
      <w:spacing w:after="0" w:line="240" w:lineRule="auto"/>
      <w:jc w:val="center"/>
    </w:pPr>
    <w:rPr>
      <w:rFonts w:ascii="Times New Roman" w:eastAsia="Times New Roman" w:hAnsi="Times New Roman"/>
      <w:b/>
      <w:caps/>
      <w:color w:val="FF0000"/>
      <w:sz w:val="32"/>
      <w:szCs w:val="20"/>
      <w:bdr w:val="single" w:sz="18" w:space="0" w:color="FF0000"/>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character" w:styleId="FootnoteReference">
    <w:name w:val="footnote reference"/>
    <w:aliases w:val="EN Footnote Reference,-E Fußnotenzeichen,BVI fnr,Footnote,Footnote symbol,Footnote number,Footnote Reference Number,Footnote reference number,Times 10 Point,Exposant 3 Point,Footnote Reference Superscript,note TESI, BVI fnr,Appel note"/>
    <w:link w:val="FootnotesymbolCharChar"/>
    <w:uiPriority w:val="99"/>
    <w:qFormat/>
    <w:rPr>
      <w:vertAlign w:val="superscript"/>
    </w:rPr>
  </w:style>
  <w:style w:type="character" w:styleId="PageNumber">
    <w:name w:val="page number"/>
  </w:style>
  <w:style w:type="paragraph" w:customStyle="1" w:styleId="Style10">
    <w:name w:val="Style 1"/>
    <w:basedOn w:val="Normal"/>
    <w:pPr>
      <w:widowControl w:val="0"/>
      <w:autoSpaceDE w:val="0"/>
      <w:autoSpaceDN w:val="0"/>
      <w:adjustRightInd w:val="0"/>
      <w:spacing w:after="0" w:line="240" w:lineRule="auto"/>
    </w:pPr>
    <w:rPr>
      <w:rFonts w:ascii="Times New Roman" w:eastAsia="Times New Roman" w:hAnsi="Times New Roman"/>
      <w:sz w:val="20"/>
      <w:szCs w:val="24"/>
    </w:rPr>
  </w:style>
  <w:style w:type="paragraph" w:customStyle="1" w:styleId="ADPPuce1">
    <w:name w:val="ADP Puce 1"/>
    <w:basedOn w:val="Normal"/>
    <w:pPr>
      <w:numPr>
        <w:numId w:val="19"/>
      </w:numPr>
      <w:spacing w:after="0" w:line="240" w:lineRule="auto"/>
      <w:ind w:left="1080" w:hanging="360"/>
      <w:jc w:val="both"/>
    </w:pPr>
    <w:rPr>
      <w:rFonts w:ascii="Arial" w:eastAsia="Times New Roman" w:hAnsi="Arial"/>
      <w:sz w:val="20"/>
      <w:szCs w:val="24"/>
    </w:rPr>
  </w:style>
  <w:style w:type="character" w:styleId="Emphasis">
    <w:name w:val="Emphasis"/>
    <w:qFormat/>
    <w:rPr>
      <w:i/>
      <w:iCs/>
    </w:rPr>
  </w:style>
  <w:style w:type="character" w:styleId="Strong">
    <w:name w:val="Strong"/>
    <w:uiPriority w:val="22"/>
    <w:qFormat/>
    <w:rPr>
      <w:b/>
      <w:bCs/>
    </w:rPr>
  </w:style>
  <w:style w:type="table" w:styleId="TableGrid">
    <w:name w:val="Table Grid"/>
    <w:basedOn w:val="TableNormal"/>
    <w:uiPriority w:val="59"/>
    <w:pPr>
      <w:spacing w:after="120" w:line="240" w:lineRule="atLeas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pPr>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pPr>
      <w:spacing w:before="100" w:beforeAutospacing="1" w:after="100" w:afterAutospacing="1" w:line="220" w:lineRule="atLeast"/>
    </w:pPr>
    <w:rPr>
      <w:rFonts w:ascii="Verdana" w:eastAsia="Times New Roman" w:hAnsi="Verdana"/>
      <w:color w:val="000000"/>
      <w:sz w:val="16"/>
      <w:szCs w:val="16"/>
    </w:rPr>
  </w:style>
  <w:style w:type="character" w:styleId="CommentReference">
    <w:name w:val="annotation reference"/>
    <w:basedOn w:val="DefaultParagraphFont"/>
    <w:uiPriority w:val="99"/>
    <w:semiHidden/>
    <w:unhideWhenUsed/>
    <w:rPr>
      <w:sz w:val="16"/>
      <w:szCs w:val="16"/>
    </w:rPr>
  </w:style>
  <w:style w:type="paragraph" w:customStyle="1" w:styleId="HeaderLandscape">
    <w:name w:val="HeaderLandscape"/>
    <w:basedOn w:val="Normal"/>
    <w:pPr>
      <w:tabs>
        <w:tab w:val="center" w:pos="7285"/>
        <w:tab w:val="right" w:pos="14003"/>
      </w:tabs>
      <w:spacing w:before="120" w:after="120" w:line="240" w:lineRule="auto"/>
      <w:jc w:val="both"/>
    </w:pPr>
    <w:rPr>
      <w:rFonts w:ascii="Times New Roman" w:eastAsia="Times New Roman" w:hAnsi="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5"/>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25"/>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25"/>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25"/>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25"/>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25"/>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25"/>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25"/>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25"/>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26"/>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27"/>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28"/>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29"/>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30"/>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sz w:val="24"/>
      <w:szCs w:val="24"/>
      <w:u w:val="single"/>
    </w:rPr>
  </w:style>
  <w:style w:type="paragraph" w:customStyle="1" w:styleId="Considrant">
    <w:name w:val="Considérant"/>
    <w:basedOn w:val="Normal"/>
    <w:pPr>
      <w:numPr>
        <w:numId w:val="31"/>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rPr>
  </w:style>
  <w:style w:type="paragraph" w:styleId="CommentSubject">
    <w:name w:val="annotation subject"/>
    <w:basedOn w:val="CommentText"/>
    <w:next w:val="CommentText"/>
    <w:link w:val="CommentSubjectChar"/>
    <w:semiHidden/>
    <w:pPr>
      <w:spacing w:before="120" w:after="120"/>
    </w:pPr>
    <w:rPr>
      <w:b/>
      <w:bCs/>
    </w:rPr>
  </w:style>
  <w:style w:type="character" w:customStyle="1" w:styleId="CommentSubjectChar">
    <w:name w:val="Comment Subject Char"/>
    <w:link w:val="CommentSubject"/>
    <w:semiHidden/>
    <w:rPr>
      <w:rFonts w:ascii="Times New Roman" w:eastAsia="Times New Roman" w:hAnsi="Times New Roman"/>
      <w:b/>
      <w:bCs/>
      <w:lang w:eastAsia="fr-FR"/>
    </w:rPr>
  </w:style>
  <w:style w:type="paragraph" w:styleId="BalloonText">
    <w:name w:val="Balloon Text"/>
    <w:basedOn w:val="Normal"/>
    <w:link w:val="BalloonTextChar"/>
    <w:semiHidden/>
    <w:pPr>
      <w:spacing w:before="120" w:after="120" w:line="240" w:lineRule="auto"/>
      <w:jc w:val="both"/>
    </w:pPr>
    <w:rPr>
      <w:rFonts w:ascii="Tahoma" w:eastAsia="Times New Roman" w:hAnsi="Tahoma"/>
      <w:sz w:val="16"/>
      <w:szCs w:val="16"/>
    </w:rPr>
  </w:style>
  <w:style w:type="character" w:customStyle="1" w:styleId="BalloonTextChar">
    <w:name w:val="Balloon Text Char"/>
    <w:link w:val="BalloonText"/>
    <w:semiHidden/>
    <w:rPr>
      <w:rFonts w:ascii="Tahoma" w:eastAsia="Times New Roman" w:hAnsi="Tahoma" w:cs="Tahoma"/>
      <w:sz w:val="16"/>
      <w:szCs w:val="16"/>
      <w:lang w:eastAsia="fr-FR"/>
    </w:rPr>
  </w:style>
  <w:style w:type="table" w:customStyle="1" w:styleId="TableGrid1">
    <w:name w:val="Table Gri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pPr>
      <w:numPr>
        <w:numId w:val="32"/>
      </w:numPr>
    </w:pPr>
  </w:style>
  <w:style w:type="character" w:styleId="EndnoteReference">
    <w:name w:val="endnote reference"/>
    <w:semiHidden/>
    <w:rPr>
      <w:shd w:val="clear" w:color="auto" w:fill="auto"/>
      <w:vertAlign w:val="superscript"/>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aps/>
      <w:sz w:val="24"/>
      <w:szCs w:val="24"/>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sz w:val="24"/>
      <w:szCs w:val="24"/>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szCs w:val="24"/>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b/>
      <w:sz w:val="24"/>
      <w:szCs w:val="24"/>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sz w:val="24"/>
      <w:szCs w:val="24"/>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sz w:val="24"/>
      <w:szCs w:val="24"/>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b/>
      <w:sz w:val="24"/>
      <w:szCs w:val="24"/>
      <w:u w:val="single"/>
    </w:rPr>
  </w:style>
  <w:style w:type="character" w:customStyle="1" w:styleId="titlebold1">
    <w:name w:val="titlebold1"/>
    <w:rPr>
      <w:rFonts w:ascii="Tahoma" w:hAnsi="Tahoma" w:cs="Tahoma" w:hint="default"/>
      <w:b/>
      <w:bCs/>
      <w:color w:val="006699"/>
      <w:sz w:val="24"/>
      <w:szCs w:val="24"/>
    </w:rPr>
  </w:style>
  <w:style w:type="character" w:customStyle="1" w:styleId="numerique2">
    <w:name w:val="numerique2"/>
  </w:style>
  <w:style w:type="character" w:customStyle="1" w:styleId="alpha2">
    <w:name w:val="alpha2"/>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ListParagraph">
    <w:name w:val="List Paragraph"/>
    <w:aliases w:val="List Paragraph compact,Normal bullet 2"/>
    <w:basedOn w:val="Normal"/>
    <w:link w:val="ListParagraphChar"/>
    <w:uiPriority w:val="34"/>
    <w:qFormat/>
    <w:pPr>
      <w:spacing w:after="240" w:line="240" w:lineRule="auto"/>
      <w:ind w:left="720"/>
      <w:contextualSpacing/>
      <w:jc w:val="both"/>
    </w:pPr>
    <w:rPr>
      <w:rFonts w:ascii="Times New Roman" w:eastAsia="Times New Roman" w:hAnsi="Times New Roman"/>
      <w:sz w:val="24"/>
      <w:szCs w:val="20"/>
    </w:rPr>
  </w:style>
  <w:style w:type="paragraph" w:customStyle="1" w:styleId="CM4">
    <w:name w:val="CM4"/>
    <w:basedOn w:val="Default"/>
    <w:next w:val="Default"/>
    <w:uiPriority w:val="99"/>
    <w:rPr>
      <w:rFonts w:ascii="Times New Roman" w:eastAsia="Times New Roman" w:hAnsi="Times New Roman" w:cs="Times New Roman"/>
      <w:color w:val="auto"/>
    </w:rPr>
  </w:style>
  <w:style w:type="paragraph" w:customStyle="1" w:styleId="Para2">
    <w:name w:val="Para_2"/>
    <w:basedOn w:val="Normal"/>
    <w:link w:val="Para2Char1"/>
    <w:pPr>
      <w:numPr>
        <w:ilvl w:val="1"/>
        <w:numId w:val="33"/>
      </w:numPr>
      <w:spacing w:after="240" w:line="360" w:lineRule="auto"/>
    </w:pPr>
    <w:rPr>
      <w:rFonts w:ascii="Arial" w:eastAsia="Times New Roman" w:hAnsi="Arial"/>
      <w:noProof/>
      <w:sz w:val="24"/>
      <w:szCs w:val="20"/>
    </w:rPr>
  </w:style>
  <w:style w:type="paragraph" w:customStyle="1" w:styleId="Para3">
    <w:name w:val="Para_3"/>
    <w:basedOn w:val="Normal"/>
    <w:pPr>
      <w:numPr>
        <w:ilvl w:val="2"/>
        <w:numId w:val="33"/>
      </w:numPr>
      <w:tabs>
        <w:tab w:val="left" w:pos="992"/>
      </w:tabs>
      <w:spacing w:after="240" w:line="360" w:lineRule="auto"/>
    </w:pPr>
    <w:rPr>
      <w:rFonts w:ascii="Arial" w:eastAsia="Times New Roman" w:hAnsi="Arial"/>
      <w:noProof/>
      <w:sz w:val="24"/>
      <w:szCs w:val="20"/>
    </w:rPr>
  </w:style>
  <w:style w:type="paragraph" w:customStyle="1" w:styleId="Para4">
    <w:name w:val="Para_4"/>
    <w:basedOn w:val="Normal"/>
    <w:pPr>
      <w:numPr>
        <w:ilvl w:val="3"/>
        <w:numId w:val="33"/>
      </w:numPr>
      <w:spacing w:after="240" w:line="360" w:lineRule="auto"/>
    </w:pPr>
    <w:rPr>
      <w:rFonts w:ascii="Arial" w:eastAsia="Times New Roman" w:hAnsi="Arial"/>
      <w:sz w:val="24"/>
      <w:szCs w:val="20"/>
    </w:rPr>
  </w:style>
  <w:style w:type="paragraph" w:customStyle="1" w:styleId="Para5">
    <w:name w:val="Para_5"/>
    <w:basedOn w:val="Normal"/>
    <w:pPr>
      <w:numPr>
        <w:ilvl w:val="4"/>
        <w:numId w:val="33"/>
      </w:numPr>
      <w:tabs>
        <w:tab w:val="left" w:pos="567"/>
      </w:tabs>
      <w:spacing w:after="240" w:line="360" w:lineRule="auto"/>
    </w:pPr>
    <w:rPr>
      <w:rFonts w:ascii="Arial" w:eastAsia="Times New Roman" w:hAnsi="Arial"/>
      <w:sz w:val="24"/>
      <w:szCs w:val="20"/>
    </w:rPr>
  </w:style>
  <w:style w:type="character" w:customStyle="1" w:styleId="Para2Char1">
    <w:name w:val="Para_2 Char1"/>
    <w:link w:val="Para2"/>
    <w:rPr>
      <w:rFonts w:ascii="Arial" w:eastAsia="Times New Roman" w:hAnsi="Arial"/>
      <w:noProof/>
      <w:sz w:val="24"/>
      <w:lang w:val="fr-FR" w:eastAsia="fr-FR"/>
    </w:rPr>
  </w:style>
  <w:style w:type="paragraph" w:styleId="Revision">
    <w:name w:val="Revision"/>
    <w:hidden/>
    <w:uiPriority w:val="99"/>
    <w:semiHidden/>
    <w:rPr>
      <w:sz w:val="22"/>
      <w:szCs w:val="22"/>
    </w:rPr>
  </w:style>
  <w:style w:type="paragraph" w:customStyle="1" w:styleId="FootnotesymbolCharChar">
    <w:name w:val="Footnote symbol Char Char"/>
    <w:aliases w:val="Footnote reference number Char Char,Times 10 Point Char Char,Exposant 3 Point Char Char,Ref Char Char,de nota al pie Char Char,note TESI Char Char,SUPERS Char Char,EN Footnote Reference Char Char"/>
    <w:basedOn w:val="Normal"/>
    <w:link w:val="FootnoteReference"/>
    <w:uiPriority w:val="99"/>
    <w:pPr>
      <w:spacing w:before="120" w:after="160" w:line="240" w:lineRule="exact"/>
    </w:pPr>
    <w:rPr>
      <w:sz w:val="20"/>
      <w:szCs w:val="20"/>
      <w:vertAlign w:val="superscript"/>
    </w:rPr>
  </w:style>
  <w:style w:type="paragraph" w:customStyle="1" w:styleId="Textstand-alone">
    <w:name w:val="Text_stand-alone"/>
    <w:basedOn w:val="Normal"/>
    <w:qFormat/>
    <w:pPr>
      <w:spacing w:before="240" w:after="240" w:line="240" w:lineRule="auto"/>
      <w:jc w:val="both"/>
    </w:pPr>
    <w:rPr>
      <w:rFonts w:ascii="Verdana" w:eastAsia="Times New Roman" w:hAnsi="Verdana"/>
      <w:noProof/>
      <w:sz w:val="18"/>
      <w:szCs w:val="18"/>
    </w:rPr>
  </w:style>
  <w:style w:type="character" w:customStyle="1" w:styleId="ListParagraphChar">
    <w:name w:val="List Paragraph Char"/>
    <w:aliases w:val="List Paragraph compact Char,Normal bullet 2 Char"/>
    <w:link w:val="ListParagraph"/>
    <w:uiPriority w:val="34"/>
    <w:rPr>
      <w:rFonts w:ascii="Times New Roman" w:eastAsia="Times New Roman" w:hAnsi="Times New Roman"/>
      <w:sz w:val="24"/>
      <w:lang w:eastAsia="fr-FR"/>
    </w:rPr>
  </w:style>
  <w:style w:type="paragraph" w:customStyle="1" w:styleId="PSParagraphText">
    <w:name w:val="PS_Paragraph_Text"/>
    <w:basedOn w:val="Normal"/>
    <w:link w:val="PSParagraphTextChar"/>
    <w:qFormat/>
    <w:pPr>
      <w:spacing w:after="120" w:line="240" w:lineRule="auto"/>
      <w:jc w:val="both"/>
    </w:pPr>
    <w:rPr>
      <w:rFonts w:ascii="EC Square Sans Pro" w:eastAsia="Times New Roman" w:hAnsi="EC Square Sans Pro"/>
      <w:sz w:val="20"/>
      <w:szCs w:val="20"/>
    </w:rPr>
  </w:style>
  <w:style w:type="character" w:customStyle="1" w:styleId="PSParagraphTextChar">
    <w:name w:val="PS_Paragraph_Text Char"/>
    <w:link w:val="PSParagraphText"/>
    <w:rPr>
      <w:rFonts w:ascii="EC Square Sans Pro" w:eastAsia="Times New Roman" w:hAnsi="EC Square Sans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9866">
      <w:bodyDiv w:val="1"/>
      <w:marLeft w:val="0"/>
      <w:marRight w:val="0"/>
      <w:marTop w:val="0"/>
      <w:marBottom w:val="0"/>
      <w:divBdr>
        <w:top w:val="none" w:sz="0" w:space="0" w:color="auto"/>
        <w:left w:val="none" w:sz="0" w:space="0" w:color="auto"/>
        <w:bottom w:val="none" w:sz="0" w:space="0" w:color="auto"/>
        <w:right w:val="none" w:sz="0" w:space="0" w:color="auto"/>
      </w:divBdr>
    </w:div>
    <w:div w:id="42558003">
      <w:bodyDiv w:val="1"/>
      <w:marLeft w:val="0"/>
      <w:marRight w:val="0"/>
      <w:marTop w:val="0"/>
      <w:marBottom w:val="0"/>
      <w:divBdr>
        <w:top w:val="none" w:sz="0" w:space="0" w:color="auto"/>
        <w:left w:val="none" w:sz="0" w:space="0" w:color="auto"/>
        <w:bottom w:val="none" w:sz="0" w:space="0" w:color="auto"/>
        <w:right w:val="none" w:sz="0" w:space="0" w:color="auto"/>
      </w:divBdr>
    </w:div>
    <w:div w:id="58990061">
      <w:bodyDiv w:val="1"/>
      <w:marLeft w:val="0"/>
      <w:marRight w:val="0"/>
      <w:marTop w:val="0"/>
      <w:marBottom w:val="0"/>
      <w:divBdr>
        <w:top w:val="none" w:sz="0" w:space="0" w:color="auto"/>
        <w:left w:val="none" w:sz="0" w:space="0" w:color="auto"/>
        <w:bottom w:val="none" w:sz="0" w:space="0" w:color="auto"/>
        <w:right w:val="none" w:sz="0" w:space="0" w:color="auto"/>
      </w:divBdr>
    </w:div>
    <w:div w:id="80105082">
      <w:bodyDiv w:val="1"/>
      <w:marLeft w:val="0"/>
      <w:marRight w:val="0"/>
      <w:marTop w:val="0"/>
      <w:marBottom w:val="0"/>
      <w:divBdr>
        <w:top w:val="none" w:sz="0" w:space="0" w:color="auto"/>
        <w:left w:val="none" w:sz="0" w:space="0" w:color="auto"/>
        <w:bottom w:val="none" w:sz="0" w:space="0" w:color="auto"/>
        <w:right w:val="none" w:sz="0" w:space="0" w:color="auto"/>
      </w:divBdr>
    </w:div>
    <w:div w:id="92553075">
      <w:bodyDiv w:val="1"/>
      <w:marLeft w:val="0"/>
      <w:marRight w:val="0"/>
      <w:marTop w:val="0"/>
      <w:marBottom w:val="0"/>
      <w:divBdr>
        <w:top w:val="none" w:sz="0" w:space="0" w:color="auto"/>
        <w:left w:val="none" w:sz="0" w:space="0" w:color="auto"/>
        <w:bottom w:val="none" w:sz="0" w:space="0" w:color="auto"/>
        <w:right w:val="none" w:sz="0" w:space="0" w:color="auto"/>
      </w:divBdr>
    </w:div>
    <w:div w:id="122774436">
      <w:bodyDiv w:val="1"/>
      <w:marLeft w:val="0"/>
      <w:marRight w:val="0"/>
      <w:marTop w:val="0"/>
      <w:marBottom w:val="0"/>
      <w:divBdr>
        <w:top w:val="none" w:sz="0" w:space="0" w:color="auto"/>
        <w:left w:val="none" w:sz="0" w:space="0" w:color="auto"/>
        <w:bottom w:val="none" w:sz="0" w:space="0" w:color="auto"/>
        <w:right w:val="none" w:sz="0" w:space="0" w:color="auto"/>
      </w:divBdr>
    </w:div>
    <w:div w:id="123812302">
      <w:bodyDiv w:val="1"/>
      <w:marLeft w:val="0"/>
      <w:marRight w:val="0"/>
      <w:marTop w:val="0"/>
      <w:marBottom w:val="0"/>
      <w:divBdr>
        <w:top w:val="none" w:sz="0" w:space="0" w:color="auto"/>
        <w:left w:val="none" w:sz="0" w:space="0" w:color="auto"/>
        <w:bottom w:val="none" w:sz="0" w:space="0" w:color="auto"/>
        <w:right w:val="none" w:sz="0" w:space="0" w:color="auto"/>
      </w:divBdr>
    </w:div>
    <w:div w:id="154420651">
      <w:bodyDiv w:val="1"/>
      <w:marLeft w:val="0"/>
      <w:marRight w:val="0"/>
      <w:marTop w:val="0"/>
      <w:marBottom w:val="0"/>
      <w:divBdr>
        <w:top w:val="none" w:sz="0" w:space="0" w:color="auto"/>
        <w:left w:val="none" w:sz="0" w:space="0" w:color="auto"/>
        <w:bottom w:val="none" w:sz="0" w:space="0" w:color="auto"/>
        <w:right w:val="none" w:sz="0" w:space="0" w:color="auto"/>
      </w:divBdr>
    </w:div>
    <w:div w:id="160194043">
      <w:bodyDiv w:val="1"/>
      <w:marLeft w:val="0"/>
      <w:marRight w:val="0"/>
      <w:marTop w:val="0"/>
      <w:marBottom w:val="0"/>
      <w:divBdr>
        <w:top w:val="none" w:sz="0" w:space="0" w:color="auto"/>
        <w:left w:val="none" w:sz="0" w:space="0" w:color="auto"/>
        <w:bottom w:val="none" w:sz="0" w:space="0" w:color="auto"/>
        <w:right w:val="none" w:sz="0" w:space="0" w:color="auto"/>
      </w:divBdr>
    </w:div>
    <w:div w:id="206575120">
      <w:bodyDiv w:val="1"/>
      <w:marLeft w:val="0"/>
      <w:marRight w:val="0"/>
      <w:marTop w:val="0"/>
      <w:marBottom w:val="0"/>
      <w:divBdr>
        <w:top w:val="none" w:sz="0" w:space="0" w:color="auto"/>
        <w:left w:val="none" w:sz="0" w:space="0" w:color="auto"/>
        <w:bottom w:val="none" w:sz="0" w:space="0" w:color="auto"/>
        <w:right w:val="none" w:sz="0" w:space="0" w:color="auto"/>
      </w:divBdr>
    </w:div>
    <w:div w:id="248544164">
      <w:bodyDiv w:val="1"/>
      <w:marLeft w:val="0"/>
      <w:marRight w:val="0"/>
      <w:marTop w:val="0"/>
      <w:marBottom w:val="0"/>
      <w:divBdr>
        <w:top w:val="none" w:sz="0" w:space="0" w:color="auto"/>
        <w:left w:val="none" w:sz="0" w:space="0" w:color="auto"/>
        <w:bottom w:val="none" w:sz="0" w:space="0" w:color="auto"/>
        <w:right w:val="none" w:sz="0" w:space="0" w:color="auto"/>
      </w:divBdr>
    </w:div>
    <w:div w:id="255138519">
      <w:bodyDiv w:val="1"/>
      <w:marLeft w:val="0"/>
      <w:marRight w:val="0"/>
      <w:marTop w:val="0"/>
      <w:marBottom w:val="0"/>
      <w:divBdr>
        <w:top w:val="none" w:sz="0" w:space="0" w:color="auto"/>
        <w:left w:val="none" w:sz="0" w:space="0" w:color="auto"/>
        <w:bottom w:val="none" w:sz="0" w:space="0" w:color="auto"/>
        <w:right w:val="none" w:sz="0" w:space="0" w:color="auto"/>
      </w:divBdr>
    </w:div>
    <w:div w:id="301154802">
      <w:bodyDiv w:val="1"/>
      <w:marLeft w:val="0"/>
      <w:marRight w:val="0"/>
      <w:marTop w:val="0"/>
      <w:marBottom w:val="0"/>
      <w:divBdr>
        <w:top w:val="none" w:sz="0" w:space="0" w:color="auto"/>
        <w:left w:val="none" w:sz="0" w:space="0" w:color="auto"/>
        <w:bottom w:val="none" w:sz="0" w:space="0" w:color="auto"/>
        <w:right w:val="none" w:sz="0" w:space="0" w:color="auto"/>
      </w:divBdr>
    </w:div>
    <w:div w:id="319314287">
      <w:bodyDiv w:val="1"/>
      <w:marLeft w:val="0"/>
      <w:marRight w:val="0"/>
      <w:marTop w:val="0"/>
      <w:marBottom w:val="0"/>
      <w:divBdr>
        <w:top w:val="none" w:sz="0" w:space="0" w:color="auto"/>
        <w:left w:val="none" w:sz="0" w:space="0" w:color="auto"/>
        <w:bottom w:val="none" w:sz="0" w:space="0" w:color="auto"/>
        <w:right w:val="none" w:sz="0" w:space="0" w:color="auto"/>
      </w:divBdr>
    </w:div>
    <w:div w:id="348221590">
      <w:bodyDiv w:val="1"/>
      <w:marLeft w:val="0"/>
      <w:marRight w:val="0"/>
      <w:marTop w:val="0"/>
      <w:marBottom w:val="0"/>
      <w:divBdr>
        <w:top w:val="none" w:sz="0" w:space="0" w:color="auto"/>
        <w:left w:val="none" w:sz="0" w:space="0" w:color="auto"/>
        <w:bottom w:val="none" w:sz="0" w:space="0" w:color="auto"/>
        <w:right w:val="none" w:sz="0" w:space="0" w:color="auto"/>
      </w:divBdr>
    </w:div>
    <w:div w:id="353269433">
      <w:bodyDiv w:val="1"/>
      <w:marLeft w:val="0"/>
      <w:marRight w:val="0"/>
      <w:marTop w:val="0"/>
      <w:marBottom w:val="0"/>
      <w:divBdr>
        <w:top w:val="none" w:sz="0" w:space="0" w:color="auto"/>
        <w:left w:val="none" w:sz="0" w:space="0" w:color="auto"/>
        <w:bottom w:val="none" w:sz="0" w:space="0" w:color="auto"/>
        <w:right w:val="none" w:sz="0" w:space="0" w:color="auto"/>
      </w:divBdr>
    </w:div>
    <w:div w:id="376930177">
      <w:bodyDiv w:val="1"/>
      <w:marLeft w:val="0"/>
      <w:marRight w:val="0"/>
      <w:marTop w:val="0"/>
      <w:marBottom w:val="0"/>
      <w:divBdr>
        <w:top w:val="none" w:sz="0" w:space="0" w:color="auto"/>
        <w:left w:val="none" w:sz="0" w:space="0" w:color="auto"/>
        <w:bottom w:val="none" w:sz="0" w:space="0" w:color="auto"/>
        <w:right w:val="none" w:sz="0" w:space="0" w:color="auto"/>
      </w:divBdr>
    </w:div>
    <w:div w:id="397286940">
      <w:bodyDiv w:val="1"/>
      <w:marLeft w:val="0"/>
      <w:marRight w:val="0"/>
      <w:marTop w:val="0"/>
      <w:marBottom w:val="0"/>
      <w:divBdr>
        <w:top w:val="none" w:sz="0" w:space="0" w:color="auto"/>
        <w:left w:val="none" w:sz="0" w:space="0" w:color="auto"/>
        <w:bottom w:val="none" w:sz="0" w:space="0" w:color="auto"/>
        <w:right w:val="none" w:sz="0" w:space="0" w:color="auto"/>
      </w:divBdr>
    </w:div>
    <w:div w:id="437410556">
      <w:bodyDiv w:val="1"/>
      <w:marLeft w:val="0"/>
      <w:marRight w:val="0"/>
      <w:marTop w:val="0"/>
      <w:marBottom w:val="0"/>
      <w:divBdr>
        <w:top w:val="none" w:sz="0" w:space="0" w:color="auto"/>
        <w:left w:val="none" w:sz="0" w:space="0" w:color="auto"/>
        <w:bottom w:val="none" w:sz="0" w:space="0" w:color="auto"/>
        <w:right w:val="none" w:sz="0" w:space="0" w:color="auto"/>
      </w:divBdr>
    </w:div>
    <w:div w:id="442775420">
      <w:bodyDiv w:val="1"/>
      <w:marLeft w:val="0"/>
      <w:marRight w:val="0"/>
      <w:marTop w:val="0"/>
      <w:marBottom w:val="0"/>
      <w:divBdr>
        <w:top w:val="none" w:sz="0" w:space="0" w:color="auto"/>
        <w:left w:val="none" w:sz="0" w:space="0" w:color="auto"/>
        <w:bottom w:val="none" w:sz="0" w:space="0" w:color="auto"/>
        <w:right w:val="none" w:sz="0" w:space="0" w:color="auto"/>
      </w:divBdr>
    </w:div>
    <w:div w:id="442966218">
      <w:bodyDiv w:val="1"/>
      <w:marLeft w:val="0"/>
      <w:marRight w:val="0"/>
      <w:marTop w:val="0"/>
      <w:marBottom w:val="0"/>
      <w:divBdr>
        <w:top w:val="none" w:sz="0" w:space="0" w:color="auto"/>
        <w:left w:val="none" w:sz="0" w:space="0" w:color="auto"/>
        <w:bottom w:val="none" w:sz="0" w:space="0" w:color="auto"/>
        <w:right w:val="none" w:sz="0" w:space="0" w:color="auto"/>
      </w:divBdr>
    </w:div>
    <w:div w:id="443886253">
      <w:bodyDiv w:val="1"/>
      <w:marLeft w:val="0"/>
      <w:marRight w:val="0"/>
      <w:marTop w:val="0"/>
      <w:marBottom w:val="0"/>
      <w:divBdr>
        <w:top w:val="none" w:sz="0" w:space="0" w:color="auto"/>
        <w:left w:val="none" w:sz="0" w:space="0" w:color="auto"/>
        <w:bottom w:val="none" w:sz="0" w:space="0" w:color="auto"/>
        <w:right w:val="none" w:sz="0" w:space="0" w:color="auto"/>
      </w:divBdr>
    </w:div>
    <w:div w:id="495461248">
      <w:bodyDiv w:val="1"/>
      <w:marLeft w:val="0"/>
      <w:marRight w:val="0"/>
      <w:marTop w:val="0"/>
      <w:marBottom w:val="0"/>
      <w:divBdr>
        <w:top w:val="none" w:sz="0" w:space="0" w:color="auto"/>
        <w:left w:val="none" w:sz="0" w:space="0" w:color="auto"/>
        <w:bottom w:val="none" w:sz="0" w:space="0" w:color="auto"/>
        <w:right w:val="none" w:sz="0" w:space="0" w:color="auto"/>
      </w:divBdr>
    </w:div>
    <w:div w:id="544029127">
      <w:bodyDiv w:val="1"/>
      <w:marLeft w:val="0"/>
      <w:marRight w:val="0"/>
      <w:marTop w:val="0"/>
      <w:marBottom w:val="0"/>
      <w:divBdr>
        <w:top w:val="none" w:sz="0" w:space="0" w:color="auto"/>
        <w:left w:val="none" w:sz="0" w:space="0" w:color="auto"/>
        <w:bottom w:val="none" w:sz="0" w:space="0" w:color="auto"/>
        <w:right w:val="none" w:sz="0" w:space="0" w:color="auto"/>
      </w:divBdr>
    </w:div>
    <w:div w:id="548611356">
      <w:bodyDiv w:val="1"/>
      <w:marLeft w:val="0"/>
      <w:marRight w:val="0"/>
      <w:marTop w:val="0"/>
      <w:marBottom w:val="0"/>
      <w:divBdr>
        <w:top w:val="none" w:sz="0" w:space="0" w:color="auto"/>
        <w:left w:val="none" w:sz="0" w:space="0" w:color="auto"/>
        <w:bottom w:val="none" w:sz="0" w:space="0" w:color="auto"/>
        <w:right w:val="none" w:sz="0" w:space="0" w:color="auto"/>
      </w:divBdr>
    </w:div>
    <w:div w:id="553391046">
      <w:bodyDiv w:val="1"/>
      <w:marLeft w:val="0"/>
      <w:marRight w:val="0"/>
      <w:marTop w:val="0"/>
      <w:marBottom w:val="0"/>
      <w:divBdr>
        <w:top w:val="none" w:sz="0" w:space="0" w:color="auto"/>
        <w:left w:val="none" w:sz="0" w:space="0" w:color="auto"/>
        <w:bottom w:val="none" w:sz="0" w:space="0" w:color="auto"/>
        <w:right w:val="none" w:sz="0" w:space="0" w:color="auto"/>
      </w:divBdr>
    </w:div>
    <w:div w:id="553931627">
      <w:bodyDiv w:val="1"/>
      <w:marLeft w:val="0"/>
      <w:marRight w:val="0"/>
      <w:marTop w:val="0"/>
      <w:marBottom w:val="0"/>
      <w:divBdr>
        <w:top w:val="none" w:sz="0" w:space="0" w:color="auto"/>
        <w:left w:val="none" w:sz="0" w:space="0" w:color="auto"/>
        <w:bottom w:val="none" w:sz="0" w:space="0" w:color="auto"/>
        <w:right w:val="none" w:sz="0" w:space="0" w:color="auto"/>
      </w:divBdr>
    </w:div>
    <w:div w:id="554238905">
      <w:bodyDiv w:val="1"/>
      <w:marLeft w:val="0"/>
      <w:marRight w:val="0"/>
      <w:marTop w:val="0"/>
      <w:marBottom w:val="0"/>
      <w:divBdr>
        <w:top w:val="none" w:sz="0" w:space="0" w:color="auto"/>
        <w:left w:val="none" w:sz="0" w:space="0" w:color="auto"/>
        <w:bottom w:val="none" w:sz="0" w:space="0" w:color="auto"/>
        <w:right w:val="none" w:sz="0" w:space="0" w:color="auto"/>
      </w:divBdr>
    </w:div>
    <w:div w:id="567031840">
      <w:bodyDiv w:val="1"/>
      <w:marLeft w:val="0"/>
      <w:marRight w:val="0"/>
      <w:marTop w:val="0"/>
      <w:marBottom w:val="0"/>
      <w:divBdr>
        <w:top w:val="none" w:sz="0" w:space="0" w:color="auto"/>
        <w:left w:val="none" w:sz="0" w:space="0" w:color="auto"/>
        <w:bottom w:val="none" w:sz="0" w:space="0" w:color="auto"/>
        <w:right w:val="none" w:sz="0" w:space="0" w:color="auto"/>
      </w:divBdr>
    </w:div>
    <w:div w:id="584921178">
      <w:bodyDiv w:val="1"/>
      <w:marLeft w:val="0"/>
      <w:marRight w:val="0"/>
      <w:marTop w:val="0"/>
      <w:marBottom w:val="0"/>
      <w:divBdr>
        <w:top w:val="none" w:sz="0" w:space="0" w:color="auto"/>
        <w:left w:val="none" w:sz="0" w:space="0" w:color="auto"/>
        <w:bottom w:val="none" w:sz="0" w:space="0" w:color="auto"/>
        <w:right w:val="none" w:sz="0" w:space="0" w:color="auto"/>
      </w:divBdr>
    </w:div>
    <w:div w:id="590086947">
      <w:bodyDiv w:val="1"/>
      <w:marLeft w:val="0"/>
      <w:marRight w:val="0"/>
      <w:marTop w:val="0"/>
      <w:marBottom w:val="0"/>
      <w:divBdr>
        <w:top w:val="none" w:sz="0" w:space="0" w:color="auto"/>
        <w:left w:val="none" w:sz="0" w:space="0" w:color="auto"/>
        <w:bottom w:val="none" w:sz="0" w:space="0" w:color="auto"/>
        <w:right w:val="none" w:sz="0" w:space="0" w:color="auto"/>
      </w:divBdr>
    </w:div>
    <w:div w:id="599096490">
      <w:bodyDiv w:val="1"/>
      <w:marLeft w:val="0"/>
      <w:marRight w:val="0"/>
      <w:marTop w:val="0"/>
      <w:marBottom w:val="0"/>
      <w:divBdr>
        <w:top w:val="none" w:sz="0" w:space="0" w:color="auto"/>
        <w:left w:val="none" w:sz="0" w:space="0" w:color="auto"/>
        <w:bottom w:val="none" w:sz="0" w:space="0" w:color="auto"/>
        <w:right w:val="none" w:sz="0" w:space="0" w:color="auto"/>
      </w:divBdr>
    </w:div>
    <w:div w:id="600723199">
      <w:bodyDiv w:val="1"/>
      <w:marLeft w:val="0"/>
      <w:marRight w:val="0"/>
      <w:marTop w:val="0"/>
      <w:marBottom w:val="0"/>
      <w:divBdr>
        <w:top w:val="none" w:sz="0" w:space="0" w:color="auto"/>
        <w:left w:val="none" w:sz="0" w:space="0" w:color="auto"/>
        <w:bottom w:val="none" w:sz="0" w:space="0" w:color="auto"/>
        <w:right w:val="none" w:sz="0" w:space="0" w:color="auto"/>
      </w:divBdr>
    </w:div>
    <w:div w:id="615067891">
      <w:bodyDiv w:val="1"/>
      <w:marLeft w:val="0"/>
      <w:marRight w:val="0"/>
      <w:marTop w:val="0"/>
      <w:marBottom w:val="0"/>
      <w:divBdr>
        <w:top w:val="none" w:sz="0" w:space="0" w:color="auto"/>
        <w:left w:val="none" w:sz="0" w:space="0" w:color="auto"/>
        <w:bottom w:val="none" w:sz="0" w:space="0" w:color="auto"/>
        <w:right w:val="none" w:sz="0" w:space="0" w:color="auto"/>
      </w:divBdr>
    </w:div>
    <w:div w:id="676157042">
      <w:bodyDiv w:val="1"/>
      <w:marLeft w:val="0"/>
      <w:marRight w:val="0"/>
      <w:marTop w:val="0"/>
      <w:marBottom w:val="0"/>
      <w:divBdr>
        <w:top w:val="none" w:sz="0" w:space="0" w:color="auto"/>
        <w:left w:val="none" w:sz="0" w:space="0" w:color="auto"/>
        <w:bottom w:val="none" w:sz="0" w:space="0" w:color="auto"/>
        <w:right w:val="none" w:sz="0" w:space="0" w:color="auto"/>
      </w:divBdr>
    </w:div>
    <w:div w:id="679087209">
      <w:bodyDiv w:val="1"/>
      <w:marLeft w:val="0"/>
      <w:marRight w:val="0"/>
      <w:marTop w:val="0"/>
      <w:marBottom w:val="0"/>
      <w:divBdr>
        <w:top w:val="none" w:sz="0" w:space="0" w:color="auto"/>
        <w:left w:val="none" w:sz="0" w:space="0" w:color="auto"/>
        <w:bottom w:val="none" w:sz="0" w:space="0" w:color="auto"/>
        <w:right w:val="none" w:sz="0" w:space="0" w:color="auto"/>
      </w:divBdr>
    </w:div>
    <w:div w:id="709837255">
      <w:bodyDiv w:val="1"/>
      <w:marLeft w:val="0"/>
      <w:marRight w:val="0"/>
      <w:marTop w:val="0"/>
      <w:marBottom w:val="0"/>
      <w:divBdr>
        <w:top w:val="none" w:sz="0" w:space="0" w:color="auto"/>
        <w:left w:val="none" w:sz="0" w:space="0" w:color="auto"/>
        <w:bottom w:val="none" w:sz="0" w:space="0" w:color="auto"/>
        <w:right w:val="none" w:sz="0" w:space="0" w:color="auto"/>
      </w:divBdr>
    </w:div>
    <w:div w:id="759448198">
      <w:bodyDiv w:val="1"/>
      <w:marLeft w:val="0"/>
      <w:marRight w:val="0"/>
      <w:marTop w:val="0"/>
      <w:marBottom w:val="0"/>
      <w:divBdr>
        <w:top w:val="none" w:sz="0" w:space="0" w:color="auto"/>
        <w:left w:val="none" w:sz="0" w:space="0" w:color="auto"/>
        <w:bottom w:val="none" w:sz="0" w:space="0" w:color="auto"/>
        <w:right w:val="none" w:sz="0" w:space="0" w:color="auto"/>
      </w:divBdr>
    </w:div>
    <w:div w:id="852457130">
      <w:bodyDiv w:val="1"/>
      <w:marLeft w:val="0"/>
      <w:marRight w:val="0"/>
      <w:marTop w:val="0"/>
      <w:marBottom w:val="0"/>
      <w:divBdr>
        <w:top w:val="none" w:sz="0" w:space="0" w:color="auto"/>
        <w:left w:val="none" w:sz="0" w:space="0" w:color="auto"/>
        <w:bottom w:val="none" w:sz="0" w:space="0" w:color="auto"/>
        <w:right w:val="none" w:sz="0" w:space="0" w:color="auto"/>
      </w:divBdr>
    </w:div>
    <w:div w:id="856306717">
      <w:bodyDiv w:val="1"/>
      <w:marLeft w:val="0"/>
      <w:marRight w:val="0"/>
      <w:marTop w:val="0"/>
      <w:marBottom w:val="0"/>
      <w:divBdr>
        <w:top w:val="none" w:sz="0" w:space="0" w:color="auto"/>
        <w:left w:val="none" w:sz="0" w:space="0" w:color="auto"/>
        <w:bottom w:val="none" w:sz="0" w:space="0" w:color="auto"/>
        <w:right w:val="none" w:sz="0" w:space="0" w:color="auto"/>
      </w:divBdr>
    </w:div>
    <w:div w:id="867765973">
      <w:bodyDiv w:val="1"/>
      <w:marLeft w:val="0"/>
      <w:marRight w:val="0"/>
      <w:marTop w:val="0"/>
      <w:marBottom w:val="0"/>
      <w:divBdr>
        <w:top w:val="none" w:sz="0" w:space="0" w:color="auto"/>
        <w:left w:val="none" w:sz="0" w:space="0" w:color="auto"/>
        <w:bottom w:val="none" w:sz="0" w:space="0" w:color="auto"/>
        <w:right w:val="none" w:sz="0" w:space="0" w:color="auto"/>
      </w:divBdr>
    </w:div>
    <w:div w:id="877662379">
      <w:bodyDiv w:val="1"/>
      <w:marLeft w:val="0"/>
      <w:marRight w:val="0"/>
      <w:marTop w:val="0"/>
      <w:marBottom w:val="0"/>
      <w:divBdr>
        <w:top w:val="none" w:sz="0" w:space="0" w:color="auto"/>
        <w:left w:val="none" w:sz="0" w:space="0" w:color="auto"/>
        <w:bottom w:val="none" w:sz="0" w:space="0" w:color="auto"/>
        <w:right w:val="none" w:sz="0" w:space="0" w:color="auto"/>
      </w:divBdr>
    </w:div>
    <w:div w:id="890459221">
      <w:bodyDiv w:val="1"/>
      <w:marLeft w:val="0"/>
      <w:marRight w:val="0"/>
      <w:marTop w:val="0"/>
      <w:marBottom w:val="0"/>
      <w:divBdr>
        <w:top w:val="none" w:sz="0" w:space="0" w:color="auto"/>
        <w:left w:val="none" w:sz="0" w:space="0" w:color="auto"/>
        <w:bottom w:val="none" w:sz="0" w:space="0" w:color="auto"/>
        <w:right w:val="none" w:sz="0" w:space="0" w:color="auto"/>
      </w:divBdr>
    </w:div>
    <w:div w:id="898902683">
      <w:bodyDiv w:val="1"/>
      <w:marLeft w:val="0"/>
      <w:marRight w:val="0"/>
      <w:marTop w:val="0"/>
      <w:marBottom w:val="0"/>
      <w:divBdr>
        <w:top w:val="none" w:sz="0" w:space="0" w:color="auto"/>
        <w:left w:val="none" w:sz="0" w:space="0" w:color="auto"/>
        <w:bottom w:val="none" w:sz="0" w:space="0" w:color="auto"/>
        <w:right w:val="none" w:sz="0" w:space="0" w:color="auto"/>
      </w:divBdr>
    </w:div>
    <w:div w:id="917250338">
      <w:bodyDiv w:val="1"/>
      <w:marLeft w:val="0"/>
      <w:marRight w:val="0"/>
      <w:marTop w:val="0"/>
      <w:marBottom w:val="0"/>
      <w:divBdr>
        <w:top w:val="none" w:sz="0" w:space="0" w:color="auto"/>
        <w:left w:val="none" w:sz="0" w:space="0" w:color="auto"/>
        <w:bottom w:val="none" w:sz="0" w:space="0" w:color="auto"/>
        <w:right w:val="none" w:sz="0" w:space="0" w:color="auto"/>
      </w:divBdr>
    </w:div>
    <w:div w:id="939333162">
      <w:bodyDiv w:val="1"/>
      <w:marLeft w:val="0"/>
      <w:marRight w:val="0"/>
      <w:marTop w:val="0"/>
      <w:marBottom w:val="0"/>
      <w:divBdr>
        <w:top w:val="none" w:sz="0" w:space="0" w:color="auto"/>
        <w:left w:val="none" w:sz="0" w:space="0" w:color="auto"/>
        <w:bottom w:val="none" w:sz="0" w:space="0" w:color="auto"/>
        <w:right w:val="none" w:sz="0" w:space="0" w:color="auto"/>
      </w:divBdr>
    </w:div>
    <w:div w:id="1025835676">
      <w:bodyDiv w:val="1"/>
      <w:marLeft w:val="0"/>
      <w:marRight w:val="0"/>
      <w:marTop w:val="0"/>
      <w:marBottom w:val="0"/>
      <w:divBdr>
        <w:top w:val="none" w:sz="0" w:space="0" w:color="auto"/>
        <w:left w:val="none" w:sz="0" w:space="0" w:color="auto"/>
        <w:bottom w:val="none" w:sz="0" w:space="0" w:color="auto"/>
        <w:right w:val="none" w:sz="0" w:space="0" w:color="auto"/>
      </w:divBdr>
    </w:div>
    <w:div w:id="1040785239">
      <w:bodyDiv w:val="1"/>
      <w:marLeft w:val="0"/>
      <w:marRight w:val="0"/>
      <w:marTop w:val="0"/>
      <w:marBottom w:val="0"/>
      <w:divBdr>
        <w:top w:val="none" w:sz="0" w:space="0" w:color="auto"/>
        <w:left w:val="none" w:sz="0" w:space="0" w:color="auto"/>
        <w:bottom w:val="none" w:sz="0" w:space="0" w:color="auto"/>
        <w:right w:val="none" w:sz="0" w:space="0" w:color="auto"/>
      </w:divBdr>
    </w:div>
    <w:div w:id="1046949532">
      <w:bodyDiv w:val="1"/>
      <w:marLeft w:val="0"/>
      <w:marRight w:val="0"/>
      <w:marTop w:val="0"/>
      <w:marBottom w:val="0"/>
      <w:divBdr>
        <w:top w:val="none" w:sz="0" w:space="0" w:color="auto"/>
        <w:left w:val="none" w:sz="0" w:space="0" w:color="auto"/>
        <w:bottom w:val="none" w:sz="0" w:space="0" w:color="auto"/>
        <w:right w:val="none" w:sz="0" w:space="0" w:color="auto"/>
      </w:divBdr>
    </w:div>
    <w:div w:id="1049959525">
      <w:bodyDiv w:val="1"/>
      <w:marLeft w:val="0"/>
      <w:marRight w:val="0"/>
      <w:marTop w:val="0"/>
      <w:marBottom w:val="0"/>
      <w:divBdr>
        <w:top w:val="none" w:sz="0" w:space="0" w:color="auto"/>
        <w:left w:val="none" w:sz="0" w:space="0" w:color="auto"/>
        <w:bottom w:val="none" w:sz="0" w:space="0" w:color="auto"/>
        <w:right w:val="none" w:sz="0" w:space="0" w:color="auto"/>
      </w:divBdr>
    </w:div>
    <w:div w:id="1063719022">
      <w:bodyDiv w:val="1"/>
      <w:marLeft w:val="0"/>
      <w:marRight w:val="0"/>
      <w:marTop w:val="0"/>
      <w:marBottom w:val="0"/>
      <w:divBdr>
        <w:top w:val="none" w:sz="0" w:space="0" w:color="auto"/>
        <w:left w:val="none" w:sz="0" w:space="0" w:color="auto"/>
        <w:bottom w:val="none" w:sz="0" w:space="0" w:color="auto"/>
        <w:right w:val="none" w:sz="0" w:space="0" w:color="auto"/>
      </w:divBdr>
    </w:div>
    <w:div w:id="1071654882">
      <w:bodyDiv w:val="1"/>
      <w:marLeft w:val="0"/>
      <w:marRight w:val="0"/>
      <w:marTop w:val="0"/>
      <w:marBottom w:val="0"/>
      <w:divBdr>
        <w:top w:val="none" w:sz="0" w:space="0" w:color="auto"/>
        <w:left w:val="none" w:sz="0" w:space="0" w:color="auto"/>
        <w:bottom w:val="none" w:sz="0" w:space="0" w:color="auto"/>
        <w:right w:val="none" w:sz="0" w:space="0" w:color="auto"/>
      </w:divBdr>
    </w:div>
    <w:div w:id="1089498489">
      <w:bodyDiv w:val="1"/>
      <w:marLeft w:val="0"/>
      <w:marRight w:val="0"/>
      <w:marTop w:val="0"/>
      <w:marBottom w:val="0"/>
      <w:divBdr>
        <w:top w:val="none" w:sz="0" w:space="0" w:color="auto"/>
        <w:left w:val="none" w:sz="0" w:space="0" w:color="auto"/>
        <w:bottom w:val="none" w:sz="0" w:space="0" w:color="auto"/>
        <w:right w:val="none" w:sz="0" w:space="0" w:color="auto"/>
      </w:divBdr>
    </w:div>
    <w:div w:id="1092117712">
      <w:bodyDiv w:val="1"/>
      <w:marLeft w:val="0"/>
      <w:marRight w:val="0"/>
      <w:marTop w:val="0"/>
      <w:marBottom w:val="0"/>
      <w:divBdr>
        <w:top w:val="none" w:sz="0" w:space="0" w:color="auto"/>
        <w:left w:val="none" w:sz="0" w:space="0" w:color="auto"/>
        <w:bottom w:val="none" w:sz="0" w:space="0" w:color="auto"/>
        <w:right w:val="none" w:sz="0" w:space="0" w:color="auto"/>
      </w:divBdr>
    </w:div>
    <w:div w:id="1094863324">
      <w:bodyDiv w:val="1"/>
      <w:marLeft w:val="0"/>
      <w:marRight w:val="0"/>
      <w:marTop w:val="0"/>
      <w:marBottom w:val="0"/>
      <w:divBdr>
        <w:top w:val="none" w:sz="0" w:space="0" w:color="auto"/>
        <w:left w:val="none" w:sz="0" w:space="0" w:color="auto"/>
        <w:bottom w:val="none" w:sz="0" w:space="0" w:color="auto"/>
        <w:right w:val="none" w:sz="0" w:space="0" w:color="auto"/>
      </w:divBdr>
    </w:div>
    <w:div w:id="1119254656">
      <w:bodyDiv w:val="1"/>
      <w:marLeft w:val="0"/>
      <w:marRight w:val="0"/>
      <w:marTop w:val="0"/>
      <w:marBottom w:val="0"/>
      <w:divBdr>
        <w:top w:val="none" w:sz="0" w:space="0" w:color="auto"/>
        <w:left w:val="none" w:sz="0" w:space="0" w:color="auto"/>
        <w:bottom w:val="none" w:sz="0" w:space="0" w:color="auto"/>
        <w:right w:val="none" w:sz="0" w:space="0" w:color="auto"/>
      </w:divBdr>
    </w:div>
    <w:div w:id="1126509377">
      <w:bodyDiv w:val="1"/>
      <w:marLeft w:val="0"/>
      <w:marRight w:val="0"/>
      <w:marTop w:val="0"/>
      <w:marBottom w:val="0"/>
      <w:divBdr>
        <w:top w:val="none" w:sz="0" w:space="0" w:color="auto"/>
        <w:left w:val="none" w:sz="0" w:space="0" w:color="auto"/>
        <w:bottom w:val="none" w:sz="0" w:space="0" w:color="auto"/>
        <w:right w:val="none" w:sz="0" w:space="0" w:color="auto"/>
      </w:divBdr>
    </w:div>
    <w:div w:id="1140460505">
      <w:bodyDiv w:val="1"/>
      <w:marLeft w:val="0"/>
      <w:marRight w:val="0"/>
      <w:marTop w:val="0"/>
      <w:marBottom w:val="0"/>
      <w:divBdr>
        <w:top w:val="none" w:sz="0" w:space="0" w:color="auto"/>
        <w:left w:val="none" w:sz="0" w:space="0" w:color="auto"/>
        <w:bottom w:val="none" w:sz="0" w:space="0" w:color="auto"/>
        <w:right w:val="none" w:sz="0" w:space="0" w:color="auto"/>
      </w:divBdr>
    </w:div>
    <w:div w:id="1151870218">
      <w:bodyDiv w:val="1"/>
      <w:marLeft w:val="0"/>
      <w:marRight w:val="0"/>
      <w:marTop w:val="0"/>
      <w:marBottom w:val="0"/>
      <w:divBdr>
        <w:top w:val="none" w:sz="0" w:space="0" w:color="auto"/>
        <w:left w:val="none" w:sz="0" w:space="0" w:color="auto"/>
        <w:bottom w:val="none" w:sz="0" w:space="0" w:color="auto"/>
        <w:right w:val="none" w:sz="0" w:space="0" w:color="auto"/>
      </w:divBdr>
    </w:div>
    <w:div w:id="1162696076">
      <w:bodyDiv w:val="1"/>
      <w:marLeft w:val="0"/>
      <w:marRight w:val="0"/>
      <w:marTop w:val="0"/>
      <w:marBottom w:val="0"/>
      <w:divBdr>
        <w:top w:val="none" w:sz="0" w:space="0" w:color="auto"/>
        <w:left w:val="none" w:sz="0" w:space="0" w:color="auto"/>
        <w:bottom w:val="none" w:sz="0" w:space="0" w:color="auto"/>
        <w:right w:val="none" w:sz="0" w:space="0" w:color="auto"/>
      </w:divBdr>
    </w:div>
    <w:div w:id="1186404545">
      <w:bodyDiv w:val="1"/>
      <w:marLeft w:val="0"/>
      <w:marRight w:val="0"/>
      <w:marTop w:val="0"/>
      <w:marBottom w:val="0"/>
      <w:divBdr>
        <w:top w:val="none" w:sz="0" w:space="0" w:color="auto"/>
        <w:left w:val="none" w:sz="0" w:space="0" w:color="auto"/>
        <w:bottom w:val="none" w:sz="0" w:space="0" w:color="auto"/>
        <w:right w:val="none" w:sz="0" w:space="0" w:color="auto"/>
      </w:divBdr>
    </w:div>
    <w:div w:id="1209800347">
      <w:bodyDiv w:val="1"/>
      <w:marLeft w:val="0"/>
      <w:marRight w:val="0"/>
      <w:marTop w:val="0"/>
      <w:marBottom w:val="0"/>
      <w:divBdr>
        <w:top w:val="none" w:sz="0" w:space="0" w:color="auto"/>
        <w:left w:val="none" w:sz="0" w:space="0" w:color="auto"/>
        <w:bottom w:val="none" w:sz="0" w:space="0" w:color="auto"/>
        <w:right w:val="none" w:sz="0" w:space="0" w:color="auto"/>
      </w:divBdr>
    </w:div>
    <w:div w:id="1225725416">
      <w:bodyDiv w:val="1"/>
      <w:marLeft w:val="0"/>
      <w:marRight w:val="0"/>
      <w:marTop w:val="0"/>
      <w:marBottom w:val="0"/>
      <w:divBdr>
        <w:top w:val="none" w:sz="0" w:space="0" w:color="auto"/>
        <w:left w:val="none" w:sz="0" w:space="0" w:color="auto"/>
        <w:bottom w:val="none" w:sz="0" w:space="0" w:color="auto"/>
        <w:right w:val="none" w:sz="0" w:space="0" w:color="auto"/>
      </w:divBdr>
    </w:div>
    <w:div w:id="1255360116">
      <w:bodyDiv w:val="1"/>
      <w:marLeft w:val="0"/>
      <w:marRight w:val="0"/>
      <w:marTop w:val="0"/>
      <w:marBottom w:val="0"/>
      <w:divBdr>
        <w:top w:val="none" w:sz="0" w:space="0" w:color="auto"/>
        <w:left w:val="none" w:sz="0" w:space="0" w:color="auto"/>
        <w:bottom w:val="none" w:sz="0" w:space="0" w:color="auto"/>
        <w:right w:val="none" w:sz="0" w:space="0" w:color="auto"/>
      </w:divBdr>
    </w:div>
    <w:div w:id="1259101436">
      <w:bodyDiv w:val="1"/>
      <w:marLeft w:val="0"/>
      <w:marRight w:val="0"/>
      <w:marTop w:val="0"/>
      <w:marBottom w:val="0"/>
      <w:divBdr>
        <w:top w:val="none" w:sz="0" w:space="0" w:color="auto"/>
        <w:left w:val="none" w:sz="0" w:space="0" w:color="auto"/>
        <w:bottom w:val="none" w:sz="0" w:space="0" w:color="auto"/>
        <w:right w:val="none" w:sz="0" w:space="0" w:color="auto"/>
      </w:divBdr>
    </w:div>
    <w:div w:id="1289892513">
      <w:bodyDiv w:val="1"/>
      <w:marLeft w:val="0"/>
      <w:marRight w:val="0"/>
      <w:marTop w:val="0"/>
      <w:marBottom w:val="0"/>
      <w:divBdr>
        <w:top w:val="none" w:sz="0" w:space="0" w:color="auto"/>
        <w:left w:val="none" w:sz="0" w:space="0" w:color="auto"/>
        <w:bottom w:val="none" w:sz="0" w:space="0" w:color="auto"/>
        <w:right w:val="none" w:sz="0" w:space="0" w:color="auto"/>
      </w:divBdr>
    </w:div>
    <w:div w:id="1294017662">
      <w:bodyDiv w:val="1"/>
      <w:marLeft w:val="0"/>
      <w:marRight w:val="0"/>
      <w:marTop w:val="0"/>
      <w:marBottom w:val="0"/>
      <w:divBdr>
        <w:top w:val="none" w:sz="0" w:space="0" w:color="auto"/>
        <w:left w:val="none" w:sz="0" w:space="0" w:color="auto"/>
        <w:bottom w:val="none" w:sz="0" w:space="0" w:color="auto"/>
        <w:right w:val="none" w:sz="0" w:space="0" w:color="auto"/>
      </w:divBdr>
    </w:div>
    <w:div w:id="1294024547">
      <w:bodyDiv w:val="1"/>
      <w:marLeft w:val="0"/>
      <w:marRight w:val="0"/>
      <w:marTop w:val="0"/>
      <w:marBottom w:val="0"/>
      <w:divBdr>
        <w:top w:val="none" w:sz="0" w:space="0" w:color="auto"/>
        <w:left w:val="none" w:sz="0" w:space="0" w:color="auto"/>
        <w:bottom w:val="none" w:sz="0" w:space="0" w:color="auto"/>
        <w:right w:val="none" w:sz="0" w:space="0" w:color="auto"/>
      </w:divBdr>
    </w:div>
    <w:div w:id="1304653653">
      <w:bodyDiv w:val="1"/>
      <w:marLeft w:val="0"/>
      <w:marRight w:val="0"/>
      <w:marTop w:val="0"/>
      <w:marBottom w:val="0"/>
      <w:divBdr>
        <w:top w:val="none" w:sz="0" w:space="0" w:color="auto"/>
        <w:left w:val="none" w:sz="0" w:space="0" w:color="auto"/>
        <w:bottom w:val="none" w:sz="0" w:space="0" w:color="auto"/>
        <w:right w:val="none" w:sz="0" w:space="0" w:color="auto"/>
      </w:divBdr>
    </w:div>
    <w:div w:id="1307468557">
      <w:bodyDiv w:val="1"/>
      <w:marLeft w:val="0"/>
      <w:marRight w:val="0"/>
      <w:marTop w:val="0"/>
      <w:marBottom w:val="0"/>
      <w:divBdr>
        <w:top w:val="none" w:sz="0" w:space="0" w:color="auto"/>
        <w:left w:val="none" w:sz="0" w:space="0" w:color="auto"/>
        <w:bottom w:val="none" w:sz="0" w:space="0" w:color="auto"/>
        <w:right w:val="none" w:sz="0" w:space="0" w:color="auto"/>
      </w:divBdr>
    </w:div>
    <w:div w:id="1319267241">
      <w:bodyDiv w:val="1"/>
      <w:marLeft w:val="0"/>
      <w:marRight w:val="0"/>
      <w:marTop w:val="0"/>
      <w:marBottom w:val="0"/>
      <w:divBdr>
        <w:top w:val="none" w:sz="0" w:space="0" w:color="auto"/>
        <w:left w:val="none" w:sz="0" w:space="0" w:color="auto"/>
        <w:bottom w:val="none" w:sz="0" w:space="0" w:color="auto"/>
        <w:right w:val="none" w:sz="0" w:space="0" w:color="auto"/>
      </w:divBdr>
    </w:div>
    <w:div w:id="1322079898">
      <w:bodyDiv w:val="1"/>
      <w:marLeft w:val="0"/>
      <w:marRight w:val="0"/>
      <w:marTop w:val="0"/>
      <w:marBottom w:val="0"/>
      <w:divBdr>
        <w:top w:val="none" w:sz="0" w:space="0" w:color="auto"/>
        <w:left w:val="none" w:sz="0" w:space="0" w:color="auto"/>
        <w:bottom w:val="none" w:sz="0" w:space="0" w:color="auto"/>
        <w:right w:val="none" w:sz="0" w:space="0" w:color="auto"/>
      </w:divBdr>
    </w:div>
    <w:div w:id="1324042040">
      <w:bodyDiv w:val="1"/>
      <w:marLeft w:val="0"/>
      <w:marRight w:val="0"/>
      <w:marTop w:val="0"/>
      <w:marBottom w:val="0"/>
      <w:divBdr>
        <w:top w:val="none" w:sz="0" w:space="0" w:color="auto"/>
        <w:left w:val="none" w:sz="0" w:space="0" w:color="auto"/>
        <w:bottom w:val="none" w:sz="0" w:space="0" w:color="auto"/>
        <w:right w:val="none" w:sz="0" w:space="0" w:color="auto"/>
      </w:divBdr>
    </w:div>
    <w:div w:id="1328435583">
      <w:bodyDiv w:val="1"/>
      <w:marLeft w:val="0"/>
      <w:marRight w:val="0"/>
      <w:marTop w:val="0"/>
      <w:marBottom w:val="0"/>
      <w:divBdr>
        <w:top w:val="none" w:sz="0" w:space="0" w:color="auto"/>
        <w:left w:val="none" w:sz="0" w:space="0" w:color="auto"/>
        <w:bottom w:val="none" w:sz="0" w:space="0" w:color="auto"/>
        <w:right w:val="none" w:sz="0" w:space="0" w:color="auto"/>
      </w:divBdr>
    </w:div>
    <w:div w:id="1368334038">
      <w:bodyDiv w:val="1"/>
      <w:marLeft w:val="0"/>
      <w:marRight w:val="0"/>
      <w:marTop w:val="0"/>
      <w:marBottom w:val="0"/>
      <w:divBdr>
        <w:top w:val="none" w:sz="0" w:space="0" w:color="auto"/>
        <w:left w:val="none" w:sz="0" w:space="0" w:color="auto"/>
        <w:bottom w:val="none" w:sz="0" w:space="0" w:color="auto"/>
        <w:right w:val="none" w:sz="0" w:space="0" w:color="auto"/>
      </w:divBdr>
    </w:div>
    <w:div w:id="1377972451">
      <w:bodyDiv w:val="1"/>
      <w:marLeft w:val="0"/>
      <w:marRight w:val="0"/>
      <w:marTop w:val="0"/>
      <w:marBottom w:val="0"/>
      <w:divBdr>
        <w:top w:val="none" w:sz="0" w:space="0" w:color="auto"/>
        <w:left w:val="none" w:sz="0" w:space="0" w:color="auto"/>
        <w:bottom w:val="none" w:sz="0" w:space="0" w:color="auto"/>
        <w:right w:val="none" w:sz="0" w:space="0" w:color="auto"/>
      </w:divBdr>
    </w:div>
    <w:div w:id="1438480233">
      <w:bodyDiv w:val="1"/>
      <w:marLeft w:val="0"/>
      <w:marRight w:val="0"/>
      <w:marTop w:val="0"/>
      <w:marBottom w:val="0"/>
      <w:divBdr>
        <w:top w:val="none" w:sz="0" w:space="0" w:color="auto"/>
        <w:left w:val="none" w:sz="0" w:space="0" w:color="auto"/>
        <w:bottom w:val="none" w:sz="0" w:space="0" w:color="auto"/>
        <w:right w:val="none" w:sz="0" w:space="0" w:color="auto"/>
      </w:divBdr>
    </w:div>
    <w:div w:id="1441990809">
      <w:bodyDiv w:val="1"/>
      <w:marLeft w:val="0"/>
      <w:marRight w:val="0"/>
      <w:marTop w:val="0"/>
      <w:marBottom w:val="0"/>
      <w:divBdr>
        <w:top w:val="none" w:sz="0" w:space="0" w:color="auto"/>
        <w:left w:val="none" w:sz="0" w:space="0" w:color="auto"/>
        <w:bottom w:val="none" w:sz="0" w:space="0" w:color="auto"/>
        <w:right w:val="none" w:sz="0" w:space="0" w:color="auto"/>
      </w:divBdr>
    </w:div>
    <w:div w:id="1448506792">
      <w:bodyDiv w:val="1"/>
      <w:marLeft w:val="0"/>
      <w:marRight w:val="0"/>
      <w:marTop w:val="0"/>
      <w:marBottom w:val="0"/>
      <w:divBdr>
        <w:top w:val="none" w:sz="0" w:space="0" w:color="auto"/>
        <w:left w:val="none" w:sz="0" w:space="0" w:color="auto"/>
        <w:bottom w:val="none" w:sz="0" w:space="0" w:color="auto"/>
        <w:right w:val="none" w:sz="0" w:space="0" w:color="auto"/>
      </w:divBdr>
    </w:div>
    <w:div w:id="1455294279">
      <w:bodyDiv w:val="1"/>
      <w:marLeft w:val="0"/>
      <w:marRight w:val="0"/>
      <w:marTop w:val="0"/>
      <w:marBottom w:val="0"/>
      <w:divBdr>
        <w:top w:val="none" w:sz="0" w:space="0" w:color="auto"/>
        <w:left w:val="none" w:sz="0" w:space="0" w:color="auto"/>
        <w:bottom w:val="none" w:sz="0" w:space="0" w:color="auto"/>
        <w:right w:val="none" w:sz="0" w:space="0" w:color="auto"/>
      </w:divBdr>
    </w:div>
    <w:div w:id="1504197803">
      <w:bodyDiv w:val="1"/>
      <w:marLeft w:val="0"/>
      <w:marRight w:val="0"/>
      <w:marTop w:val="0"/>
      <w:marBottom w:val="0"/>
      <w:divBdr>
        <w:top w:val="none" w:sz="0" w:space="0" w:color="auto"/>
        <w:left w:val="none" w:sz="0" w:space="0" w:color="auto"/>
        <w:bottom w:val="none" w:sz="0" w:space="0" w:color="auto"/>
        <w:right w:val="none" w:sz="0" w:space="0" w:color="auto"/>
      </w:divBdr>
    </w:div>
    <w:div w:id="1521627118">
      <w:bodyDiv w:val="1"/>
      <w:marLeft w:val="0"/>
      <w:marRight w:val="0"/>
      <w:marTop w:val="0"/>
      <w:marBottom w:val="0"/>
      <w:divBdr>
        <w:top w:val="none" w:sz="0" w:space="0" w:color="auto"/>
        <w:left w:val="none" w:sz="0" w:space="0" w:color="auto"/>
        <w:bottom w:val="none" w:sz="0" w:space="0" w:color="auto"/>
        <w:right w:val="none" w:sz="0" w:space="0" w:color="auto"/>
      </w:divBdr>
    </w:div>
    <w:div w:id="1565024341">
      <w:bodyDiv w:val="1"/>
      <w:marLeft w:val="0"/>
      <w:marRight w:val="0"/>
      <w:marTop w:val="0"/>
      <w:marBottom w:val="0"/>
      <w:divBdr>
        <w:top w:val="none" w:sz="0" w:space="0" w:color="auto"/>
        <w:left w:val="none" w:sz="0" w:space="0" w:color="auto"/>
        <w:bottom w:val="none" w:sz="0" w:space="0" w:color="auto"/>
        <w:right w:val="none" w:sz="0" w:space="0" w:color="auto"/>
      </w:divBdr>
    </w:div>
    <w:div w:id="1594052398">
      <w:bodyDiv w:val="1"/>
      <w:marLeft w:val="0"/>
      <w:marRight w:val="0"/>
      <w:marTop w:val="0"/>
      <w:marBottom w:val="0"/>
      <w:divBdr>
        <w:top w:val="none" w:sz="0" w:space="0" w:color="auto"/>
        <w:left w:val="none" w:sz="0" w:space="0" w:color="auto"/>
        <w:bottom w:val="none" w:sz="0" w:space="0" w:color="auto"/>
        <w:right w:val="none" w:sz="0" w:space="0" w:color="auto"/>
      </w:divBdr>
    </w:div>
    <w:div w:id="1597596933">
      <w:bodyDiv w:val="1"/>
      <w:marLeft w:val="0"/>
      <w:marRight w:val="0"/>
      <w:marTop w:val="0"/>
      <w:marBottom w:val="0"/>
      <w:divBdr>
        <w:top w:val="none" w:sz="0" w:space="0" w:color="auto"/>
        <w:left w:val="none" w:sz="0" w:space="0" w:color="auto"/>
        <w:bottom w:val="none" w:sz="0" w:space="0" w:color="auto"/>
        <w:right w:val="none" w:sz="0" w:space="0" w:color="auto"/>
      </w:divBdr>
    </w:div>
    <w:div w:id="1610312743">
      <w:bodyDiv w:val="1"/>
      <w:marLeft w:val="0"/>
      <w:marRight w:val="0"/>
      <w:marTop w:val="0"/>
      <w:marBottom w:val="0"/>
      <w:divBdr>
        <w:top w:val="none" w:sz="0" w:space="0" w:color="auto"/>
        <w:left w:val="none" w:sz="0" w:space="0" w:color="auto"/>
        <w:bottom w:val="none" w:sz="0" w:space="0" w:color="auto"/>
        <w:right w:val="none" w:sz="0" w:space="0" w:color="auto"/>
      </w:divBdr>
    </w:div>
    <w:div w:id="1616214817">
      <w:bodyDiv w:val="1"/>
      <w:marLeft w:val="0"/>
      <w:marRight w:val="0"/>
      <w:marTop w:val="0"/>
      <w:marBottom w:val="0"/>
      <w:divBdr>
        <w:top w:val="none" w:sz="0" w:space="0" w:color="auto"/>
        <w:left w:val="none" w:sz="0" w:space="0" w:color="auto"/>
        <w:bottom w:val="none" w:sz="0" w:space="0" w:color="auto"/>
        <w:right w:val="none" w:sz="0" w:space="0" w:color="auto"/>
      </w:divBdr>
    </w:div>
    <w:div w:id="1639333518">
      <w:bodyDiv w:val="1"/>
      <w:marLeft w:val="0"/>
      <w:marRight w:val="0"/>
      <w:marTop w:val="0"/>
      <w:marBottom w:val="0"/>
      <w:divBdr>
        <w:top w:val="none" w:sz="0" w:space="0" w:color="auto"/>
        <w:left w:val="none" w:sz="0" w:space="0" w:color="auto"/>
        <w:bottom w:val="none" w:sz="0" w:space="0" w:color="auto"/>
        <w:right w:val="none" w:sz="0" w:space="0" w:color="auto"/>
      </w:divBdr>
    </w:div>
    <w:div w:id="1657949747">
      <w:bodyDiv w:val="1"/>
      <w:marLeft w:val="0"/>
      <w:marRight w:val="0"/>
      <w:marTop w:val="0"/>
      <w:marBottom w:val="0"/>
      <w:divBdr>
        <w:top w:val="none" w:sz="0" w:space="0" w:color="auto"/>
        <w:left w:val="none" w:sz="0" w:space="0" w:color="auto"/>
        <w:bottom w:val="none" w:sz="0" w:space="0" w:color="auto"/>
        <w:right w:val="none" w:sz="0" w:space="0" w:color="auto"/>
      </w:divBdr>
    </w:div>
    <w:div w:id="1660378819">
      <w:bodyDiv w:val="1"/>
      <w:marLeft w:val="0"/>
      <w:marRight w:val="0"/>
      <w:marTop w:val="0"/>
      <w:marBottom w:val="0"/>
      <w:divBdr>
        <w:top w:val="none" w:sz="0" w:space="0" w:color="auto"/>
        <w:left w:val="none" w:sz="0" w:space="0" w:color="auto"/>
        <w:bottom w:val="none" w:sz="0" w:space="0" w:color="auto"/>
        <w:right w:val="none" w:sz="0" w:space="0" w:color="auto"/>
      </w:divBdr>
    </w:div>
    <w:div w:id="1669093435">
      <w:bodyDiv w:val="1"/>
      <w:marLeft w:val="0"/>
      <w:marRight w:val="0"/>
      <w:marTop w:val="0"/>
      <w:marBottom w:val="0"/>
      <w:divBdr>
        <w:top w:val="none" w:sz="0" w:space="0" w:color="auto"/>
        <w:left w:val="none" w:sz="0" w:space="0" w:color="auto"/>
        <w:bottom w:val="none" w:sz="0" w:space="0" w:color="auto"/>
        <w:right w:val="none" w:sz="0" w:space="0" w:color="auto"/>
      </w:divBdr>
    </w:div>
    <w:div w:id="1674607879">
      <w:bodyDiv w:val="1"/>
      <w:marLeft w:val="0"/>
      <w:marRight w:val="0"/>
      <w:marTop w:val="0"/>
      <w:marBottom w:val="0"/>
      <w:divBdr>
        <w:top w:val="none" w:sz="0" w:space="0" w:color="auto"/>
        <w:left w:val="none" w:sz="0" w:space="0" w:color="auto"/>
        <w:bottom w:val="none" w:sz="0" w:space="0" w:color="auto"/>
        <w:right w:val="none" w:sz="0" w:space="0" w:color="auto"/>
      </w:divBdr>
    </w:div>
    <w:div w:id="1695880242">
      <w:bodyDiv w:val="1"/>
      <w:marLeft w:val="0"/>
      <w:marRight w:val="0"/>
      <w:marTop w:val="0"/>
      <w:marBottom w:val="0"/>
      <w:divBdr>
        <w:top w:val="none" w:sz="0" w:space="0" w:color="auto"/>
        <w:left w:val="none" w:sz="0" w:space="0" w:color="auto"/>
        <w:bottom w:val="none" w:sz="0" w:space="0" w:color="auto"/>
        <w:right w:val="none" w:sz="0" w:space="0" w:color="auto"/>
      </w:divBdr>
    </w:div>
    <w:div w:id="1726827571">
      <w:bodyDiv w:val="1"/>
      <w:marLeft w:val="0"/>
      <w:marRight w:val="0"/>
      <w:marTop w:val="0"/>
      <w:marBottom w:val="0"/>
      <w:divBdr>
        <w:top w:val="none" w:sz="0" w:space="0" w:color="auto"/>
        <w:left w:val="none" w:sz="0" w:space="0" w:color="auto"/>
        <w:bottom w:val="none" w:sz="0" w:space="0" w:color="auto"/>
        <w:right w:val="none" w:sz="0" w:space="0" w:color="auto"/>
      </w:divBdr>
    </w:div>
    <w:div w:id="1740905308">
      <w:bodyDiv w:val="1"/>
      <w:marLeft w:val="0"/>
      <w:marRight w:val="0"/>
      <w:marTop w:val="0"/>
      <w:marBottom w:val="0"/>
      <w:divBdr>
        <w:top w:val="none" w:sz="0" w:space="0" w:color="auto"/>
        <w:left w:val="none" w:sz="0" w:space="0" w:color="auto"/>
        <w:bottom w:val="none" w:sz="0" w:space="0" w:color="auto"/>
        <w:right w:val="none" w:sz="0" w:space="0" w:color="auto"/>
      </w:divBdr>
    </w:div>
    <w:div w:id="1749305706">
      <w:bodyDiv w:val="1"/>
      <w:marLeft w:val="0"/>
      <w:marRight w:val="0"/>
      <w:marTop w:val="0"/>
      <w:marBottom w:val="0"/>
      <w:divBdr>
        <w:top w:val="none" w:sz="0" w:space="0" w:color="auto"/>
        <w:left w:val="none" w:sz="0" w:space="0" w:color="auto"/>
        <w:bottom w:val="none" w:sz="0" w:space="0" w:color="auto"/>
        <w:right w:val="none" w:sz="0" w:space="0" w:color="auto"/>
      </w:divBdr>
    </w:div>
    <w:div w:id="1761413937">
      <w:bodyDiv w:val="1"/>
      <w:marLeft w:val="0"/>
      <w:marRight w:val="0"/>
      <w:marTop w:val="0"/>
      <w:marBottom w:val="0"/>
      <w:divBdr>
        <w:top w:val="none" w:sz="0" w:space="0" w:color="auto"/>
        <w:left w:val="none" w:sz="0" w:space="0" w:color="auto"/>
        <w:bottom w:val="none" w:sz="0" w:space="0" w:color="auto"/>
        <w:right w:val="none" w:sz="0" w:space="0" w:color="auto"/>
      </w:divBdr>
    </w:div>
    <w:div w:id="1791899022">
      <w:bodyDiv w:val="1"/>
      <w:marLeft w:val="0"/>
      <w:marRight w:val="0"/>
      <w:marTop w:val="0"/>
      <w:marBottom w:val="0"/>
      <w:divBdr>
        <w:top w:val="none" w:sz="0" w:space="0" w:color="auto"/>
        <w:left w:val="none" w:sz="0" w:space="0" w:color="auto"/>
        <w:bottom w:val="none" w:sz="0" w:space="0" w:color="auto"/>
        <w:right w:val="none" w:sz="0" w:space="0" w:color="auto"/>
      </w:divBdr>
    </w:div>
    <w:div w:id="1796407988">
      <w:bodyDiv w:val="1"/>
      <w:marLeft w:val="0"/>
      <w:marRight w:val="0"/>
      <w:marTop w:val="0"/>
      <w:marBottom w:val="0"/>
      <w:divBdr>
        <w:top w:val="none" w:sz="0" w:space="0" w:color="auto"/>
        <w:left w:val="none" w:sz="0" w:space="0" w:color="auto"/>
        <w:bottom w:val="none" w:sz="0" w:space="0" w:color="auto"/>
        <w:right w:val="none" w:sz="0" w:space="0" w:color="auto"/>
      </w:divBdr>
    </w:div>
    <w:div w:id="1815944940">
      <w:bodyDiv w:val="1"/>
      <w:marLeft w:val="0"/>
      <w:marRight w:val="0"/>
      <w:marTop w:val="0"/>
      <w:marBottom w:val="0"/>
      <w:divBdr>
        <w:top w:val="none" w:sz="0" w:space="0" w:color="auto"/>
        <w:left w:val="none" w:sz="0" w:space="0" w:color="auto"/>
        <w:bottom w:val="none" w:sz="0" w:space="0" w:color="auto"/>
        <w:right w:val="none" w:sz="0" w:space="0" w:color="auto"/>
      </w:divBdr>
    </w:div>
    <w:div w:id="1819764478">
      <w:bodyDiv w:val="1"/>
      <w:marLeft w:val="0"/>
      <w:marRight w:val="0"/>
      <w:marTop w:val="0"/>
      <w:marBottom w:val="0"/>
      <w:divBdr>
        <w:top w:val="none" w:sz="0" w:space="0" w:color="auto"/>
        <w:left w:val="none" w:sz="0" w:space="0" w:color="auto"/>
        <w:bottom w:val="none" w:sz="0" w:space="0" w:color="auto"/>
        <w:right w:val="none" w:sz="0" w:space="0" w:color="auto"/>
      </w:divBdr>
    </w:div>
    <w:div w:id="1835366946">
      <w:bodyDiv w:val="1"/>
      <w:marLeft w:val="0"/>
      <w:marRight w:val="0"/>
      <w:marTop w:val="0"/>
      <w:marBottom w:val="0"/>
      <w:divBdr>
        <w:top w:val="none" w:sz="0" w:space="0" w:color="auto"/>
        <w:left w:val="none" w:sz="0" w:space="0" w:color="auto"/>
        <w:bottom w:val="none" w:sz="0" w:space="0" w:color="auto"/>
        <w:right w:val="none" w:sz="0" w:space="0" w:color="auto"/>
      </w:divBdr>
    </w:div>
    <w:div w:id="1857305929">
      <w:bodyDiv w:val="1"/>
      <w:marLeft w:val="0"/>
      <w:marRight w:val="0"/>
      <w:marTop w:val="0"/>
      <w:marBottom w:val="0"/>
      <w:divBdr>
        <w:top w:val="none" w:sz="0" w:space="0" w:color="auto"/>
        <w:left w:val="none" w:sz="0" w:space="0" w:color="auto"/>
        <w:bottom w:val="none" w:sz="0" w:space="0" w:color="auto"/>
        <w:right w:val="none" w:sz="0" w:space="0" w:color="auto"/>
      </w:divBdr>
    </w:div>
    <w:div w:id="1894074535">
      <w:bodyDiv w:val="1"/>
      <w:marLeft w:val="0"/>
      <w:marRight w:val="0"/>
      <w:marTop w:val="0"/>
      <w:marBottom w:val="0"/>
      <w:divBdr>
        <w:top w:val="none" w:sz="0" w:space="0" w:color="auto"/>
        <w:left w:val="none" w:sz="0" w:space="0" w:color="auto"/>
        <w:bottom w:val="none" w:sz="0" w:space="0" w:color="auto"/>
        <w:right w:val="none" w:sz="0" w:space="0" w:color="auto"/>
      </w:divBdr>
    </w:div>
    <w:div w:id="1931350000">
      <w:bodyDiv w:val="1"/>
      <w:marLeft w:val="0"/>
      <w:marRight w:val="0"/>
      <w:marTop w:val="0"/>
      <w:marBottom w:val="0"/>
      <w:divBdr>
        <w:top w:val="none" w:sz="0" w:space="0" w:color="auto"/>
        <w:left w:val="none" w:sz="0" w:space="0" w:color="auto"/>
        <w:bottom w:val="none" w:sz="0" w:space="0" w:color="auto"/>
        <w:right w:val="none" w:sz="0" w:space="0" w:color="auto"/>
      </w:divBdr>
    </w:div>
    <w:div w:id="1938443975">
      <w:bodyDiv w:val="1"/>
      <w:marLeft w:val="0"/>
      <w:marRight w:val="0"/>
      <w:marTop w:val="0"/>
      <w:marBottom w:val="0"/>
      <w:divBdr>
        <w:top w:val="none" w:sz="0" w:space="0" w:color="auto"/>
        <w:left w:val="none" w:sz="0" w:space="0" w:color="auto"/>
        <w:bottom w:val="none" w:sz="0" w:space="0" w:color="auto"/>
        <w:right w:val="none" w:sz="0" w:space="0" w:color="auto"/>
      </w:divBdr>
    </w:div>
    <w:div w:id="2048720917">
      <w:bodyDiv w:val="1"/>
      <w:marLeft w:val="0"/>
      <w:marRight w:val="0"/>
      <w:marTop w:val="0"/>
      <w:marBottom w:val="0"/>
      <w:divBdr>
        <w:top w:val="none" w:sz="0" w:space="0" w:color="auto"/>
        <w:left w:val="none" w:sz="0" w:space="0" w:color="auto"/>
        <w:bottom w:val="none" w:sz="0" w:space="0" w:color="auto"/>
        <w:right w:val="none" w:sz="0" w:space="0" w:color="auto"/>
      </w:divBdr>
    </w:div>
    <w:div w:id="2073045409">
      <w:bodyDiv w:val="1"/>
      <w:marLeft w:val="0"/>
      <w:marRight w:val="0"/>
      <w:marTop w:val="0"/>
      <w:marBottom w:val="0"/>
      <w:divBdr>
        <w:top w:val="none" w:sz="0" w:space="0" w:color="auto"/>
        <w:left w:val="none" w:sz="0" w:space="0" w:color="auto"/>
        <w:bottom w:val="none" w:sz="0" w:space="0" w:color="auto"/>
        <w:right w:val="none" w:sz="0" w:space="0" w:color="auto"/>
      </w:divBdr>
    </w:div>
    <w:div w:id="2097285896">
      <w:bodyDiv w:val="1"/>
      <w:marLeft w:val="0"/>
      <w:marRight w:val="0"/>
      <w:marTop w:val="0"/>
      <w:marBottom w:val="0"/>
      <w:divBdr>
        <w:top w:val="none" w:sz="0" w:space="0" w:color="auto"/>
        <w:left w:val="none" w:sz="0" w:space="0" w:color="auto"/>
        <w:bottom w:val="none" w:sz="0" w:space="0" w:color="auto"/>
        <w:right w:val="none" w:sz="0" w:space="0" w:color="auto"/>
      </w:divBdr>
    </w:div>
    <w:div w:id="2108189743">
      <w:bodyDiv w:val="1"/>
      <w:marLeft w:val="0"/>
      <w:marRight w:val="0"/>
      <w:marTop w:val="0"/>
      <w:marBottom w:val="0"/>
      <w:divBdr>
        <w:top w:val="none" w:sz="0" w:space="0" w:color="auto"/>
        <w:left w:val="none" w:sz="0" w:space="0" w:color="auto"/>
        <w:bottom w:val="none" w:sz="0" w:space="0" w:color="auto"/>
        <w:right w:val="none" w:sz="0" w:space="0" w:color="auto"/>
      </w:divBdr>
    </w:div>
    <w:div w:id="2132363147">
      <w:bodyDiv w:val="1"/>
      <w:marLeft w:val="0"/>
      <w:marRight w:val="0"/>
      <w:marTop w:val="0"/>
      <w:marBottom w:val="0"/>
      <w:divBdr>
        <w:top w:val="none" w:sz="0" w:space="0" w:color="auto"/>
        <w:left w:val="none" w:sz="0" w:space="0" w:color="auto"/>
        <w:bottom w:val="none" w:sz="0" w:space="0" w:color="auto"/>
        <w:right w:val="none" w:sz="0" w:space="0" w:color="auto"/>
      </w:divBdr>
    </w:div>
    <w:div w:id="2138716272">
      <w:bodyDiv w:val="1"/>
      <w:marLeft w:val="0"/>
      <w:marRight w:val="0"/>
      <w:marTop w:val="0"/>
      <w:marBottom w:val="0"/>
      <w:divBdr>
        <w:top w:val="none" w:sz="0" w:space="0" w:color="auto"/>
        <w:left w:val="none" w:sz="0" w:space="0" w:color="auto"/>
        <w:bottom w:val="none" w:sz="0" w:space="0" w:color="auto"/>
        <w:right w:val="none" w:sz="0" w:space="0" w:color="auto"/>
      </w:divBdr>
    </w:div>
    <w:div w:id="213878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diagramQuickStyle" Target="diagrams/quickStyle1.xml"/><Relationship Id="rId34"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image" Target="media/image5.png"/><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diagramLayout" Target="diagrams/layout1.xml"/><Relationship Id="rId29" Type="http://schemas.openxmlformats.org/officeDocument/2006/relationships/image" Target="media/image8.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header" Target="header5.xml"/><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microsoft.com/office/2007/relationships/diagramDrawing" Target="diagrams/drawing1.xml"/><Relationship Id="rId28" Type="http://schemas.openxmlformats.org/officeDocument/2006/relationships/image" Target="media/image7.png"/><Relationship Id="rId36" Type="http://schemas.openxmlformats.org/officeDocument/2006/relationships/footer" Target="footer6.xml"/><Relationship Id="rId10" Type="http://schemas.openxmlformats.org/officeDocument/2006/relationships/image" Target="media/image1.emf"/><Relationship Id="rId19" Type="http://schemas.openxmlformats.org/officeDocument/2006/relationships/diagramData" Target="diagrams/data1.xm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diagramColors" Target="diagrams/colors1.xml"/><Relationship Id="rId27" Type="http://schemas.openxmlformats.org/officeDocument/2006/relationships/chart" Target="charts/chart1.xml"/><Relationship Id="rId30" Type="http://schemas.openxmlformats.org/officeDocument/2006/relationships/image" Target="media/image9.png"/><Relationship Id="rId35" Type="http://schemas.openxmlformats.org/officeDocument/2006/relationships/header" Target="header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ewinso\Desktop\BUDG-2016-00588-00-00-EN-ORI-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sz="1200" b="1"/>
              <a:t>Incidence totale sur le budget de l'UE, soit 1 543 millions d'EUR:</a:t>
            </a:r>
          </a:p>
        </c:rich>
      </c:tx>
      <c:overlay val="0"/>
    </c:title>
    <c:autoTitleDeleted val="0"/>
    <c:plotArea>
      <c:layout/>
      <c:doughnutChart>
        <c:varyColors val="1"/>
        <c:ser>
          <c:idx val="0"/>
          <c:order val="0"/>
          <c:tx>
            <c:strRef>
              <c:f>'Graph 3.3.1'!$D$3</c:f>
              <c:strCache>
                <c:ptCount val="1"/>
                <c:pt idx="0">
                  <c:v>Incidence totale sur le budget de l'UE, soit 1 543 millions d'EUR:</c:v>
                </c:pt>
              </c:strCache>
            </c:strRef>
          </c:tx>
          <c:dPt>
            <c:idx val="0"/>
            <c:bubble3D val="0"/>
            <c:spPr>
              <a:solidFill>
                <a:schemeClr val="tx2">
                  <a:lumMod val="40000"/>
                  <a:lumOff val="60000"/>
                </a:schemeClr>
              </a:solidFill>
            </c:spPr>
          </c:dPt>
          <c:dPt>
            <c:idx val="1"/>
            <c:bubble3D val="0"/>
            <c:spPr>
              <a:solidFill>
                <a:schemeClr val="accent6">
                  <a:lumMod val="60000"/>
                  <a:lumOff val="40000"/>
                </a:schemeClr>
              </a:solidFill>
            </c:spPr>
          </c:dPt>
          <c:dLbls>
            <c:showLegendKey val="0"/>
            <c:showVal val="0"/>
            <c:showCatName val="0"/>
            <c:showSerName val="0"/>
            <c:showPercent val="1"/>
            <c:showBubbleSize val="0"/>
            <c:showLeaderLines val="1"/>
          </c:dLbls>
          <c:cat>
            <c:strRef>
              <c:f>'Graph 3.3.1'!$C$4:$C$5</c:f>
              <c:strCache>
                <c:ptCount val="2"/>
                <c:pt idx="0">
                  <c:v>Corrections financières nettes exécutées* 1 181 millions d'EUR</c:v>
                </c:pt>
                <c:pt idx="1">
                  <c:v>Recouvrements exécutés** 362 millions d'EUR</c:v>
                </c:pt>
              </c:strCache>
            </c:strRef>
          </c:cat>
          <c:val>
            <c:numRef>
              <c:f>'Graph 3.3.1'!$D$4:$D$5</c:f>
              <c:numCache>
                <c:formatCode>#\ ##0</c:formatCode>
                <c:ptCount val="2"/>
                <c:pt idx="0">
                  <c:v>1181</c:v>
                </c:pt>
                <c:pt idx="1">
                  <c:v>362</c:v>
                </c:pt>
              </c:numCache>
            </c:numRef>
          </c:val>
        </c:ser>
        <c:dLbls>
          <c:showLegendKey val="0"/>
          <c:showVal val="0"/>
          <c:showCatName val="0"/>
          <c:showSerName val="0"/>
          <c:showPercent val="1"/>
          <c:showBubbleSize val="0"/>
          <c:showLeaderLines val="1"/>
        </c:dLbls>
        <c:firstSliceAng val="0"/>
        <c:holeSize val="50"/>
      </c:doughnutChart>
    </c:plotArea>
    <c:legend>
      <c:legendPos val="b"/>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C25BA4-CD94-48AD-AE50-64AE48F13B24}" type="doc">
      <dgm:prSet loTypeId="urn:microsoft.com/office/officeart/2005/8/layout/chevron1" loCatId="process" qsTypeId="urn:microsoft.com/office/officeart/2005/8/quickstyle/simple1" qsCatId="simple" csTypeId="urn:microsoft.com/office/officeart/2005/8/colors/accent1_2" csCatId="accent1" phldr="1"/>
      <dgm:spPr/>
    </dgm:pt>
    <dgm:pt modelId="{CE7D345B-4382-40B7-8AE5-3C560131C26B}">
      <dgm:prSet phldrT="[Text]"/>
      <dgm:spPr>
        <a:solidFill>
          <a:srgbClr val="92D050"/>
        </a:solidFill>
      </dgm:spPr>
      <dgm:t>
        <a:bodyPr/>
        <a:lstStyle/>
        <a:p>
          <a:r>
            <a:rPr lang="fr-FR"/>
            <a:t>Audit/contrôle</a:t>
          </a:r>
        </a:p>
      </dgm:t>
    </dgm:pt>
    <dgm:pt modelId="{D9262A82-C4DC-4FBF-8A9C-A5FD3941FB93}" type="parTrans" cxnId="{A3FACC07-0DD9-4677-BF79-9E74A6C8A150}">
      <dgm:prSet/>
      <dgm:spPr/>
      <dgm:t>
        <a:bodyPr/>
        <a:lstStyle/>
        <a:p>
          <a:endParaRPr lang="en-GB"/>
        </a:p>
      </dgm:t>
    </dgm:pt>
    <dgm:pt modelId="{9D510870-6695-4296-A195-8C06AFE2296A}" type="sibTrans" cxnId="{A3FACC07-0DD9-4677-BF79-9E74A6C8A150}">
      <dgm:prSet/>
      <dgm:spPr/>
      <dgm:t>
        <a:bodyPr/>
        <a:lstStyle/>
        <a:p>
          <a:endParaRPr lang="en-GB"/>
        </a:p>
      </dgm:t>
    </dgm:pt>
    <dgm:pt modelId="{20CC9278-1A5F-4B76-B2AA-59FA8426B074}">
      <dgm:prSet phldrT="[Text]"/>
      <dgm:spPr>
        <a:solidFill>
          <a:schemeClr val="accent3">
            <a:lumMod val="50000"/>
          </a:schemeClr>
        </a:solidFill>
      </dgm:spPr>
      <dgm:t>
        <a:bodyPr/>
        <a:lstStyle/>
        <a:p>
          <a:r>
            <a:rPr lang="fr-FR"/>
            <a:t>En cours </a:t>
          </a:r>
        </a:p>
      </dgm:t>
    </dgm:pt>
    <dgm:pt modelId="{6126B8CC-65C1-444D-8DD7-9D09058B52F4}" type="parTrans" cxnId="{F0152D46-34E1-4E5C-81AC-9B9DA35494EA}">
      <dgm:prSet/>
      <dgm:spPr/>
      <dgm:t>
        <a:bodyPr/>
        <a:lstStyle/>
        <a:p>
          <a:endParaRPr lang="en-GB"/>
        </a:p>
      </dgm:t>
    </dgm:pt>
    <dgm:pt modelId="{3572702A-987D-4F37-91F9-280B3A848634}" type="sibTrans" cxnId="{F0152D46-34E1-4E5C-81AC-9B9DA35494EA}">
      <dgm:prSet/>
      <dgm:spPr/>
      <dgm:t>
        <a:bodyPr/>
        <a:lstStyle/>
        <a:p>
          <a:endParaRPr lang="en-GB"/>
        </a:p>
      </dgm:t>
    </dgm:pt>
    <dgm:pt modelId="{F6C9324B-55E1-4C53-A6B9-E90359BF7543}">
      <dgm:prSet phldrT="[Text]"/>
      <dgm:spPr>
        <a:solidFill>
          <a:schemeClr val="accent5"/>
        </a:solidFill>
      </dgm:spPr>
      <dgm:t>
        <a:bodyPr/>
        <a:lstStyle/>
        <a:p>
          <a:r>
            <a:rPr lang="fr-FR"/>
            <a:t>Confirmées</a:t>
          </a:r>
        </a:p>
      </dgm:t>
    </dgm:pt>
    <dgm:pt modelId="{435B7F28-4787-4E4D-BD6E-8A8F0A6B53E7}" type="parTrans" cxnId="{4FE4E3D8-0B85-47C3-ACBB-955EAC60AA41}">
      <dgm:prSet/>
      <dgm:spPr/>
      <dgm:t>
        <a:bodyPr/>
        <a:lstStyle/>
        <a:p>
          <a:endParaRPr lang="en-GB"/>
        </a:p>
      </dgm:t>
    </dgm:pt>
    <dgm:pt modelId="{621C22E0-9DDF-40C5-8B18-F9D9ED68F28A}" type="sibTrans" cxnId="{4FE4E3D8-0B85-47C3-ACBB-955EAC60AA41}">
      <dgm:prSet/>
      <dgm:spPr/>
      <dgm:t>
        <a:bodyPr/>
        <a:lstStyle/>
        <a:p>
          <a:endParaRPr lang="en-GB"/>
        </a:p>
      </dgm:t>
    </dgm:pt>
    <dgm:pt modelId="{5E616404-2CD3-4779-9033-735D650D5CB5}">
      <dgm:prSet phldrT="[Text]"/>
      <dgm:spPr>
        <a:solidFill>
          <a:schemeClr val="tx2">
            <a:lumMod val="60000"/>
            <a:lumOff val="40000"/>
          </a:schemeClr>
        </a:solidFill>
      </dgm:spPr>
      <dgm:t>
        <a:bodyPr/>
        <a:lstStyle/>
        <a:p>
          <a:r>
            <a:rPr lang="fr-FR" b="0" i="0"/>
            <a:t>Exécutées</a:t>
          </a:r>
          <a:r>
            <a:rPr lang="fr-FR" i="1"/>
            <a:t> </a:t>
          </a:r>
        </a:p>
      </dgm:t>
    </dgm:pt>
    <dgm:pt modelId="{25016313-0164-4BC5-B4CB-CD7A93B6078B}" type="parTrans" cxnId="{9AB5A116-4874-4154-8853-F8FC64D42651}">
      <dgm:prSet/>
      <dgm:spPr/>
      <dgm:t>
        <a:bodyPr/>
        <a:lstStyle/>
        <a:p>
          <a:endParaRPr lang="en-GB"/>
        </a:p>
      </dgm:t>
    </dgm:pt>
    <dgm:pt modelId="{31F391CF-FED6-442B-A09C-83B797FF43F5}" type="sibTrans" cxnId="{9AB5A116-4874-4154-8853-F8FC64D42651}">
      <dgm:prSet/>
      <dgm:spPr/>
      <dgm:t>
        <a:bodyPr/>
        <a:lstStyle/>
        <a:p>
          <a:endParaRPr lang="en-GB"/>
        </a:p>
      </dgm:t>
    </dgm:pt>
    <dgm:pt modelId="{5F919596-BE94-49A2-9090-52ED213B1AA2}">
      <dgm:prSet phldrT="[Text]"/>
      <dgm:spPr>
        <a:solidFill>
          <a:schemeClr val="accent4"/>
        </a:solidFill>
      </dgm:spPr>
      <dgm:t>
        <a:bodyPr/>
        <a:lstStyle/>
        <a:p>
          <a:r>
            <a:rPr lang="fr-FR" i="0"/>
            <a:t>Communiquées</a:t>
          </a:r>
        </a:p>
      </dgm:t>
    </dgm:pt>
    <dgm:pt modelId="{CBAC4791-9D2B-4658-829B-BBAE4EA4BB58}" type="parTrans" cxnId="{E221F5C0-DA00-41BB-8BCD-DFFD93CC41AC}">
      <dgm:prSet/>
      <dgm:spPr/>
      <dgm:t>
        <a:bodyPr/>
        <a:lstStyle/>
        <a:p>
          <a:endParaRPr lang="en-GB"/>
        </a:p>
      </dgm:t>
    </dgm:pt>
    <dgm:pt modelId="{858D410B-32C6-43A1-9E67-F9C830D845EB}" type="sibTrans" cxnId="{E221F5C0-DA00-41BB-8BCD-DFFD93CC41AC}">
      <dgm:prSet/>
      <dgm:spPr/>
      <dgm:t>
        <a:bodyPr/>
        <a:lstStyle/>
        <a:p>
          <a:endParaRPr lang="en-GB"/>
        </a:p>
      </dgm:t>
    </dgm:pt>
    <dgm:pt modelId="{28EF3502-A5CE-4BF1-80B1-CA7E0202B890}" type="pres">
      <dgm:prSet presAssocID="{E1C25BA4-CD94-48AD-AE50-64AE48F13B24}" presName="Name0" presStyleCnt="0">
        <dgm:presLayoutVars>
          <dgm:dir/>
          <dgm:animLvl val="lvl"/>
          <dgm:resizeHandles val="exact"/>
        </dgm:presLayoutVars>
      </dgm:prSet>
      <dgm:spPr/>
    </dgm:pt>
    <dgm:pt modelId="{191FECF2-A521-4F46-A93A-2BBD80BE276F}" type="pres">
      <dgm:prSet presAssocID="{CE7D345B-4382-40B7-8AE5-3C560131C26B}" presName="parTxOnly" presStyleLbl="node1" presStyleIdx="0" presStyleCnt="5">
        <dgm:presLayoutVars>
          <dgm:chMax val="0"/>
          <dgm:chPref val="0"/>
          <dgm:bulletEnabled val="1"/>
        </dgm:presLayoutVars>
      </dgm:prSet>
      <dgm:spPr/>
      <dgm:t>
        <a:bodyPr/>
        <a:lstStyle/>
        <a:p>
          <a:endParaRPr lang="en-GB"/>
        </a:p>
      </dgm:t>
    </dgm:pt>
    <dgm:pt modelId="{02AD3CC4-9DFF-43CD-981A-7C4AB4B49B41}" type="pres">
      <dgm:prSet presAssocID="{9D510870-6695-4296-A195-8C06AFE2296A}" presName="parTxOnlySpace" presStyleCnt="0"/>
      <dgm:spPr/>
    </dgm:pt>
    <dgm:pt modelId="{6E872551-BC66-474E-9080-DF01D418D413}" type="pres">
      <dgm:prSet presAssocID="{20CC9278-1A5F-4B76-B2AA-59FA8426B074}" presName="parTxOnly" presStyleLbl="node1" presStyleIdx="1" presStyleCnt="5">
        <dgm:presLayoutVars>
          <dgm:chMax val="0"/>
          <dgm:chPref val="0"/>
          <dgm:bulletEnabled val="1"/>
        </dgm:presLayoutVars>
      </dgm:prSet>
      <dgm:spPr/>
      <dgm:t>
        <a:bodyPr/>
        <a:lstStyle/>
        <a:p>
          <a:endParaRPr lang="en-GB"/>
        </a:p>
      </dgm:t>
    </dgm:pt>
    <dgm:pt modelId="{12B97AD2-D582-40D7-B04F-958FF16B139F}" type="pres">
      <dgm:prSet presAssocID="{3572702A-987D-4F37-91F9-280B3A848634}" presName="parTxOnlySpace" presStyleCnt="0"/>
      <dgm:spPr/>
    </dgm:pt>
    <dgm:pt modelId="{2BA60F5D-2D40-4CE6-9D07-3515F01652FD}" type="pres">
      <dgm:prSet presAssocID="{F6C9324B-55E1-4C53-A6B9-E90359BF7543}" presName="parTxOnly" presStyleLbl="node1" presStyleIdx="2" presStyleCnt="5">
        <dgm:presLayoutVars>
          <dgm:chMax val="0"/>
          <dgm:chPref val="0"/>
          <dgm:bulletEnabled val="1"/>
        </dgm:presLayoutVars>
      </dgm:prSet>
      <dgm:spPr/>
      <dgm:t>
        <a:bodyPr/>
        <a:lstStyle/>
        <a:p>
          <a:endParaRPr lang="en-GB"/>
        </a:p>
      </dgm:t>
    </dgm:pt>
    <dgm:pt modelId="{50193686-C14E-4A4D-9A32-A08E74E3283C}" type="pres">
      <dgm:prSet presAssocID="{621C22E0-9DDF-40C5-8B18-F9D9ED68F28A}" presName="parTxOnlySpace" presStyleCnt="0"/>
      <dgm:spPr/>
    </dgm:pt>
    <dgm:pt modelId="{DF1B5E6B-E404-4038-8C22-E9AECF6B8108}" type="pres">
      <dgm:prSet presAssocID="{5E616404-2CD3-4779-9033-735D650D5CB5}" presName="parTxOnly" presStyleLbl="node1" presStyleIdx="3" presStyleCnt="5">
        <dgm:presLayoutVars>
          <dgm:chMax val="0"/>
          <dgm:chPref val="0"/>
          <dgm:bulletEnabled val="1"/>
        </dgm:presLayoutVars>
      </dgm:prSet>
      <dgm:spPr/>
      <dgm:t>
        <a:bodyPr/>
        <a:lstStyle/>
        <a:p>
          <a:endParaRPr lang="en-GB"/>
        </a:p>
      </dgm:t>
    </dgm:pt>
    <dgm:pt modelId="{B1F07681-1A9C-4C47-A304-6C94221189CD}" type="pres">
      <dgm:prSet presAssocID="{31F391CF-FED6-442B-A09C-83B797FF43F5}" presName="parTxOnlySpace" presStyleCnt="0"/>
      <dgm:spPr/>
    </dgm:pt>
    <dgm:pt modelId="{98202000-EE1A-4118-8441-536D3199620B}" type="pres">
      <dgm:prSet presAssocID="{5F919596-BE94-49A2-9090-52ED213B1AA2}" presName="parTxOnly" presStyleLbl="node1" presStyleIdx="4" presStyleCnt="5">
        <dgm:presLayoutVars>
          <dgm:chMax val="0"/>
          <dgm:chPref val="0"/>
          <dgm:bulletEnabled val="1"/>
        </dgm:presLayoutVars>
      </dgm:prSet>
      <dgm:spPr/>
      <dgm:t>
        <a:bodyPr/>
        <a:lstStyle/>
        <a:p>
          <a:endParaRPr lang="en-GB"/>
        </a:p>
      </dgm:t>
    </dgm:pt>
  </dgm:ptLst>
  <dgm:cxnLst>
    <dgm:cxn modelId="{E221F5C0-DA00-41BB-8BCD-DFFD93CC41AC}" srcId="{E1C25BA4-CD94-48AD-AE50-64AE48F13B24}" destId="{5F919596-BE94-49A2-9090-52ED213B1AA2}" srcOrd="4" destOrd="0" parTransId="{CBAC4791-9D2B-4658-829B-BBAE4EA4BB58}" sibTransId="{858D410B-32C6-43A1-9E67-F9C830D845EB}"/>
    <dgm:cxn modelId="{F605CAD0-7EDC-4DEB-B8B0-F262999BDC8F}" type="presOf" srcId="{CE7D345B-4382-40B7-8AE5-3C560131C26B}" destId="{191FECF2-A521-4F46-A93A-2BBD80BE276F}" srcOrd="0" destOrd="0" presId="urn:microsoft.com/office/officeart/2005/8/layout/chevron1"/>
    <dgm:cxn modelId="{9AB5A116-4874-4154-8853-F8FC64D42651}" srcId="{E1C25BA4-CD94-48AD-AE50-64AE48F13B24}" destId="{5E616404-2CD3-4779-9033-735D650D5CB5}" srcOrd="3" destOrd="0" parTransId="{25016313-0164-4BC5-B4CB-CD7A93B6078B}" sibTransId="{31F391CF-FED6-442B-A09C-83B797FF43F5}"/>
    <dgm:cxn modelId="{85659F04-24EA-4A9F-B0E2-88C4CF0DF64A}" type="presOf" srcId="{5F919596-BE94-49A2-9090-52ED213B1AA2}" destId="{98202000-EE1A-4118-8441-536D3199620B}" srcOrd="0" destOrd="0" presId="urn:microsoft.com/office/officeart/2005/8/layout/chevron1"/>
    <dgm:cxn modelId="{FEDD6EBA-8DA0-4B2B-AE9F-EB1D812FB66D}" type="presOf" srcId="{20CC9278-1A5F-4B76-B2AA-59FA8426B074}" destId="{6E872551-BC66-474E-9080-DF01D418D413}" srcOrd="0" destOrd="0" presId="urn:microsoft.com/office/officeart/2005/8/layout/chevron1"/>
    <dgm:cxn modelId="{A3FACC07-0DD9-4677-BF79-9E74A6C8A150}" srcId="{E1C25BA4-CD94-48AD-AE50-64AE48F13B24}" destId="{CE7D345B-4382-40B7-8AE5-3C560131C26B}" srcOrd="0" destOrd="0" parTransId="{D9262A82-C4DC-4FBF-8A9C-A5FD3941FB93}" sibTransId="{9D510870-6695-4296-A195-8C06AFE2296A}"/>
    <dgm:cxn modelId="{0C240EE0-3E0A-44E6-908A-F744EA045DA4}" type="presOf" srcId="{F6C9324B-55E1-4C53-A6B9-E90359BF7543}" destId="{2BA60F5D-2D40-4CE6-9D07-3515F01652FD}" srcOrd="0" destOrd="0" presId="urn:microsoft.com/office/officeart/2005/8/layout/chevron1"/>
    <dgm:cxn modelId="{F72FB6A1-5D02-4BF5-B032-BF0447257F3B}" type="presOf" srcId="{5E616404-2CD3-4779-9033-735D650D5CB5}" destId="{DF1B5E6B-E404-4038-8C22-E9AECF6B8108}" srcOrd="0" destOrd="0" presId="urn:microsoft.com/office/officeart/2005/8/layout/chevron1"/>
    <dgm:cxn modelId="{F0152D46-34E1-4E5C-81AC-9B9DA35494EA}" srcId="{E1C25BA4-CD94-48AD-AE50-64AE48F13B24}" destId="{20CC9278-1A5F-4B76-B2AA-59FA8426B074}" srcOrd="1" destOrd="0" parTransId="{6126B8CC-65C1-444D-8DD7-9D09058B52F4}" sibTransId="{3572702A-987D-4F37-91F9-280B3A848634}"/>
    <dgm:cxn modelId="{07C2E957-25AC-4046-B815-B645F5A663F4}" type="presOf" srcId="{E1C25BA4-CD94-48AD-AE50-64AE48F13B24}" destId="{28EF3502-A5CE-4BF1-80B1-CA7E0202B890}" srcOrd="0" destOrd="0" presId="urn:microsoft.com/office/officeart/2005/8/layout/chevron1"/>
    <dgm:cxn modelId="{4FE4E3D8-0B85-47C3-ACBB-955EAC60AA41}" srcId="{E1C25BA4-CD94-48AD-AE50-64AE48F13B24}" destId="{F6C9324B-55E1-4C53-A6B9-E90359BF7543}" srcOrd="2" destOrd="0" parTransId="{435B7F28-4787-4E4D-BD6E-8A8F0A6B53E7}" sibTransId="{621C22E0-9DDF-40C5-8B18-F9D9ED68F28A}"/>
    <dgm:cxn modelId="{403E7942-6929-44EE-88FB-45FA7A7383FA}" type="presParOf" srcId="{28EF3502-A5CE-4BF1-80B1-CA7E0202B890}" destId="{191FECF2-A521-4F46-A93A-2BBD80BE276F}" srcOrd="0" destOrd="0" presId="urn:microsoft.com/office/officeart/2005/8/layout/chevron1"/>
    <dgm:cxn modelId="{C44BB40F-C842-444E-9169-519A65D0E2D8}" type="presParOf" srcId="{28EF3502-A5CE-4BF1-80B1-CA7E0202B890}" destId="{02AD3CC4-9DFF-43CD-981A-7C4AB4B49B41}" srcOrd="1" destOrd="0" presId="urn:microsoft.com/office/officeart/2005/8/layout/chevron1"/>
    <dgm:cxn modelId="{C23EE62F-B269-422F-B1A2-FBDF1B5EA427}" type="presParOf" srcId="{28EF3502-A5CE-4BF1-80B1-CA7E0202B890}" destId="{6E872551-BC66-474E-9080-DF01D418D413}" srcOrd="2" destOrd="0" presId="urn:microsoft.com/office/officeart/2005/8/layout/chevron1"/>
    <dgm:cxn modelId="{35C52C7A-2030-4271-83E7-3571B4E32CC6}" type="presParOf" srcId="{28EF3502-A5CE-4BF1-80B1-CA7E0202B890}" destId="{12B97AD2-D582-40D7-B04F-958FF16B139F}" srcOrd="3" destOrd="0" presId="urn:microsoft.com/office/officeart/2005/8/layout/chevron1"/>
    <dgm:cxn modelId="{0AFBF498-54F4-43B7-9DDA-0EF38DB0C107}" type="presParOf" srcId="{28EF3502-A5CE-4BF1-80B1-CA7E0202B890}" destId="{2BA60F5D-2D40-4CE6-9D07-3515F01652FD}" srcOrd="4" destOrd="0" presId="urn:microsoft.com/office/officeart/2005/8/layout/chevron1"/>
    <dgm:cxn modelId="{09465DB9-CC84-4EC6-9C94-AE88CFBFCCDA}" type="presParOf" srcId="{28EF3502-A5CE-4BF1-80B1-CA7E0202B890}" destId="{50193686-C14E-4A4D-9A32-A08E74E3283C}" srcOrd="5" destOrd="0" presId="urn:microsoft.com/office/officeart/2005/8/layout/chevron1"/>
    <dgm:cxn modelId="{7DD3F03A-EF54-46D8-A2C8-D92589E3C6AD}" type="presParOf" srcId="{28EF3502-A5CE-4BF1-80B1-CA7E0202B890}" destId="{DF1B5E6B-E404-4038-8C22-E9AECF6B8108}" srcOrd="6" destOrd="0" presId="urn:microsoft.com/office/officeart/2005/8/layout/chevron1"/>
    <dgm:cxn modelId="{DDB83EB2-EAF5-41B5-9A5F-F86EDE34F7A3}" type="presParOf" srcId="{28EF3502-A5CE-4BF1-80B1-CA7E0202B890}" destId="{B1F07681-1A9C-4C47-A304-6C94221189CD}" srcOrd="7" destOrd="0" presId="urn:microsoft.com/office/officeart/2005/8/layout/chevron1"/>
    <dgm:cxn modelId="{0417E2B6-E0AB-4FB9-A540-BC78DC2392DD}" type="presParOf" srcId="{28EF3502-A5CE-4BF1-80B1-CA7E0202B890}" destId="{98202000-EE1A-4118-8441-536D3199620B}" srcOrd="8" destOrd="0" presId="urn:microsoft.com/office/officeart/2005/8/layout/chevron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1FECF2-A521-4F46-A93A-2BBD80BE276F}">
      <dsp:nvSpPr>
        <dsp:cNvPr id="0" name=""/>
        <dsp:cNvSpPr/>
      </dsp:nvSpPr>
      <dsp:spPr>
        <a:xfrm>
          <a:off x="1314" y="0"/>
          <a:ext cx="1169872" cy="293427"/>
        </a:xfrm>
        <a:prstGeom prst="chevron">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fr-FR" sz="1000" kern="1200"/>
            <a:t>Audit/contrôle</a:t>
          </a:r>
        </a:p>
      </dsp:txBody>
      <dsp:txXfrm>
        <a:off x="148028" y="0"/>
        <a:ext cx="876445" cy="293427"/>
      </dsp:txXfrm>
    </dsp:sp>
    <dsp:sp modelId="{6E872551-BC66-474E-9080-DF01D418D413}">
      <dsp:nvSpPr>
        <dsp:cNvPr id="0" name=""/>
        <dsp:cNvSpPr/>
      </dsp:nvSpPr>
      <dsp:spPr>
        <a:xfrm>
          <a:off x="1054199" y="0"/>
          <a:ext cx="1169872" cy="293427"/>
        </a:xfrm>
        <a:prstGeom prst="chevron">
          <a:avLst/>
        </a:prstGeom>
        <a:solidFill>
          <a:schemeClr val="accent3">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fr-FR" sz="1000" kern="1200"/>
            <a:t>En cours </a:t>
          </a:r>
        </a:p>
      </dsp:txBody>
      <dsp:txXfrm>
        <a:off x="1200913" y="0"/>
        <a:ext cx="876445" cy="293427"/>
      </dsp:txXfrm>
    </dsp:sp>
    <dsp:sp modelId="{2BA60F5D-2D40-4CE6-9D07-3515F01652FD}">
      <dsp:nvSpPr>
        <dsp:cNvPr id="0" name=""/>
        <dsp:cNvSpPr/>
      </dsp:nvSpPr>
      <dsp:spPr>
        <a:xfrm>
          <a:off x="2107084" y="0"/>
          <a:ext cx="1169872" cy="293427"/>
        </a:xfrm>
        <a:prstGeom prst="chevron">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fr-FR" sz="1000" kern="1200"/>
            <a:t>Confirmées</a:t>
          </a:r>
        </a:p>
      </dsp:txBody>
      <dsp:txXfrm>
        <a:off x="2253798" y="0"/>
        <a:ext cx="876445" cy="293427"/>
      </dsp:txXfrm>
    </dsp:sp>
    <dsp:sp modelId="{DF1B5E6B-E404-4038-8C22-E9AECF6B8108}">
      <dsp:nvSpPr>
        <dsp:cNvPr id="0" name=""/>
        <dsp:cNvSpPr/>
      </dsp:nvSpPr>
      <dsp:spPr>
        <a:xfrm>
          <a:off x="3159969" y="0"/>
          <a:ext cx="1169872" cy="293427"/>
        </a:xfrm>
        <a:prstGeom prst="chevron">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fr-FR" sz="1000" b="0" i="0" kern="1200"/>
            <a:t>Exécutées</a:t>
          </a:r>
          <a:r>
            <a:rPr lang="fr-FR" sz="1000" i="1" kern="1200"/>
            <a:t> </a:t>
          </a:r>
        </a:p>
      </dsp:txBody>
      <dsp:txXfrm>
        <a:off x="3306683" y="0"/>
        <a:ext cx="876445" cy="293427"/>
      </dsp:txXfrm>
    </dsp:sp>
    <dsp:sp modelId="{98202000-EE1A-4118-8441-536D3199620B}">
      <dsp:nvSpPr>
        <dsp:cNvPr id="0" name=""/>
        <dsp:cNvSpPr/>
      </dsp:nvSpPr>
      <dsp:spPr>
        <a:xfrm>
          <a:off x="4212855" y="0"/>
          <a:ext cx="1169872" cy="293427"/>
        </a:xfrm>
        <a:prstGeom prst="chevron">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fr-FR" sz="1000" i="0" kern="1200"/>
            <a:t>Communiquées</a:t>
          </a:r>
        </a:p>
      </dsp:txBody>
      <dsp:txXfrm>
        <a:off x="4359569" y="0"/>
        <a:ext cx="876445" cy="29342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DA415-AFD1-4522-A5ED-9EC01E05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44</Pages>
  <Words>18469</Words>
  <Characters>97151</Characters>
  <Application>Microsoft Office Word</Application>
  <DocSecurity>0</DocSecurity>
  <Lines>4047</Lines>
  <Paragraphs>2890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112730</CharactersWithSpaces>
  <SharedDoc>false</SharedDoc>
  <HLinks>
    <vt:vector size="198" baseType="variant">
      <vt:variant>
        <vt:i4>1114163</vt:i4>
      </vt:variant>
      <vt:variant>
        <vt:i4>197</vt:i4>
      </vt:variant>
      <vt:variant>
        <vt:i4>0</vt:i4>
      </vt:variant>
      <vt:variant>
        <vt:i4>5</vt:i4>
      </vt:variant>
      <vt:variant>
        <vt:lpwstr/>
      </vt:variant>
      <vt:variant>
        <vt:lpwstr>_Toc424121148</vt:lpwstr>
      </vt:variant>
      <vt:variant>
        <vt:i4>1114163</vt:i4>
      </vt:variant>
      <vt:variant>
        <vt:i4>191</vt:i4>
      </vt:variant>
      <vt:variant>
        <vt:i4>0</vt:i4>
      </vt:variant>
      <vt:variant>
        <vt:i4>5</vt:i4>
      </vt:variant>
      <vt:variant>
        <vt:lpwstr/>
      </vt:variant>
      <vt:variant>
        <vt:lpwstr>_Toc424121147</vt:lpwstr>
      </vt:variant>
      <vt:variant>
        <vt:i4>1114163</vt:i4>
      </vt:variant>
      <vt:variant>
        <vt:i4>185</vt:i4>
      </vt:variant>
      <vt:variant>
        <vt:i4>0</vt:i4>
      </vt:variant>
      <vt:variant>
        <vt:i4>5</vt:i4>
      </vt:variant>
      <vt:variant>
        <vt:lpwstr/>
      </vt:variant>
      <vt:variant>
        <vt:lpwstr>_Toc424121146</vt:lpwstr>
      </vt:variant>
      <vt:variant>
        <vt:i4>1114163</vt:i4>
      </vt:variant>
      <vt:variant>
        <vt:i4>179</vt:i4>
      </vt:variant>
      <vt:variant>
        <vt:i4>0</vt:i4>
      </vt:variant>
      <vt:variant>
        <vt:i4>5</vt:i4>
      </vt:variant>
      <vt:variant>
        <vt:lpwstr/>
      </vt:variant>
      <vt:variant>
        <vt:lpwstr>_Toc424121145</vt:lpwstr>
      </vt:variant>
      <vt:variant>
        <vt:i4>1114163</vt:i4>
      </vt:variant>
      <vt:variant>
        <vt:i4>173</vt:i4>
      </vt:variant>
      <vt:variant>
        <vt:i4>0</vt:i4>
      </vt:variant>
      <vt:variant>
        <vt:i4>5</vt:i4>
      </vt:variant>
      <vt:variant>
        <vt:lpwstr/>
      </vt:variant>
      <vt:variant>
        <vt:lpwstr>_Toc424121144</vt:lpwstr>
      </vt:variant>
      <vt:variant>
        <vt:i4>1114163</vt:i4>
      </vt:variant>
      <vt:variant>
        <vt:i4>167</vt:i4>
      </vt:variant>
      <vt:variant>
        <vt:i4>0</vt:i4>
      </vt:variant>
      <vt:variant>
        <vt:i4>5</vt:i4>
      </vt:variant>
      <vt:variant>
        <vt:lpwstr/>
      </vt:variant>
      <vt:variant>
        <vt:lpwstr>_Toc424121143</vt:lpwstr>
      </vt:variant>
      <vt:variant>
        <vt:i4>1114163</vt:i4>
      </vt:variant>
      <vt:variant>
        <vt:i4>161</vt:i4>
      </vt:variant>
      <vt:variant>
        <vt:i4>0</vt:i4>
      </vt:variant>
      <vt:variant>
        <vt:i4>5</vt:i4>
      </vt:variant>
      <vt:variant>
        <vt:lpwstr/>
      </vt:variant>
      <vt:variant>
        <vt:lpwstr>_Toc424121142</vt:lpwstr>
      </vt:variant>
      <vt:variant>
        <vt:i4>1114163</vt:i4>
      </vt:variant>
      <vt:variant>
        <vt:i4>155</vt:i4>
      </vt:variant>
      <vt:variant>
        <vt:i4>0</vt:i4>
      </vt:variant>
      <vt:variant>
        <vt:i4>5</vt:i4>
      </vt:variant>
      <vt:variant>
        <vt:lpwstr/>
      </vt:variant>
      <vt:variant>
        <vt:lpwstr>_Toc424121141</vt:lpwstr>
      </vt:variant>
      <vt:variant>
        <vt:i4>1114163</vt:i4>
      </vt:variant>
      <vt:variant>
        <vt:i4>149</vt:i4>
      </vt:variant>
      <vt:variant>
        <vt:i4>0</vt:i4>
      </vt:variant>
      <vt:variant>
        <vt:i4>5</vt:i4>
      </vt:variant>
      <vt:variant>
        <vt:lpwstr/>
      </vt:variant>
      <vt:variant>
        <vt:lpwstr>_Toc424121140</vt:lpwstr>
      </vt:variant>
      <vt:variant>
        <vt:i4>1441843</vt:i4>
      </vt:variant>
      <vt:variant>
        <vt:i4>143</vt:i4>
      </vt:variant>
      <vt:variant>
        <vt:i4>0</vt:i4>
      </vt:variant>
      <vt:variant>
        <vt:i4>5</vt:i4>
      </vt:variant>
      <vt:variant>
        <vt:lpwstr/>
      </vt:variant>
      <vt:variant>
        <vt:lpwstr>_Toc424121139</vt:lpwstr>
      </vt:variant>
      <vt:variant>
        <vt:i4>1441843</vt:i4>
      </vt:variant>
      <vt:variant>
        <vt:i4>137</vt:i4>
      </vt:variant>
      <vt:variant>
        <vt:i4>0</vt:i4>
      </vt:variant>
      <vt:variant>
        <vt:i4>5</vt:i4>
      </vt:variant>
      <vt:variant>
        <vt:lpwstr/>
      </vt:variant>
      <vt:variant>
        <vt:lpwstr>_Toc424121138</vt:lpwstr>
      </vt:variant>
      <vt:variant>
        <vt:i4>1441843</vt:i4>
      </vt:variant>
      <vt:variant>
        <vt:i4>131</vt:i4>
      </vt:variant>
      <vt:variant>
        <vt:i4>0</vt:i4>
      </vt:variant>
      <vt:variant>
        <vt:i4>5</vt:i4>
      </vt:variant>
      <vt:variant>
        <vt:lpwstr/>
      </vt:variant>
      <vt:variant>
        <vt:lpwstr>_Toc424121137</vt:lpwstr>
      </vt:variant>
      <vt:variant>
        <vt:i4>1441843</vt:i4>
      </vt:variant>
      <vt:variant>
        <vt:i4>125</vt:i4>
      </vt:variant>
      <vt:variant>
        <vt:i4>0</vt:i4>
      </vt:variant>
      <vt:variant>
        <vt:i4>5</vt:i4>
      </vt:variant>
      <vt:variant>
        <vt:lpwstr/>
      </vt:variant>
      <vt:variant>
        <vt:lpwstr>_Toc424121134</vt:lpwstr>
      </vt:variant>
      <vt:variant>
        <vt:i4>1441843</vt:i4>
      </vt:variant>
      <vt:variant>
        <vt:i4>119</vt:i4>
      </vt:variant>
      <vt:variant>
        <vt:i4>0</vt:i4>
      </vt:variant>
      <vt:variant>
        <vt:i4>5</vt:i4>
      </vt:variant>
      <vt:variant>
        <vt:lpwstr/>
      </vt:variant>
      <vt:variant>
        <vt:lpwstr>_Toc424121133</vt:lpwstr>
      </vt:variant>
      <vt:variant>
        <vt:i4>1441843</vt:i4>
      </vt:variant>
      <vt:variant>
        <vt:i4>113</vt:i4>
      </vt:variant>
      <vt:variant>
        <vt:i4>0</vt:i4>
      </vt:variant>
      <vt:variant>
        <vt:i4>5</vt:i4>
      </vt:variant>
      <vt:variant>
        <vt:lpwstr/>
      </vt:variant>
      <vt:variant>
        <vt:lpwstr>_Toc424121132</vt:lpwstr>
      </vt:variant>
      <vt:variant>
        <vt:i4>1441843</vt:i4>
      </vt:variant>
      <vt:variant>
        <vt:i4>107</vt:i4>
      </vt:variant>
      <vt:variant>
        <vt:i4>0</vt:i4>
      </vt:variant>
      <vt:variant>
        <vt:i4>5</vt:i4>
      </vt:variant>
      <vt:variant>
        <vt:lpwstr/>
      </vt:variant>
      <vt:variant>
        <vt:lpwstr>_Toc424121130</vt:lpwstr>
      </vt:variant>
      <vt:variant>
        <vt:i4>1507379</vt:i4>
      </vt:variant>
      <vt:variant>
        <vt:i4>101</vt:i4>
      </vt:variant>
      <vt:variant>
        <vt:i4>0</vt:i4>
      </vt:variant>
      <vt:variant>
        <vt:i4>5</vt:i4>
      </vt:variant>
      <vt:variant>
        <vt:lpwstr/>
      </vt:variant>
      <vt:variant>
        <vt:lpwstr>_Toc424121129</vt:lpwstr>
      </vt:variant>
      <vt:variant>
        <vt:i4>1507379</vt:i4>
      </vt:variant>
      <vt:variant>
        <vt:i4>95</vt:i4>
      </vt:variant>
      <vt:variant>
        <vt:i4>0</vt:i4>
      </vt:variant>
      <vt:variant>
        <vt:i4>5</vt:i4>
      </vt:variant>
      <vt:variant>
        <vt:lpwstr/>
      </vt:variant>
      <vt:variant>
        <vt:lpwstr>_Toc424121128</vt:lpwstr>
      </vt:variant>
      <vt:variant>
        <vt:i4>1507379</vt:i4>
      </vt:variant>
      <vt:variant>
        <vt:i4>89</vt:i4>
      </vt:variant>
      <vt:variant>
        <vt:i4>0</vt:i4>
      </vt:variant>
      <vt:variant>
        <vt:i4>5</vt:i4>
      </vt:variant>
      <vt:variant>
        <vt:lpwstr/>
      </vt:variant>
      <vt:variant>
        <vt:lpwstr>_Toc424121127</vt:lpwstr>
      </vt:variant>
      <vt:variant>
        <vt:i4>1507379</vt:i4>
      </vt:variant>
      <vt:variant>
        <vt:i4>83</vt:i4>
      </vt:variant>
      <vt:variant>
        <vt:i4>0</vt:i4>
      </vt:variant>
      <vt:variant>
        <vt:i4>5</vt:i4>
      </vt:variant>
      <vt:variant>
        <vt:lpwstr/>
      </vt:variant>
      <vt:variant>
        <vt:lpwstr>_Toc424121126</vt:lpwstr>
      </vt:variant>
      <vt:variant>
        <vt:i4>1507379</vt:i4>
      </vt:variant>
      <vt:variant>
        <vt:i4>77</vt:i4>
      </vt:variant>
      <vt:variant>
        <vt:i4>0</vt:i4>
      </vt:variant>
      <vt:variant>
        <vt:i4>5</vt:i4>
      </vt:variant>
      <vt:variant>
        <vt:lpwstr/>
      </vt:variant>
      <vt:variant>
        <vt:lpwstr>_Toc424121125</vt:lpwstr>
      </vt:variant>
      <vt:variant>
        <vt:i4>1507379</vt:i4>
      </vt:variant>
      <vt:variant>
        <vt:i4>71</vt:i4>
      </vt:variant>
      <vt:variant>
        <vt:i4>0</vt:i4>
      </vt:variant>
      <vt:variant>
        <vt:i4>5</vt:i4>
      </vt:variant>
      <vt:variant>
        <vt:lpwstr/>
      </vt:variant>
      <vt:variant>
        <vt:lpwstr>_Toc424121124</vt:lpwstr>
      </vt:variant>
      <vt:variant>
        <vt:i4>1507379</vt:i4>
      </vt:variant>
      <vt:variant>
        <vt:i4>65</vt:i4>
      </vt:variant>
      <vt:variant>
        <vt:i4>0</vt:i4>
      </vt:variant>
      <vt:variant>
        <vt:i4>5</vt:i4>
      </vt:variant>
      <vt:variant>
        <vt:lpwstr/>
      </vt:variant>
      <vt:variant>
        <vt:lpwstr>_Toc424121123</vt:lpwstr>
      </vt:variant>
      <vt:variant>
        <vt:i4>1310771</vt:i4>
      </vt:variant>
      <vt:variant>
        <vt:i4>59</vt:i4>
      </vt:variant>
      <vt:variant>
        <vt:i4>0</vt:i4>
      </vt:variant>
      <vt:variant>
        <vt:i4>5</vt:i4>
      </vt:variant>
      <vt:variant>
        <vt:lpwstr/>
      </vt:variant>
      <vt:variant>
        <vt:lpwstr>_Toc424121119</vt:lpwstr>
      </vt:variant>
      <vt:variant>
        <vt:i4>1310771</vt:i4>
      </vt:variant>
      <vt:variant>
        <vt:i4>53</vt:i4>
      </vt:variant>
      <vt:variant>
        <vt:i4>0</vt:i4>
      </vt:variant>
      <vt:variant>
        <vt:i4>5</vt:i4>
      </vt:variant>
      <vt:variant>
        <vt:lpwstr/>
      </vt:variant>
      <vt:variant>
        <vt:lpwstr>_Toc424121115</vt:lpwstr>
      </vt:variant>
      <vt:variant>
        <vt:i4>1310771</vt:i4>
      </vt:variant>
      <vt:variant>
        <vt:i4>47</vt:i4>
      </vt:variant>
      <vt:variant>
        <vt:i4>0</vt:i4>
      </vt:variant>
      <vt:variant>
        <vt:i4>5</vt:i4>
      </vt:variant>
      <vt:variant>
        <vt:lpwstr/>
      </vt:variant>
      <vt:variant>
        <vt:lpwstr>_Toc424121114</vt:lpwstr>
      </vt:variant>
      <vt:variant>
        <vt:i4>1310771</vt:i4>
      </vt:variant>
      <vt:variant>
        <vt:i4>41</vt:i4>
      </vt:variant>
      <vt:variant>
        <vt:i4>0</vt:i4>
      </vt:variant>
      <vt:variant>
        <vt:i4>5</vt:i4>
      </vt:variant>
      <vt:variant>
        <vt:lpwstr/>
      </vt:variant>
      <vt:variant>
        <vt:lpwstr>_Toc424121113</vt:lpwstr>
      </vt:variant>
      <vt:variant>
        <vt:i4>1310771</vt:i4>
      </vt:variant>
      <vt:variant>
        <vt:i4>35</vt:i4>
      </vt:variant>
      <vt:variant>
        <vt:i4>0</vt:i4>
      </vt:variant>
      <vt:variant>
        <vt:i4>5</vt:i4>
      </vt:variant>
      <vt:variant>
        <vt:lpwstr/>
      </vt:variant>
      <vt:variant>
        <vt:lpwstr>_Toc424121112</vt:lpwstr>
      </vt:variant>
      <vt:variant>
        <vt:i4>1376307</vt:i4>
      </vt:variant>
      <vt:variant>
        <vt:i4>29</vt:i4>
      </vt:variant>
      <vt:variant>
        <vt:i4>0</vt:i4>
      </vt:variant>
      <vt:variant>
        <vt:i4>5</vt:i4>
      </vt:variant>
      <vt:variant>
        <vt:lpwstr/>
      </vt:variant>
      <vt:variant>
        <vt:lpwstr>_Toc424121108</vt:lpwstr>
      </vt:variant>
      <vt:variant>
        <vt:i4>1376307</vt:i4>
      </vt:variant>
      <vt:variant>
        <vt:i4>23</vt:i4>
      </vt:variant>
      <vt:variant>
        <vt:i4>0</vt:i4>
      </vt:variant>
      <vt:variant>
        <vt:i4>5</vt:i4>
      </vt:variant>
      <vt:variant>
        <vt:lpwstr/>
      </vt:variant>
      <vt:variant>
        <vt:lpwstr>_Toc424121107</vt:lpwstr>
      </vt:variant>
      <vt:variant>
        <vt:i4>1376307</vt:i4>
      </vt:variant>
      <vt:variant>
        <vt:i4>17</vt:i4>
      </vt:variant>
      <vt:variant>
        <vt:i4>0</vt:i4>
      </vt:variant>
      <vt:variant>
        <vt:i4>5</vt:i4>
      </vt:variant>
      <vt:variant>
        <vt:lpwstr/>
      </vt:variant>
      <vt:variant>
        <vt:lpwstr>_Toc424121106</vt:lpwstr>
      </vt:variant>
      <vt:variant>
        <vt:i4>1376307</vt:i4>
      </vt:variant>
      <vt:variant>
        <vt:i4>11</vt:i4>
      </vt:variant>
      <vt:variant>
        <vt:i4>0</vt:i4>
      </vt:variant>
      <vt:variant>
        <vt:i4>5</vt:i4>
      </vt:variant>
      <vt:variant>
        <vt:lpwstr/>
      </vt:variant>
      <vt:variant>
        <vt:lpwstr>_Toc424121105</vt:lpwstr>
      </vt:variant>
      <vt:variant>
        <vt:i4>1376307</vt:i4>
      </vt:variant>
      <vt:variant>
        <vt:i4>5</vt:i4>
      </vt:variant>
      <vt:variant>
        <vt:i4>0</vt:i4>
      </vt:variant>
      <vt:variant>
        <vt:i4>5</vt:i4>
      </vt:variant>
      <vt:variant>
        <vt:lpwstr/>
      </vt:variant>
      <vt:variant>
        <vt:lpwstr>_Toc424121104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2016-07-14T18:35:00Z</cp:lastPrinted>
  <dcterms:created xsi:type="dcterms:W3CDTF">2016-07-18T07:11:00Z</dcterms:created>
  <dcterms:modified xsi:type="dcterms:W3CDTF">2016-09-13T09:41:00Z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