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30" w:rsidRDefault="008A0F45" w:rsidP="008A0F45">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AA7DEAF3517845A0962D79A6AE937029" style="width:450.7pt;height:334.75pt">
            <v:imagedata r:id="rId10" o:title=""/>
          </v:shape>
        </w:pict>
      </w:r>
    </w:p>
    <w:bookmarkEnd w:id="0"/>
    <w:p w:rsidR="005E3B30" w:rsidRDefault="005E3B30" w:rsidP="005E3B30">
      <w:pPr>
        <w:sectPr w:rsidR="005E3B30" w:rsidSect="008A0F45">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rsidR="00C26F79" w:rsidRDefault="00C26F79" w:rsidP="00CB772B">
      <w:pPr>
        <w:spacing w:line="240" w:lineRule="auto"/>
        <w:jc w:val="both"/>
        <w:rPr>
          <w:rFonts w:ascii="Times New Roman" w:hAnsi="Times New Roman" w:cs="Times New Roman"/>
          <w:b/>
          <w:sz w:val="24"/>
          <w:szCs w:val="24"/>
          <w:u w:val="single"/>
        </w:rPr>
      </w:pPr>
      <w:bookmarkStart w:id="1" w:name="_GoBack"/>
      <w:bookmarkEnd w:id="1"/>
      <w:r>
        <w:rPr>
          <w:rFonts w:ascii="Times New Roman" w:hAnsi="Times New Roman" w:cs="Times New Roman"/>
          <w:b/>
          <w:sz w:val="24"/>
          <w:szCs w:val="24"/>
          <w:u w:val="single"/>
        </w:rPr>
        <w:lastRenderedPageBreak/>
        <w:t>Introduction</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The Capital Markets Union (CMU), part of the third pillar of the Commission’s Investment Plan for Europe, is essential to delivering the Juncker Commission's  priority to boost jobs, including youth employment, and growth</w:t>
      </w:r>
      <w:r>
        <w:rPr>
          <w:rFonts w:ascii="Times New Roman" w:hAnsi="Times New Roman" w:cs="Times New Roman"/>
          <w:sz w:val="24"/>
          <w:szCs w:val="24"/>
        </w:rPr>
        <w:t xml:space="preserve">. It seeks to better connect savings to investment and to strengthen the European financial system by </w:t>
      </w:r>
      <w:r w:rsidR="004C755D">
        <w:rPr>
          <w:rFonts w:ascii="Times New Roman" w:hAnsi="Times New Roman" w:cs="Times New Roman"/>
          <w:sz w:val="24"/>
          <w:szCs w:val="24"/>
        </w:rPr>
        <w:t xml:space="preserve">enhancing private risk-sharing, </w:t>
      </w:r>
      <w:r>
        <w:rPr>
          <w:rFonts w:ascii="Times New Roman" w:hAnsi="Times New Roman" w:cs="Times New Roman"/>
          <w:sz w:val="24"/>
          <w:szCs w:val="24"/>
        </w:rPr>
        <w:t xml:space="preserve">providing alternative sources of financing and increasing options for retail and institutional investors. Removing obstacles to the free flow of capital across borders will strengthen Economic and Monetary Union by supporting economic convergence and helping to cushion economic shocks in the euro area and beyond, making the European economy more resilient. </w:t>
      </w:r>
      <w:r w:rsidR="0088306A" w:rsidRPr="0088306A">
        <w:rPr>
          <w:rFonts w:ascii="Times New Roman" w:hAnsi="Times New Roman" w:cs="Times New Roman"/>
          <w:sz w:val="24"/>
          <w:szCs w:val="24"/>
        </w:rPr>
        <w:t>This is even more important in the current economic environment.</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The CMU Action Plan of September 2015</w:t>
      </w:r>
      <w:r w:rsidR="00B01E73">
        <w:rPr>
          <w:rStyle w:val="FootnoteReference"/>
          <w:rFonts w:ascii="Times New Roman" w:hAnsi="Times New Roman" w:cs="Times New Roman"/>
          <w:b/>
          <w:sz w:val="24"/>
          <w:szCs w:val="24"/>
        </w:rPr>
        <w:footnoteReference w:id="2"/>
      </w:r>
      <w:r>
        <w:rPr>
          <w:rFonts w:ascii="Times New Roman" w:hAnsi="Times New Roman" w:cs="Times New Roman"/>
          <w:b/>
          <w:sz w:val="24"/>
          <w:szCs w:val="24"/>
        </w:rPr>
        <w:t xml:space="preserve"> set out a comprehensive programme of actions to put in place the building blocks for the CMU by 2019 and was</w:t>
      </w:r>
      <w:r>
        <w:rPr>
          <w:rFonts w:ascii="Times New Roman" w:hAnsi="Times New Roman" w:cs="Times New Roman"/>
          <w:sz w:val="24"/>
          <w:szCs w:val="24"/>
        </w:rPr>
        <w:t xml:space="preserve"> </w:t>
      </w:r>
      <w:r>
        <w:rPr>
          <w:rFonts w:ascii="Times New Roman" w:hAnsi="Times New Roman" w:cs="Times New Roman"/>
          <w:b/>
          <w:sz w:val="24"/>
          <w:szCs w:val="24"/>
        </w:rPr>
        <w:t xml:space="preserve">strongly supported by the European Parliament, Council and stakeholders. </w:t>
      </w:r>
      <w:r>
        <w:rPr>
          <w:rFonts w:ascii="Times New Roman" w:hAnsi="Times New Roman" w:cs="Times New Roman"/>
          <w:sz w:val="24"/>
          <w:szCs w:val="24"/>
        </w:rPr>
        <w:t xml:space="preserve">Alongside the Single Market Strategy and Digital </w:t>
      </w:r>
      <w:r w:rsidR="001040B2">
        <w:rPr>
          <w:rFonts w:ascii="Times New Roman" w:hAnsi="Times New Roman" w:cs="Times New Roman"/>
          <w:sz w:val="24"/>
          <w:szCs w:val="24"/>
        </w:rPr>
        <w:t>Single Market</w:t>
      </w:r>
      <w:r w:rsidR="00FC5C02">
        <w:rPr>
          <w:rFonts w:ascii="Times New Roman" w:hAnsi="Times New Roman" w:cs="Times New Roman"/>
          <w:sz w:val="24"/>
          <w:szCs w:val="24"/>
        </w:rPr>
        <w:t xml:space="preserve"> Strategy</w:t>
      </w:r>
      <w:r>
        <w:rPr>
          <w:rFonts w:ascii="Times New Roman" w:hAnsi="Times New Roman" w:cs="Times New Roman"/>
          <w:sz w:val="24"/>
          <w:szCs w:val="24"/>
        </w:rPr>
        <w:t>, it sits at the heart of the European reform agenda for a deeper and fairer Single Market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In the current political and economic context developing stronger capital markets in the EU </w:t>
      </w:r>
      <w:r w:rsidR="001040B2">
        <w:rPr>
          <w:rFonts w:ascii="Times New Roman" w:hAnsi="Times New Roman" w:cs="Times New Roman"/>
          <w:sz w:val="24"/>
          <w:szCs w:val="24"/>
        </w:rPr>
        <w:t xml:space="preserve">is </w:t>
      </w:r>
      <w:r>
        <w:rPr>
          <w:rFonts w:ascii="Times New Roman" w:hAnsi="Times New Roman" w:cs="Times New Roman"/>
          <w:sz w:val="24"/>
          <w:szCs w:val="24"/>
        </w:rPr>
        <w:t>even more important.</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It is therefore essential </w:t>
      </w:r>
      <w:r w:rsidRPr="00260B29">
        <w:rPr>
          <w:rFonts w:ascii="Times New Roman" w:hAnsi="Times New Roman" w:cs="Times New Roman"/>
          <w:b/>
          <w:sz w:val="24"/>
          <w:szCs w:val="24"/>
        </w:rPr>
        <w:t>to step up implementation and accelerate re</w:t>
      </w:r>
      <w:r>
        <w:rPr>
          <w:rFonts w:ascii="Times New Roman" w:hAnsi="Times New Roman" w:cs="Times New Roman"/>
          <w:b/>
          <w:sz w:val="24"/>
          <w:szCs w:val="24"/>
        </w:rPr>
        <w:t>form</w:t>
      </w:r>
      <w:r>
        <w:rPr>
          <w:rFonts w:ascii="Times New Roman" w:hAnsi="Times New Roman" w:cs="Times New Roman"/>
          <w:sz w:val="24"/>
          <w:szCs w:val="24"/>
        </w:rPr>
        <w:t xml:space="preserve">. The European Council of 28 June 2016 called for </w:t>
      </w:r>
      <w:r w:rsidRPr="00CB7DB0">
        <w:rPr>
          <w:rFonts w:ascii="Times New Roman" w:hAnsi="Times New Roman" w:cs="Times New Roman"/>
          <w:sz w:val="24"/>
          <w:szCs w:val="24"/>
        </w:rPr>
        <w:t>"swift and determined progress to ensure easier access to finance for businesses and to support investment in the real economy by moving forward with the Capital Markets Union agenda."</w:t>
      </w:r>
      <w:r w:rsidR="00B01E73">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260B29">
        <w:rPr>
          <w:rFonts w:ascii="Times New Roman" w:hAnsi="Times New Roman" w:cs="Times New Roman"/>
          <w:sz w:val="24"/>
          <w:szCs w:val="24"/>
        </w:rPr>
        <w:t xml:space="preserve">One year after the launch of the </w:t>
      </w:r>
      <w:r w:rsidR="00E6269A">
        <w:rPr>
          <w:rFonts w:ascii="Times New Roman" w:hAnsi="Times New Roman" w:cs="Times New Roman"/>
          <w:sz w:val="24"/>
          <w:szCs w:val="24"/>
        </w:rPr>
        <w:t xml:space="preserve">CMU </w:t>
      </w:r>
      <w:r w:rsidRPr="00260B29">
        <w:rPr>
          <w:rFonts w:ascii="Times New Roman" w:hAnsi="Times New Roman" w:cs="Times New Roman"/>
          <w:sz w:val="24"/>
          <w:szCs w:val="24"/>
        </w:rPr>
        <w:t xml:space="preserve">Action Plan, it is important to rapidly </w:t>
      </w:r>
      <w:r>
        <w:rPr>
          <w:rFonts w:ascii="Times New Roman" w:hAnsi="Times New Roman" w:cs="Times New Roman"/>
          <w:sz w:val="24"/>
          <w:szCs w:val="24"/>
        </w:rPr>
        <w:t>finalise the first wave of</w:t>
      </w:r>
      <w:r w:rsidRPr="00260B29">
        <w:rPr>
          <w:rFonts w:ascii="Times New Roman" w:hAnsi="Times New Roman" w:cs="Times New Roman"/>
          <w:sz w:val="24"/>
          <w:szCs w:val="24"/>
        </w:rPr>
        <w:t xml:space="preserve"> CMU initiatives</w:t>
      </w:r>
      <w:r>
        <w:rPr>
          <w:rFonts w:ascii="Times New Roman" w:hAnsi="Times New Roman" w:cs="Times New Roman"/>
          <w:sz w:val="24"/>
          <w:szCs w:val="24"/>
        </w:rPr>
        <w:t xml:space="preserve"> so </w:t>
      </w:r>
      <w:r w:rsidRPr="00260B29">
        <w:rPr>
          <w:rFonts w:ascii="Times New Roman" w:hAnsi="Times New Roman" w:cs="Times New Roman"/>
          <w:sz w:val="24"/>
          <w:szCs w:val="24"/>
        </w:rPr>
        <w:t>they can have an effect on the ground as soon as possible. It is</w:t>
      </w:r>
      <w:r>
        <w:rPr>
          <w:rFonts w:ascii="Times New Roman" w:hAnsi="Times New Roman" w:cs="Times New Roman"/>
          <w:sz w:val="24"/>
          <w:szCs w:val="24"/>
        </w:rPr>
        <w:t xml:space="preserve"> also important</w:t>
      </w:r>
      <w:r w:rsidRPr="00260B29">
        <w:rPr>
          <w:rFonts w:ascii="Times New Roman" w:hAnsi="Times New Roman" w:cs="Times New Roman"/>
          <w:sz w:val="24"/>
          <w:szCs w:val="24"/>
        </w:rPr>
        <w:t xml:space="preserve"> to progress quic</w:t>
      </w:r>
      <w:r w:rsidR="00F90159">
        <w:rPr>
          <w:rFonts w:ascii="Times New Roman" w:hAnsi="Times New Roman" w:cs="Times New Roman"/>
          <w:sz w:val="24"/>
          <w:szCs w:val="24"/>
        </w:rPr>
        <w:t xml:space="preserve">kly towards the adoption of </w:t>
      </w:r>
      <w:r w:rsidR="001476C9">
        <w:rPr>
          <w:rFonts w:ascii="Times New Roman" w:hAnsi="Times New Roman" w:cs="Times New Roman"/>
          <w:sz w:val="24"/>
          <w:szCs w:val="24"/>
        </w:rPr>
        <w:t>forthcoming</w:t>
      </w:r>
      <w:r w:rsidRPr="00260B29">
        <w:rPr>
          <w:rFonts w:ascii="Times New Roman" w:hAnsi="Times New Roman" w:cs="Times New Roman"/>
          <w:sz w:val="24"/>
          <w:szCs w:val="24"/>
        </w:rPr>
        <w:t xml:space="preserve"> legislative proposals. </w:t>
      </w:r>
      <w:r>
        <w:rPr>
          <w:rFonts w:ascii="Times New Roman" w:hAnsi="Times New Roman" w:cs="Times New Roman"/>
          <w:sz w:val="24"/>
          <w:szCs w:val="24"/>
        </w:rPr>
        <w:t>Finally, economic and technological developments, such as the rapid growth of FinTech or the need to build more sustainable finance, have the power to transform EU capital markets. Taking account of the changing political context, the Commission is taking forward the further priority areas needed to complete the C</w:t>
      </w:r>
      <w:r w:rsidR="00E6269A">
        <w:rPr>
          <w:rFonts w:ascii="Times New Roman" w:hAnsi="Times New Roman" w:cs="Times New Roman"/>
          <w:sz w:val="24"/>
          <w:szCs w:val="24"/>
        </w:rPr>
        <w:t xml:space="preserve">MU </w:t>
      </w:r>
      <w:r>
        <w:rPr>
          <w:rFonts w:ascii="Times New Roman" w:hAnsi="Times New Roman" w:cs="Times New Roman"/>
          <w:sz w:val="24"/>
          <w:szCs w:val="24"/>
        </w:rPr>
        <w:t>and will under</w:t>
      </w:r>
      <w:r w:rsidR="00E6269A">
        <w:rPr>
          <w:rFonts w:ascii="Times New Roman" w:hAnsi="Times New Roman" w:cs="Times New Roman"/>
          <w:sz w:val="24"/>
          <w:szCs w:val="24"/>
        </w:rPr>
        <w:t>take a mid-term review in 2017.</w:t>
      </w:r>
    </w:p>
    <w:p w:rsidR="00C26F79" w:rsidRDefault="00C26F79" w:rsidP="00CB772B">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 Finalising the first CMU measures</w:t>
      </w:r>
    </w:p>
    <w:p w:rsidR="00C26F79" w:rsidRDefault="00C26F79" w:rsidP="00CB772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Completion of the first measures is essential for the CMU to have a tangible impact on the ground. </w:t>
      </w:r>
      <w:r>
        <w:rPr>
          <w:rFonts w:ascii="Times New Roman" w:hAnsi="Times New Roman" w:cs="Times New Roman"/>
          <w:sz w:val="24"/>
          <w:szCs w:val="24"/>
        </w:rPr>
        <w:t>The European Council of 28 June 2016 called for an agreement by the end of 2016 on the proposals for Simple, Transparent and Standardised (STS) securitisations</w:t>
      </w:r>
      <w:r w:rsidR="00B01E73">
        <w:rPr>
          <w:rStyle w:val="FootnoteReference"/>
          <w:rFonts w:ascii="Times New Roman" w:hAnsi="Times New Roman" w:cs="Times New Roman"/>
          <w:sz w:val="24"/>
          <w:szCs w:val="24"/>
        </w:rPr>
        <w:footnoteReference w:id="5"/>
      </w:r>
      <w:r>
        <w:rPr>
          <w:rFonts w:ascii="Times New Roman" w:hAnsi="Times New Roman" w:cs="Times New Roman"/>
          <w:sz w:val="24"/>
          <w:szCs w:val="24"/>
        </w:rPr>
        <w:t>, to free up capacity on banks' balance sheets and provide investment opportunities for long-term investors,</w:t>
      </w:r>
      <w:r>
        <w:rPr>
          <w:rFonts w:ascii="Times New Roman" w:hAnsi="Times New Roman" w:cs="Times New Roman"/>
          <w:b/>
          <w:sz w:val="24"/>
          <w:szCs w:val="24"/>
        </w:rPr>
        <w:t xml:space="preserve"> </w:t>
      </w:r>
      <w:r>
        <w:rPr>
          <w:rFonts w:ascii="Times New Roman" w:hAnsi="Times New Roman" w:cs="Times New Roman"/>
          <w:sz w:val="24"/>
          <w:szCs w:val="24"/>
        </w:rPr>
        <w:t xml:space="preserve">and on the proposal for the simplification of prospectus rules making it easier for companies to seek investment from the capital markets. </w:t>
      </w:r>
    </w:p>
    <w:p w:rsidR="007504EE"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Rapid implementation of the </w:t>
      </w:r>
      <w:r w:rsidR="00817766">
        <w:rPr>
          <w:rFonts w:ascii="Times New Roman" w:hAnsi="Times New Roman" w:cs="Times New Roman"/>
          <w:b/>
          <w:sz w:val="24"/>
          <w:szCs w:val="24"/>
        </w:rPr>
        <w:t>s</w:t>
      </w:r>
      <w:r>
        <w:rPr>
          <w:rFonts w:ascii="Times New Roman" w:hAnsi="Times New Roman" w:cs="Times New Roman"/>
          <w:b/>
          <w:sz w:val="24"/>
          <w:szCs w:val="24"/>
        </w:rPr>
        <w:t xml:space="preserve">ecuritisation package has the potential to quickly generate additional funding in the real economy. </w:t>
      </w:r>
      <w:r>
        <w:rPr>
          <w:rFonts w:ascii="Times New Roman" w:hAnsi="Times New Roman" w:cs="Times New Roman"/>
          <w:sz w:val="24"/>
          <w:szCs w:val="24"/>
        </w:rPr>
        <w:t xml:space="preserve">Establishing more risk sensitive capital charges for </w:t>
      </w:r>
      <w:r w:rsidR="003C10E8">
        <w:rPr>
          <w:rFonts w:ascii="Times New Roman" w:hAnsi="Times New Roman" w:cs="Times New Roman"/>
          <w:sz w:val="24"/>
          <w:szCs w:val="24"/>
        </w:rPr>
        <w:t>STS</w:t>
      </w:r>
      <w:r>
        <w:rPr>
          <w:rFonts w:ascii="Times New Roman" w:hAnsi="Times New Roman" w:cs="Times New Roman"/>
          <w:sz w:val="24"/>
          <w:szCs w:val="24"/>
        </w:rPr>
        <w:t xml:space="preserve"> securitisations, will help to build confidence in the market and free up the balance sheets </w:t>
      </w:r>
      <w:r>
        <w:rPr>
          <w:rFonts w:ascii="Times New Roman" w:hAnsi="Times New Roman" w:cs="Times New Roman"/>
          <w:sz w:val="24"/>
          <w:szCs w:val="24"/>
        </w:rPr>
        <w:lastRenderedPageBreak/>
        <w:t xml:space="preserve">of banks to provide additional financing. If EU securitisations could be revived – safely – to pre-crisis average levels, this could provide additional funding to the economy of more than EUR 100 billion, while at the same time enhancing financial stability. The Council has already reached a General Approach and progress should now be made urgently in the European Parliament. </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The modernisation of the Prospectus rules</w:t>
      </w:r>
      <w:r w:rsidR="00B01E73">
        <w:rPr>
          <w:rStyle w:val="FootnoteReference"/>
          <w:rFonts w:ascii="Times New Roman" w:hAnsi="Times New Roman" w:cs="Times New Roman"/>
          <w:b/>
          <w:sz w:val="24"/>
          <w:szCs w:val="24"/>
        </w:rPr>
        <w:footnoteReference w:id="6"/>
      </w:r>
      <w:r>
        <w:rPr>
          <w:rFonts w:ascii="Times New Roman" w:hAnsi="Times New Roman" w:cs="Times New Roman"/>
          <w:b/>
          <w:sz w:val="24"/>
          <w:szCs w:val="24"/>
        </w:rPr>
        <w:t xml:space="preserve"> will increase access to capital markets, in particular</w:t>
      </w:r>
      <w:r w:rsidR="009A1DA5">
        <w:rPr>
          <w:rFonts w:ascii="Times New Roman" w:hAnsi="Times New Roman" w:cs="Times New Roman"/>
          <w:b/>
          <w:sz w:val="24"/>
          <w:szCs w:val="24"/>
        </w:rPr>
        <w:t xml:space="preserve"> for</w:t>
      </w:r>
      <w:r>
        <w:rPr>
          <w:rFonts w:ascii="Times New Roman" w:hAnsi="Times New Roman" w:cs="Times New Roman"/>
          <w:b/>
          <w:sz w:val="24"/>
          <w:szCs w:val="24"/>
        </w:rPr>
        <w:t xml:space="preserve"> smaller companies. </w:t>
      </w:r>
      <w:r>
        <w:rPr>
          <w:rFonts w:ascii="Times New Roman" w:hAnsi="Times New Roman" w:cs="Times New Roman"/>
          <w:sz w:val="24"/>
          <w:szCs w:val="24"/>
        </w:rPr>
        <w:t>The Prospectus is the gateway to EU capital markets. It needs to be simple to produce, clear for investors and approved quickly. The new Prospectus rules should help generate more and less costly financing opportunities for companies. They need to be implemented as rapidly as possible. The Commission will do its utmost to support the co-legislators in finding an agreement before the end of the year.</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Measures to strengthen venture capital markets will make it easier for medium-sized innovative</w:t>
      </w:r>
      <w:r w:rsidR="009B17F0">
        <w:rPr>
          <w:rFonts w:ascii="Times New Roman" w:hAnsi="Times New Roman" w:cs="Times New Roman"/>
          <w:b/>
          <w:sz w:val="24"/>
          <w:szCs w:val="24"/>
        </w:rPr>
        <w:t xml:space="preserve"> </w:t>
      </w:r>
      <w:r>
        <w:rPr>
          <w:rFonts w:ascii="Times New Roman" w:hAnsi="Times New Roman" w:cs="Times New Roman"/>
          <w:b/>
          <w:sz w:val="24"/>
          <w:szCs w:val="24"/>
        </w:rPr>
        <w:t>companies to get financing.</w:t>
      </w:r>
      <w:r>
        <w:rPr>
          <w:rFonts w:ascii="Times New Roman" w:hAnsi="Times New Roman" w:cs="Times New Roman"/>
          <w:sz w:val="24"/>
          <w:szCs w:val="24"/>
        </w:rPr>
        <w:t xml:space="preserve"> As part of the third pillar of the Investment Plan for Europe, the Commission proposed revised European Venture Capital Fund and European Social Entrepreneurship Fund Regulations. The proposals will boost investment into venture capital and social projects and make it easier for investors to invest in </w:t>
      </w:r>
      <w:r w:rsidR="00720095" w:rsidRPr="00720095">
        <w:rPr>
          <w:rFonts w:ascii="Times New Roman" w:hAnsi="Times New Roman" w:cs="Times New Roman"/>
          <w:sz w:val="24"/>
          <w:szCs w:val="24"/>
        </w:rPr>
        <w:t xml:space="preserve">small and </w:t>
      </w:r>
      <w:r>
        <w:rPr>
          <w:rFonts w:ascii="Times New Roman" w:hAnsi="Times New Roman" w:cs="Times New Roman"/>
          <w:sz w:val="24"/>
          <w:szCs w:val="24"/>
        </w:rPr>
        <w:t>medium-sized innovative</w:t>
      </w:r>
      <w:r w:rsidR="00720095" w:rsidRPr="00720095" w:rsidDel="00720095">
        <w:rPr>
          <w:rFonts w:ascii="Times New Roman" w:hAnsi="Times New Roman" w:cs="Times New Roman"/>
          <w:sz w:val="24"/>
          <w:szCs w:val="24"/>
        </w:rPr>
        <w:t xml:space="preserve"> </w:t>
      </w:r>
      <w:r>
        <w:rPr>
          <w:rFonts w:ascii="Times New Roman" w:hAnsi="Times New Roman" w:cs="Times New Roman"/>
          <w:sz w:val="24"/>
          <w:szCs w:val="24"/>
        </w:rPr>
        <w:t xml:space="preserve">companies by opening up the regulation to fund managers of all sizes and by expanding the range of companies that can be invested in. To make the cross border marketing of funds cheaper and easier, the proposals explicitly prohibit fees levied by Member States. To continue building confidence in the EU venture capital market, the Commission calls on the European Parliament and the Council </w:t>
      </w:r>
      <w:r w:rsidR="001040B2">
        <w:rPr>
          <w:rFonts w:ascii="Times New Roman" w:hAnsi="Times New Roman" w:cs="Times New Roman"/>
          <w:sz w:val="24"/>
          <w:szCs w:val="24"/>
        </w:rPr>
        <w:t xml:space="preserve">to </w:t>
      </w:r>
      <w:r>
        <w:rPr>
          <w:rFonts w:ascii="Times New Roman" w:hAnsi="Times New Roman" w:cs="Times New Roman"/>
          <w:sz w:val="24"/>
          <w:szCs w:val="24"/>
        </w:rPr>
        <w:t xml:space="preserve">finalise this proposal by the end of 2016. In addition the Commission will </w:t>
      </w:r>
      <w:r w:rsidR="00AF53BC">
        <w:rPr>
          <w:rFonts w:ascii="Times New Roman" w:hAnsi="Times New Roman" w:cs="Times New Roman"/>
          <w:sz w:val="24"/>
          <w:szCs w:val="24"/>
        </w:rPr>
        <w:t xml:space="preserve">promote the </w:t>
      </w:r>
      <w:r>
        <w:rPr>
          <w:rFonts w:ascii="Times New Roman" w:hAnsi="Times New Roman" w:cs="Times New Roman"/>
          <w:sz w:val="24"/>
          <w:szCs w:val="24"/>
        </w:rPr>
        <w:t>establish</w:t>
      </w:r>
      <w:r w:rsidR="00AF53BC">
        <w:rPr>
          <w:rFonts w:ascii="Times New Roman" w:hAnsi="Times New Roman" w:cs="Times New Roman"/>
          <w:sz w:val="24"/>
          <w:szCs w:val="24"/>
        </w:rPr>
        <w:t>ment of</w:t>
      </w:r>
      <w:r>
        <w:rPr>
          <w:rFonts w:ascii="Times New Roman" w:hAnsi="Times New Roman" w:cs="Times New Roman"/>
          <w:sz w:val="24"/>
          <w:szCs w:val="24"/>
        </w:rPr>
        <w:t xml:space="preserve"> one or more Venture Capital Fund-of-Funds to support innovative investments in Europe and continue to work on other measures to support venture capital.</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C</w:t>
      </w:r>
      <w:r w:rsidR="00A62FFE">
        <w:rPr>
          <w:rFonts w:ascii="Times New Roman" w:hAnsi="Times New Roman" w:cs="Times New Roman"/>
          <w:b/>
          <w:sz w:val="24"/>
          <w:szCs w:val="24"/>
        </w:rPr>
        <w:t xml:space="preserve">MU </w:t>
      </w:r>
      <w:r>
        <w:rPr>
          <w:rFonts w:ascii="Times New Roman" w:hAnsi="Times New Roman" w:cs="Times New Roman"/>
          <w:b/>
          <w:sz w:val="24"/>
          <w:szCs w:val="24"/>
        </w:rPr>
        <w:t xml:space="preserve">is a project for all Member States. </w:t>
      </w:r>
      <w:r>
        <w:rPr>
          <w:rFonts w:ascii="Times New Roman" w:hAnsi="Times New Roman" w:cs="Times New Roman"/>
          <w:sz w:val="24"/>
          <w:szCs w:val="24"/>
        </w:rPr>
        <w:t>Capital markets are at different stages of development across Member States and smaller companies need access to finance through efficient and accessible local channels. To support the development of national and regional capital markets the Commission has developed capacity to provide technical assistance to Member States upon request. To launch the first projects in early 2017, the co-legislators need to rapidly conclude the negotiations on the Commission's proposal for a Regulation on the establishment of a Structural Reform Support Programme (SRSP) for the period 2017-2020.</w:t>
      </w:r>
      <w:r w:rsidR="00B01E73">
        <w:rPr>
          <w:rStyle w:val="FootnoteReference"/>
          <w:rFonts w:ascii="Times New Roman" w:hAnsi="Times New Roman" w:cs="Times New Roman"/>
          <w:sz w:val="24"/>
          <w:szCs w:val="24"/>
        </w:rPr>
        <w:footnoteReference w:id="7"/>
      </w:r>
    </w:p>
    <w:p w:rsidR="00C26F79" w:rsidRDefault="00C26F79" w:rsidP="00CB772B">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 Accelerating delivery of the next phase of CMU actions</w:t>
      </w:r>
    </w:p>
    <w:p w:rsidR="0065153D" w:rsidRPr="00CB772B" w:rsidRDefault="0065153D" w:rsidP="00CB772B">
      <w:pPr>
        <w:spacing w:line="240" w:lineRule="auto"/>
        <w:jc w:val="both"/>
        <w:rPr>
          <w:rFonts w:ascii="Times New Roman" w:hAnsi="Times New Roman" w:cs="Times New Roman"/>
          <w:sz w:val="24"/>
          <w:szCs w:val="24"/>
        </w:rPr>
      </w:pPr>
      <w:r w:rsidRPr="00F8129D">
        <w:rPr>
          <w:rFonts w:ascii="Times New Roman" w:hAnsi="Times New Roman" w:cs="Times New Roman"/>
          <w:b/>
          <w:sz w:val="24"/>
          <w:szCs w:val="24"/>
        </w:rPr>
        <w:t xml:space="preserve">Inefficiencies and differences in national insolvency frameworks generate legal uncertainty, </w:t>
      </w:r>
      <w:r w:rsidR="00C6365A" w:rsidRPr="00F8129D">
        <w:rPr>
          <w:rFonts w:ascii="Times New Roman" w:hAnsi="Times New Roman" w:cs="Times New Roman"/>
          <w:b/>
          <w:sz w:val="24"/>
          <w:szCs w:val="24"/>
        </w:rPr>
        <w:t xml:space="preserve">obstacles to recovery of value by creditors, </w:t>
      </w:r>
      <w:r w:rsidRPr="00F8129D">
        <w:rPr>
          <w:rFonts w:ascii="Times New Roman" w:hAnsi="Times New Roman" w:cs="Times New Roman"/>
          <w:b/>
          <w:sz w:val="24"/>
          <w:szCs w:val="24"/>
        </w:rPr>
        <w:t xml:space="preserve">and barriers to the efficient restructuring of viable companies in the EU, including for cross-border groups. </w:t>
      </w:r>
      <w:r w:rsidRPr="00CB772B">
        <w:rPr>
          <w:rFonts w:ascii="Times New Roman" w:hAnsi="Times New Roman" w:cs="Times New Roman"/>
          <w:sz w:val="24"/>
          <w:szCs w:val="24"/>
        </w:rPr>
        <w:t>The Commission will present shortly a proposal on business restructuring and second c</w:t>
      </w:r>
      <w:r w:rsidRPr="0065153D">
        <w:rPr>
          <w:rFonts w:ascii="Times New Roman" w:hAnsi="Times New Roman" w:cs="Times New Roman"/>
          <w:sz w:val="24"/>
          <w:szCs w:val="24"/>
        </w:rPr>
        <w:t>hance</w:t>
      </w:r>
      <w:r w:rsidR="00A45F9E">
        <w:rPr>
          <w:rFonts w:ascii="Times New Roman" w:hAnsi="Times New Roman" w:cs="Times New Roman"/>
          <w:sz w:val="24"/>
          <w:szCs w:val="24"/>
        </w:rPr>
        <w:t xml:space="preserve">, </w:t>
      </w:r>
      <w:r w:rsidRPr="00CB772B">
        <w:rPr>
          <w:rFonts w:ascii="Times New Roman" w:hAnsi="Times New Roman" w:cs="Times New Roman"/>
          <w:sz w:val="24"/>
          <w:szCs w:val="24"/>
        </w:rPr>
        <w:t xml:space="preserve">key </w:t>
      </w:r>
      <w:r w:rsidR="00A45F9E">
        <w:rPr>
          <w:rFonts w:ascii="Times New Roman" w:hAnsi="Times New Roman" w:cs="Times New Roman"/>
          <w:sz w:val="24"/>
          <w:szCs w:val="24"/>
        </w:rPr>
        <w:t xml:space="preserve">elements </w:t>
      </w:r>
      <w:r w:rsidRPr="00CB772B">
        <w:rPr>
          <w:rFonts w:ascii="Times New Roman" w:hAnsi="Times New Roman" w:cs="Times New Roman"/>
          <w:sz w:val="24"/>
          <w:szCs w:val="24"/>
        </w:rPr>
        <w:t xml:space="preserve">of an appropriate insolvency framework. </w:t>
      </w:r>
      <w:r>
        <w:rPr>
          <w:rFonts w:ascii="Times New Roman" w:hAnsi="Times New Roman" w:cs="Times New Roman"/>
          <w:sz w:val="24"/>
          <w:szCs w:val="24"/>
        </w:rPr>
        <w:t>A</w:t>
      </w:r>
      <w:r w:rsidRPr="00CB772B">
        <w:rPr>
          <w:rFonts w:ascii="Times New Roman" w:hAnsi="Times New Roman" w:cs="Times New Roman"/>
          <w:sz w:val="24"/>
          <w:szCs w:val="24"/>
        </w:rPr>
        <w:t xml:space="preserve">llowing honest entrepreneurs to benefit from a second chance after overcoming bankruptcy is crucial for ensuring a dynamic business environment and promoting innovation. The Commission is also conducting a benchmarking review of loan enforcement </w:t>
      </w:r>
      <w:r w:rsidR="00225290">
        <w:rPr>
          <w:rFonts w:ascii="Times New Roman" w:hAnsi="Times New Roman" w:cs="Times New Roman"/>
          <w:sz w:val="24"/>
          <w:szCs w:val="24"/>
        </w:rPr>
        <w:t xml:space="preserve">(including </w:t>
      </w:r>
      <w:r>
        <w:rPr>
          <w:rFonts w:ascii="Times New Roman" w:hAnsi="Times New Roman" w:cs="Times New Roman"/>
          <w:sz w:val="24"/>
          <w:szCs w:val="24"/>
        </w:rPr>
        <w:t>insolvency</w:t>
      </w:r>
      <w:r w:rsidR="00225290">
        <w:rPr>
          <w:rFonts w:ascii="Times New Roman" w:hAnsi="Times New Roman" w:cs="Times New Roman"/>
          <w:sz w:val="24"/>
          <w:szCs w:val="24"/>
        </w:rPr>
        <w:t>)</w:t>
      </w:r>
      <w:r>
        <w:rPr>
          <w:rFonts w:ascii="Times New Roman" w:hAnsi="Times New Roman" w:cs="Times New Roman"/>
          <w:sz w:val="24"/>
          <w:szCs w:val="24"/>
        </w:rPr>
        <w:t xml:space="preserve"> </w:t>
      </w:r>
      <w:r w:rsidRPr="00CB772B">
        <w:rPr>
          <w:rFonts w:ascii="Times New Roman" w:hAnsi="Times New Roman" w:cs="Times New Roman"/>
          <w:sz w:val="24"/>
          <w:szCs w:val="24"/>
        </w:rPr>
        <w:t xml:space="preserve">regimes to establish a detailed and reliable picture of the outcomes that banks experience when faced with defaulting loans in terms of delays, costs and value-recovery. The review will assist Member States seeking to increase the efficiency and transparency of their </w:t>
      </w:r>
      <w:r w:rsidR="00225290">
        <w:rPr>
          <w:rFonts w:ascii="Times New Roman" w:hAnsi="Times New Roman" w:cs="Times New Roman"/>
          <w:sz w:val="24"/>
          <w:szCs w:val="24"/>
        </w:rPr>
        <w:t>regimes.</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Taxation regimes </w:t>
      </w:r>
      <w:r w:rsidR="00732E79">
        <w:rPr>
          <w:rFonts w:ascii="Times New Roman" w:hAnsi="Times New Roman" w:cs="Times New Roman"/>
          <w:b/>
          <w:sz w:val="24"/>
          <w:szCs w:val="24"/>
        </w:rPr>
        <w:t xml:space="preserve">can </w:t>
      </w:r>
      <w:r>
        <w:rPr>
          <w:rFonts w:ascii="Times New Roman" w:hAnsi="Times New Roman" w:cs="Times New Roman"/>
          <w:b/>
          <w:sz w:val="24"/>
          <w:szCs w:val="24"/>
        </w:rPr>
        <w:t xml:space="preserve">present barriers to the development of cross border capital markets. </w:t>
      </w:r>
      <w:r>
        <w:rPr>
          <w:rFonts w:ascii="Times New Roman" w:hAnsi="Times New Roman" w:cs="Times New Roman"/>
          <w:sz w:val="24"/>
          <w:szCs w:val="24"/>
        </w:rPr>
        <w:t xml:space="preserve">The Commission is taking action to encourage Member States to </w:t>
      </w:r>
      <w:r w:rsidR="00732E79">
        <w:rPr>
          <w:rFonts w:ascii="Times New Roman" w:hAnsi="Times New Roman" w:cs="Times New Roman"/>
          <w:sz w:val="24"/>
          <w:szCs w:val="24"/>
        </w:rPr>
        <w:t xml:space="preserve">address </w:t>
      </w:r>
      <w:r>
        <w:rPr>
          <w:rFonts w:ascii="Times New Roman" w:hAnsi="Times New Roman" w:cs="Times New Roman"/>
          <w:sz w:val="24"/>
          <w:szCs w:val="24"/>
        </w:rPr>
        <w:t xml:space="preserve">withholding tax </w:t>
      </w:r>
      <w:r w:rsidR="00732E79">
        <w:rPr>
          <w:rFonts w:ascii="Times New Roman" w:hAnsi="Times New Roman" w:cs="Times New Roman"/>
          <w:sz w:val="24"/>
          <w:szCs w:val="24"/>
        </w:rPr>
        <w:t>refund procedures</w:t>
      </w:r>
      <w:r>
        <w:rPr>
          <w:rFonts w:ascii="Times New Roman" w:hAnsi="Times New Roman" w:cs="Times New Roman"/>
          <w:sz w:val="24"/>
          <w:szCs w:val="24"/>
        </w:rPr>
        <w:t xml:space="preserve"> and encourage best tax practices in promoting venture capital</w:t>
      </w:r>
      <w:r w:rsidR="00732E79">
        <w:rPr>
          <w:rFonts w:ascii="Times New Roman" w:hAnsi="Times New Roman" w:cs="Times New Roman"/>
          <w:sz w:val="24"/>
          <w:szCs w:val="24"/>
        </w:rPr>
        <w:t xml:space="preserve"> </w:t>
      </w:r>
      <w:r w:rsidR="00732E79" w:rsidRPr="00732E79">
        <w:rPr>
          <w:rFonts w:ascii="Times New Roman" w:hAnsi="Times New Roman" w:cs="Times New Roman"/>
          <w:sz w:val="24"/>
          <w:szCs w:val="24"/>
        </w:rPr>
        <w:t>and business angel investment into start-ups and innovative companies</w:t>
      </w:r>
      <w:r>
        <w:rPr>
          <w:rFonts w:ascii="Times New Roman" w:hAnsi="Times New Roman" w:cs="Times New Roman"/>
          <w:sz w:val="24"/>
          <w:szCs w:val="24"/>
        </w:rPr>
        <w:t xml:space="preserve">. </w:t>
      </w:r>
      <w:r w:rsidRPr="00CA6FC9">
        <w:rPr>
          <w:rFonts w:ascii="Times New Roman" w:hAnsi="Times New Roman" w:cs="Times New Roman"/>
          <w:sz w:val="24"/>
          <w:szCs w:val="24"/>
        </w:rPr>
        <w:t>Increasing equity financing</w:t>
      </w:r>
      <w:r>
        <w:rPr>
          <w:rFonts w:ascii="Times New Roman" w:hAnsi="Times New Roman" w:cs="Times New Roman"/>
          <w:sz w:val="24"/>
          <w:szCs w:val="24"/>
        </w:rPr>
        <w:t>, which is relatively underdeveloped</w:t>
      </w:r>
      <w:r w:rsidRPr="00CA6FC9">
        <w:rPr>
          <w:rFonts w:ascii="Times New Roman" w:hAnsi="Times New Roman" w:cs="Times New Roman"/>
          <w:sz w:val="24"/>
          <w:szCs w:val="24"/>
        </w:rPr>
        <w:t xml:space="preserve"> in Europe</w:t>
      </w:r>
      <w:r>
        <w:rPr>
          <w:rFonts w:ascii="Times New Roman" w:hAnsi="Times New Roman" w:cs="Times New Roman"/>
          <w:sz w:val="24"/>
          <w:szCs w:val="24"/>
        </w:rPr>
        <w:t>,</w:t>
      </w:r>
      <w:r w:rsidRPr="00CA6FC9">
        <w:rPr>
          <w:rFonts w:ascii="Times New Roman" w:hAnsi="Times New Roman" w:cs="Times New Roman"/>
          <w:sz w:val="24"/>
          <w:szCs w:val="24"/>
        </w:rPr>
        <w:t xml:space="preserve"> requires changes to taxation frameworks.</w:t>
      </w:r>
      <w:r>
        <w:rPr>
          <w:rFonts w:ascii="Times New Roman" w:hAnsi="Times New Roman" w:cs="Times New Roman"/>
          <w:b/>
          <w:sz w:val="24"/>
          <w:szCs w:val="24"/>
        </w:rPr>
        <w:t xml:space="preserve"> </w:t>
      </w:r>
      <w:r>
        <w:rPr>
          <w:rFonts w:ascii="Times New Roman" w:hAnsi="Times New Roman" w:cs="Times New Roman"/>
          <w:sz w:val="24"/>
          <w:szCs w:val="24"/>
        </w:rPr>
        <w:t xml:space="preserve">Addressing the preferential tax treatment of debt over equity </w:t>
      </w:r>
      <w:r w:rsidRPr="003C2746">
        <w:rPr>
          <w:rFonts w:ascii="Times New Roman" w:hAnsi="Times New Roman" w:cs="Times New Roman"/>
          <w:sz w:val="24"/>
          <w:szCs w:val="24"/>
        </w:rPr>
        <w:t xml:space="preserve">would encourage more equity investments and create a stronger equity base in companies. </w:t>
      </w:r>
      <w:r>
        <w:rPr>
          <w:rFonts w:ascii="Times New Roman" w:hAnsi="Times New Roman" w:cs="Times New Roman"/>
          <w:sz w:val="24"/>
          <w:szCs w:val="24"/>
        </w:rPr>
        <w:t>It would a</w:t>
      </w:r>
      <w:r w:rsidRPr="003C2746">
        <w:rPr>
          <w:rFonts w:ascii="Times New Roman" w:hAnsi="Times New Roman" w:cs="Times New Roman"/>
          <w:sz w:val="24"/>
          <w:szCs w:val="24"/>
        </w:rPr>
        <w:t>lso</w:t>
      </w:r>
      <w:r>
        <w:rPr>
          <w:rFonts w:ascii="Times New Roman" w:hAnsi="Times New Roman" w:cs="Times New Roman"/>
          <w:sz w:val="24"/>
          <w:szCs w:val="24"/>
        </w:rPr>
        <w:t xml:space="preserve"> provide</w:t>
      </w:r>
      <w:r w:rsidRPr="003C2746">
        <w:rPr>
          <w:rFonts w:ascii="Times New Roman" w:hAnsi="Times New Roman" w:cs="Times New Roman"/>
          <w:sz w:val="24"/>
          <w:szCs w:val="24"/>
        </w:rPr>
        <w:t xml:space="preserve"> benefits in terms of financial stability, as companies with a stronger capital base would be less vulnerable to shocks. </w:t>
      </w:r>
      <w:r w:rsidRPr="00BF7A18">
        <w:rPr>
          <w:rFonts w:ascii="Times New Roman" w:hAnsi="Times New Roman" w:cs="Times New Roman"/>
          <w:sz w:val="24"/>
          <w:szCs w:val="24"/>
        </w:rPr>
        <w:t xml:space="preserve">The Commission intends to issue a proposal on the debt-equity bias in November, </w:t>
      </w:r>
      <w:r w:rsidR="00DD1FEE" w:rsidRPr="00BF7A18">
        <w:rPr>
          <w:rFonts w:ascii="Times New Roman" w:hAnsi="Times New Roman" w:cs="Times New Roman"/>
          <w:sz w:val="24"/>
          <w:szCs w:val="24"/>
        </w:rPr>
        <w:t xml:space="preserve">in the context of </w:t>
      </w:r>
      <w:r w:rsidRPr="00BF7A18">
        <w:rPr>
          <w:rFonts w:ascii="Times New Roman" w:hAnsi="Times New Roman" w:cs="Times New Roman"/>
          <w:sz w:val="24"/>
          <w:szCs w:val="24"/>
        </w:rPr>
        <w:t>its proposal on the CCTB</w:t>
      </w:r>
      <w:r w:rsidR="00DD1FEE" w:rsidRPr="00BF7A18">
        <w:rPr>
          <w:rStyle w:val="FootnoteReference"/>
          <w:rFonts w:ascii="Times New Roman" w:hAnsi="Times New Roman" w:cs="Times New Roman"/>
          <w:sz w:val="24"/>
          <w:szCs w:val="24"/>
        </w:rPr>
        <w:footnoteReference w:id="8"/>
      </w:r>
      <w:r w:rsidRPr="00BF7A18">
        <w:rPr>
          <w:rFonts w:ascii="Times New Roman" w:hAnsi="Times New Roman" w:cs="Times New Roman"/>
          <w:sz w:val="24"/>
          <w:szCs w:val="24"/>
        </w:rPr>
        <w:t>, and calls on the Council to adopt th</w:t>
      </w:r>
      <w:r w:rsidR="007504EE" w:rsidRPr="00BF7A18">
        <w:rPr>
          <w:rFonts w:ascii="Times New Roman" w:hAnsi="Times New Roman" w:cs="Times New Roman"/>
          <w:sz w:val="24"/>
          <w:szCs w:val="24"/>
        </w:rPr>
        <w:t>at</w:t>
      </w:r>
      <w:r w:rsidRPr="00BF7A18">
        <w:rPr>
          <w:rFonts w:ascii="Times New Roman" w:hAnsi="Times New Roman" w:cs="Times New Roman"/>
          <w:sz w:val="24"/>
          <w:szCs w:val="24"/>
        </w:rPr>
        <w:t xml:space="preserve"> m</w:t>
      </w:r>
      <w:r w:rsidR="00F81B4D" w:rsidRPr="00BF7A18">
        <w:rPr>
          <w:rFonts w:ascii="Times New Roman" w:hAnsi="Times New Roman" w:cs="Times New Roman"/>
          <w:sz w:val="24"/>
          <w:szCs w:val="24"/>
        </w:rPr>
        <w:t>easure as rapidly as possible.</w:t>
      </w:r>
      <w:r w:rsidRPr="00A671AA">
        <w:rPr>
          <w:rFonts w:ascii="Times New Roman" w:hAnsi="Times New Roman" w:cs="Times New Roman"/>
          <w:sz w:val="24"/>
          <w:szCs w:val="24"/>
        </w:rPr>
        <w:t xml:space="preserve"> </w:t>
      </w:r>
    </w:p>
    <w:p w:rsidR="00C26F79" w:rsidRDefault="008454CA"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T</w:t>
      </w:r>
      <w:r w:rsidR="00C26F79" w:rsidRPr="00A671AA">
        <w:rPr>
          <w:rFonts w:ascii="Times New Roman" w:hAnsi="Times New Roman" w:cs="Times New Roman"/>
          <w:b/>
          <w:sz w:val="24"/>
          <w:szCs w:val="24"/>
        </w:rPr>
        <w:t>he EFSI 2.0-proposal</w:t>
      </w:r>
      <w:r w:rsidR="009A1DA5">
        <w:rPr>
          <w:rFonts w:ascii="Times New Roman" w:hAnsi="Times New Roman" w:cs="Times New Roman"/>
          <w:b/>
          <w:sz w:val="24"/>
          <w:szCs w:val="24"/>
        </w:rPr>
        <w:t xml:space="preserve"> will significantly reinforce</w:t>
      </w:r>
      <w:r w:rsidR="00C26F79" w:rsidRPr="00A671AA">
        <w:rPr>
          <w:rFonts w:ascii="Times New Roman" w:hAnsi="Times New Roman" w:cs="Times New Roman"/>
          <w:b/>
          <w:sz w:val="24"/>
          <w:szCs w:val="24"/>
        </w:rPr>
        <w:t xml:space="preserve"> the Investment Plan for Europe.</w:t>
      </w:r>
      <w:r w:rsidR="00C26F79">
        <w:rPr>
          <w:rFonts w:ascii="Times New Roman" w:hAnsi="Times New Roman" w:cs="Times New Roman"/>
          <w:sz w:val="24"/>
          <w:szCs w:val="24"/>
        </w:rPr>
        <w:t xml:space="preserve"> </w:t>
      </w:r>
      <w:r w:rsidR="00C26F79">
        <w:rPr>
          <w:rFonts w:ascii="Times New Roman" w:hAnsi="Times New Roman" w:cs="Times New Roman"/>
          <w:b/>
          <w:sz w:val="24"/>
          <w:szCs w:val="24"/>
        </w:rPr>
        <w:t>Europe requires large amounts of additional long-term sustainable investment to support jobs, growth</w:t>
      </w:r>
      <w:r w:rsidR="006F6562">
        <w:rPr>
          <w:rFonts w:ascii="Times New Roman" w:hAnsi="Times New Roman" w:cs="Times New Roman"/>
          <w:b/>
          <w:sz w:val="24"/>
          <w:szCs w:val="24"/>
        </w:rPr>
        <w:t xml:space="preserve">, </w:t>
      </w:r>
      <w:r w:rsidR="00C26F79">
        <w:rPr>
          <w:rFonts w:ascii="Times New Roman" w:hAnsi="Times New Roman" w:cs="Times New Roman"/>
          <w:b/>
          <w:sz w:val="24"/>
          <w:szCs w:val="24"/>
        </w:rPr>
        <w:t>competitiveness</w:t>
      </w:r>
      <w:r w:rsidR="006F6562">
        <w:rPr>
          <w:rFonts w:ascii="Times New Roman" w:hAnsi="Times New Roman" w:cs="Times New Roman"/>
          <w:b/>
          <w:sz w:val="24"/>
          <w:szCs w:val="24"/>
        </w:rPr>
        <w:t xml:space="preserve"> and a low-carbon economy</w:t>
      </w:r>
      <w:r w:rsidR="00C26F79">
        <w:rPr>
          <w:rFonts w:ascii="Times New Roman" w:hAnsi="Times New Roman" w:cs="Times New Roman"/>
          <w:b/>
          <w:sz w:val="24"/>
          <w:szCs w:val="24"/>
        </w:rPr>
        <w:t xml:space="preserve">. Public support through the Reinforced Investment Plan for Europe will help with its focus on market failures and suboptimal investment situations, but further measures are needed to unlock private investment for the longer term. </w:t>
      </w:r>
      <w:r w:rsidR="00C26F79">
        <w:rPr>
          <w:rFonts w:ascii="Times New Roman" w:hAnsi="Times New Roman" w:cs="Times New Roman"/>
          <w:sz w:val="24"/>
          <w:szCs w:val="24"/>
        </w:rPr>
        <w:t xml:space="preserve">To further facilitate investments in infrastructure assets by institutional investors, the Commission will adopt an amendment to the Solvency II Delegated Act to reduce the capital charges attached to investments by insurance companies in infrastructure corporates. In parallel, the Commission will as part of the review of the Capital Requirement Regulation and Directive before the end of the year, propose to expand the favourable capital treatment for loans to SMEs and to reduce the capital requirements attached to investments in infrastructure. </w:t>
      </w:r>
    </w:p>
    <w:p w:rsidR="00C26F79" w:rsidRDefault="00C26F79" w:rsidP="00CB772B">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 Next steps: developing further priorities</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The Commission will consider proposals for a simple, efficient and competitive EU personal pension product.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Personal pensions have an important role to play in linking long-term savers with long-term investment opportunities. Personal pensions can help address the demographic challenges of aging populations, evolving working patterns among the workforce, and </w:t>
      </w:r>
      <w:r w:rsidR="00B17A22">
        <w:rPr>
          <w:rFonts w:ascii="Times New Roman" w:hAnsi="Times New Roman" w:cs="Times New Roman"/>
          <w:sz w:val="24"/>
          <w:szCs w:val="24"/>
        </w:rPr>
        <w:t xml:space="preserve">help </w:t>
      </w:r>
      <w:r w:rsidR="00B731D9">
        <w:rPr>
          <w:rFonts w:ascii="Times New Roman" w:hAnsi="Times New Roman" w:cs="Times New Roman"/>
          <w:sz w:val="24"/>
          <w:szCs w:val="24"/>
        </w:rPr>
        <w:t xml:space="preserve">in </w:t>
      </w:r>
      <w:r>
        <w:rPr>
          <w:rFonts w:ascii="Times New Roman" w:hAnsi="Times New Roman" w:cs="Times New Roman"/>
          <w:sz w:val="24"/>
          <w:szCs w:val="24"/>
        </w:rPr>
        <w:t xml:space="preserve">securing adequate replacement rates in the future as a complement to state-based or occupational pensions. </w:t>
      </w:r>
      <w:r w:rsidR="00B17A22" w:rsidRPr="00B17A22">
        <w:rPr>
          <w:rFonts w:ascii="Times New Roman" w:hAnsi="Times New Roman" w:cs="Times New Roman"/>
          <w:sz w:val="24"/>
          <w:szCs w:val="24"/>
        </w:rPr>
        <w:t xml:space="preserve">As a result of fewer barriers to the provision of pension services across borders, an EU personal pension product would increase competition between pension providers, enable services to be sold into bigger markets and create economies of scale that should benefit </w:t>
      </w:r>
      <w:r w:rsidR="00047828">
        <w:rPr>
          <w:rFonts w:ascii="Times New Roman" w:hAnsi="Times New Roman" w:cs="Times New Roman"/>
          <w:sz w:val="24"/>
          <w:szCs w:val="24"/>
        </w:rPr>
        <w:t>savers</w:t>
      </w:r>
      <w:r w:rsidR="00B17A22" w:rsidRPr="00B17A22">
        <w:rPr>
          <w:rFonts w:ascii="Times New Roman" w:hAnsi="Times New Roman" w:cs="Times New Roman"/>
          <w:sz w:val="24"/>
          <w:szCs w:val="24"/>
        </w:rPr>
        <w:t xml:space="preserve">. </w:t>
      </w:r>
      <w:r>
        <w:rPr>
          <w:rFonts w:ascii="Times New Roman" w:hAnsi="Times New Roman" w:cs="Times New Roman"/>
          <w:sz w:val="24"/>
          <w:szCs w:val="24"/>
        </w:rPr>
        <w:t>The Commission will base its approach on the results of the ongoing public consultation when deciding on the best way forw</w:t>
      </w:r>
      <w:r w:rsidR="00F81B4D">
        <w:rPr>
          <w:rFonts w:ascii="Times New Roman" w:hAnsi="Times New Roman" w:cs="Times New Roman"/>
          <w:sz w:val="24"/>
          <w:szCs w:val="24"/>
        </w:rPr>
        <w:t>ard to support these markets</w:t>
      </w:r>
      <w:r w:rsidR="00B01E73">
        <w:rPr>
          <w:rStyle w:val="FootnoteReference"/>
          <w:rFonts w:ascii="Times New Roman" w:hAnsi="Times New Roman" w:cs="Times New Roman"/>
          <w:sz w:val="24"/>
          <w:szCs w:val="24"/>
        </w:rPr>
        <w:footnoteReference w:id="10"/>
      </w:r>
      <w:r w:rsidR="00F81B4D">
        <w:rPr>
          <w:rFonts w:ascii="Times New Roman" w:hAnsi="Times New Roman" w:cs="Times New Roman"/>
          <w:sz w:val="24"/>
          <w:szCs w:val="24"/>
        </w:rPr>
        <w:t xml:space="preserve">.  </w:t>
      </w:r>
      <w:r>
        <w:rPr>
          <w:rFonts w:ascii="Times New Roman" w:hAnsi="Times New Roman" w:cs="Times New Roman"/>
          <w:sz w:val="24"/>
          <w:szCs w:val="24"/>
        </w:rPr>
        <w:t>Options under consideration include a possible legislative proposa</w:t>
      </w:r>
      <w:r w:rsidR="00F81B4D">
        <w:rPr>
          <w:rFonts w:ascii="Times New Roman" w:hAnsi="Times New Roman" w:cs="Times New Roman"/>
          <w:sz w:val="24"/>
          <w:szCs w:val="24"/>
        </w:rPr>
        <w:t>l which could be tabled in 2017</w:t>
      </w:r>
      <w:r>
        <w:rPr>
          <w:rFonts w:ascii="Times New Roman" w:hAnsi="Times New Roman" w:cs="Times New Roman"/>
          <w:sz w:val="24"/>
          <w:szCs w:val="24"/>
        </w:rPr>
        <w:t>.</w:t>
      </w:r>
    </w:p>
    <w:p w:rsidR="00833F30" w:rsidRDefault="00833F30" w:rsidP="00833F30">
      <w:pPr>
        <w:spacing w:line="240" w:lineRule="auto"/>
        <w:jc w:val="both"/>
        <w:rPr>
          <w:rFonts w:ascii="Times New Roman" w:hAnsi="Times New Roman" w:cs="Times New Roman"/>
          <w:sz w:val="24"/>
          <w:szCs w:val="24"/>
        </w:rPr>
      </w:pPr>
      <w:r w:rsidRPr="00B01E73">
        <w:rPr>
          <w:rFonts w:ascii="Times New Roman" w:hAnsi="Times New Roman" w:cs="Times New Roman"/>
          <w:b/>
          <w:sz w:val="24"/>
          <w:szCs w:val="24"/>
        </w:rPr>
        <w:t>The CMU aims to put</w:t>
      </w:r>
      <w:r>
        <w:rPr>
          <w:rFonts w:ascii="Times New Roman" w:hAnsi="Times New Roman" w:cs="Times New Roman"/>
          <w:b/>
          <w:sz w:val="24"/>
          <w:szCs w:val="24"/>
        </w:rPr>
        <w:t xml:space="preserve"> European savings to better use, improving the efficiency through which savers and borrowers are matched, and increasing the performance of the EU economy. </w:t>
      </w:r>
      <w:r>
        <w:rPr>
          <w:rFonts w:ascii="Times New Roman" w:hAnsi="Times New Roman" w:cs="Times New Roman"/>
          <w:sz w:val="24"/>
          <w:szCs w:val="24"/>
        </w:rPr>
        <w:t>Retail investor engagement is a critical challenge for the development of a stronger capital market in the EU. This requires greater confidence among retail investors, and transparency to help investors to make the right investment decisions</w:t>
      </w:r>
      <w:r w:rsidRPr="001E1D4F">
        <w:rPr>
          <w:rFonts w:ascii="Times New Roman" w:hAnsi="Times New Roman" w:cs="Times New Roman"/>
          <w:sz w:val="24"/>
          <w:szCs w:val="24"/>
        </w:rPr>
        <w:t>.</w:t>
      </w:r>
      <w:r w:rsidR="001476C9">
        <w:rPr>
          <w:rFonts w:ascii="Times New Roman" w:hAnsi="Times New Roman" w:cs="Times New Roman"/>
          <w:sz w:val="24"/>
          <w:szCs w:val="24"/>
        </w:rPr>
        <w:t xml:space="preserve"> T</w:t>
      </w:r>
      <w:r w:rsidRPr="001E1D4F">
        <w:rPr>
          <w:rFonts w:ascii="Times New Roman" w:hAnsi="Times New Roman" w:cs="Times New Roman"/>
          <w:sz w:val="24"/>
          <w:szCs w:val="24"/>
        </w:rPr>
        <w:t>he</w:t>
      </w:r>
      <w:r w:rsidRPr="001E1D4F" w:rsidDel="00A272E7">
        <w:rPr>
          <w:rFonts w:ascii="Times New Roman" w:hAnsi="Times New Roman" w:cs="Times New Roman"/>
          <w:sz w:val="24"/>
          <w:szCs w:val="24"/>
        </w:rPr>
        <w:t xml:space="preserve"> </w:t>
      </w:r>
      <w:r w:rsidRPr="001E1D4F">
        <w:rPr>
          <w:rFonts w:ascii="Times New Roman" w:hAnsi="Times New Roman" w:cs="Times New Roman"/>
          <w:sz w:val="24"/>
          <w:szCs w:val="24"/>
        </w:rPr>
        <w:t xml:space="preserve">Commission will present an action plan on retail financial services </w:t>
      </w:r>
      <w:r w:rsidR="001476C9" w:rsidRPr="001476C9">
        <w:rPr>
          <w:rFonts w:ascii="Times New Roman" w:hAnsi="Times New Roman" w:cs="Times New Roman"/>
          <w:sz w:val="24"/>
          <w:szCs w:val="24"/>
        </w:rPr>
        <w:t xml:space="preserve">to strengthen retail investor participation in capital markets </w:t>
      </w:r>
      <w:r w:rsidR="001476C9">
        <w:rPr>
          <w:rFonts w:ascii="Times New Roman" w:hAnsi="Times New Roman" w:cs="Times New Roman"/>
          <w:sz w:val="24"/>
          <w:szCs w:val="24"/>
        </w:rPr>
        <w:t xml:space="preserve">and </w:t>
      </w:r>
      <w:r w:rsidRPr="001E1D4F">
        <w:rPr>
          <w:rFonts w:ascii="Times New Roman" w:hAnsi="Times New Roman" w:cs="Times New Roman"/>
          <w:sz w:val="24"/>
          <w:szCs w:val="24"/>
        </w:rPr>
        <w:t>open up the European market for retail financial services to deliver better results for consumers and companies.</w:t>
      </w:r>
      <w:r>
        <w:rPr>
          <w:rFonts w:ascii="Times New Roman" w:hAnsi="Times New Roman" w:cs="Times New Roman"/>
          <w:sz w:val="24"/>
          <w:szCs w:val="24"/>
        </w:rPr>
        <w:t xml:space="preserve"> </w:t>
      </w:r>
    </w:p>
    <w:p w:rsidR="00C26F79" w:rsidRPr="003905D2"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Reforms </w:t>
      </w:r>
      <w:r w:rsidRPr="00635BF3">
        <w:rPr>
          <w:rFonts w:ascii="Times New Roman" w:hAnsi="Times New Roman" w:cs="Times New Roman"/>
          <w:b/>
          <w:sz w:val="24"/>
          <w:szCs w:val="24"/>
        </w:rPr>
        <w:t xml:space="preserve">for sustainable finance </w:t>
      </w:r>
      <w:r>
        <w:rPr>
          <w:rFonts w:ascii="Times New Roman" w:hAnsi="Times New Roman" w:cs="Times New Roman"/>
          <w:b/>
          <w:sz w:val="24"/>
          <w:szCs w:val="24"/>
        </w:rPr>
        <w:t>are necessary to support investment in</w:t>
      </w:r>
      <w:r w:rsidR="006F6562">
        <w:rPr>
          <w:rFonts w:ascii="Times New Roman" w:hAnsi="Times New Roman" w:cs="Times New Roman"/>
          <w:b/>
          <w:sz w:val="24"/>
          <w:szCs w:val="24"/>
        </w:rPr>
        <w:t xml:space="preserve"> clean </w:t>
      </w:r>
      <w:r>
        <w:rPr>
          <w:rFonts w:ascii="Times New Roman" w:hAnsi="Times New Roman" w:cs="Times New Roman"/>
          <w:b/>
          <w:sz w:val="24"/>
          <w:szCs w:val="24"/>
        </w:rPr>
        <w:t>technologies and their deployment</w:t>
      </w:r>
      <w:r w:rsidRPr="00952C78">
        <w:rPr>
          <w:rFonts w:ascii="Times New Roman" w:hAnsi="Times New Roman" w:cs="Times New Roman"/>
          <w:b/>
          <w:sz w:val="24"/>
          <w:szCs w:val="24"/>
        </w:rPr>
        <w:t xml:space="preserve">, </w:t>
      </w:r>
      <w:r>
        <w:rPr>
          <w:rFonts w:ascii="Times New Roman" w:hAnsi="Times New Roman" w:cs="Times New Roman"/>
          <w:b/>
          <w:sz w:val="24"/>
          <w:szCs w:val="24"/>
        </w:rPr>
        <w:t>ensure</w:t>
      </w:r>
      <w:r w:rsidRPr="00952C78">
        <w:rPr>
          <w:rFonts w:ascii="Times New Roman" w:hAnsi="Times New Roman" w:cs="Times New Roman"/>
          <w:b/>
          <w:sz w:val="24"/>
          <w:szCs w:val="24"/>
        </w:rPr>
        <w:t xml:space="preserve"> </w:t>
      </w:r>
      <w:r w:rsidR="004E1BC7">
        <w:rPr>
          <w:rFonts w:ascii="Times New Roman" w:hAnsi="Times New Roman" w:cs="Times New Roman"/>
          <w:b/>
          <w:sz w:val="24"/>
          <w:szCs w:val="24"/>
        </w:rPr>
        <w:t xml:space="preserve">that </w:t>
      </w:r>
      <w:r w:rsidRPr="00952C78">
        <w:rPr>
          <w:rFonts w:ascii="Times New Roman" w:hAnsi="Times New Roman" w:cs="Times New Roman"/>
          <w:b/>
          <w:sz w:val="24"/>
          <w:szCs w:val="24"/>
        </w:rPr>
        <w:t xml:space="preserve">the financial system </w:t>
      </w:r>
      <w:r>
        <w:rPr>
          <w:rFonts w:ascii="Times New Roman" w:hAnsi="Times New Roman" w:cs="Times New Roman"/>
          <w:b/>
          <w:sz w:val="24"/>
          <w:szCs w:val="24"/>
        </w:rPr>
        <w:t>can finance growth in a sustainable manner</w:t>
      </w:r>
      <w:r w:rsidR="004E1BC7">
        <w:rPr>
          <w:rFonts w:ascii="Times New Roman" w:hAnsi="Times New Roman" w:cs="Times New Roman"/>
          <w:b/>
          <w:sz w:val="24"/>
          <w:szCs w:val="24"/>
        </w:rPr>
        <w:t xml:space="preserve"> over the long term, </w:t>
      </w:r>
      <w:r w:rsidR="006F6562" w:rsidRPr="006F6562">
        <w:rPr>
          <w:rFonts w:ascii="Times New Roman" w:hAnsi="Times New Roman" w:cs="Times New Roman"/>
          <w:b/>
          <w:sz w:val="24"/>
          <w:szCs w:val="24"/>
        </w:rPr>
        <w:t>and contribute to the creation of a low-carbon, climate resilient economy</w:t>
      </w:r>
      <w:r w:rsidRPr="00952C78">
        <w:rPr>
          <w:rFonts w:ascii="Times New Roman" w:hAnsi="Times New Roman" w:cs="Times New Roman"/>
          <w:b/>
          <w:sz w:val="24"/>
          <w:szCs w:val="24"/>
        </w:rPr>
        <w:t xml:space="preserve">. </w:t>
      </w:r>
      <w:r w:rsidRPr="00CA6FC9">
        <w:rPr>
          <w:rFonts w:ascii="Times New Roman" w:hAnsi="Times New Roman" w:cs="Times New Roman"/>
          <w:sz w:val="24"/>
          <w:szCs w:val="24"/>
        </w:rPr>
        <w:t xml:space="preserve">Such </w:t>
      </w:r>
      <w:r w:rsidRPr="00A671AA">
        <w:rPr>
          <w:rFonts w:ascii="Times New Roman" w:hAnsi="Times New Roman"/>
          <w:sz w:val="24"/>
        </w:rPr>
        <w:t xml:space="preserve">reforms are </w:t>
      </w:r>
      <w:r w:rsidRPr="00CA6FC9">
        <w:rPr>
          <w:rFonts w:ascii="Times New Roman" w:hAnsi="Times New Roman" w:cs="Times New Roman"/>
          <w:sz w:val="24"/>
          <w:szCs w:val="24"/>
        </w:rPr>
        <w:t>essential to meet our climate and environment objectives and international commitments</w:t>
      </w:r>
      <w:r w:rsidR="001D1B35">
        <w:rPr>
          <w:rFonts w:ascii="Times New Roman" w:hAnsi="Times New Roman" w:cs="Times New Roman"/>
          <w:sz w:val="24"/>
          <w:szCs w:val="24"/>
        </w:rPr>
        <w:t xml:space="preserve"> </w:t>
      </w:r>
      <w:r w:rsidRPr="00CA6FC9">
        <w:rPr>
          <w:rFonts w:ascii="Times New Roman" w:hAnsi="Times New Roman" w:cs="Times New Roman"/>
          <w:sz w:val="24"/>
          <w:szCs w:val="24"/>
        </w:rPr>
        <w:t>including</w:t>
      </w:r>
      <w:r w:rsidRPr="00A671AA">
        <w:rPr>
          <w:rFonts w:ascii="Times New Roman" w:hAnsi="Times New Roman"/>
          <w:sz w:val="24"/>
        </w:rPr>
        <w:t xml:space="preserve"> the delivery of the </w:t>
      </w:r>
      <w:r w:rsidR="006F6562">
        <w:rPr>
          <w:rFonts w:ascii="Times New Roman" w:hAnsi="Times New Roman"/>
          <w:sz w:val="24"/>
        </w:rPr>
        <w:t>EU's commitment</w:t>
      </w:r>
      <w:r w:rsidR="007504EE">
        <w:rPr>
          <w:rFonts w:ascii="Times New Roman" w:hAnsi="Times New Roman"/>
          <w:sz w:val="24"/>
        </w:rPr>
        <w:t>s</w:t>
      </w:r>
      <w:r w:rsidR="006F6562">
        <w:rPr>
          <w:rFonts w:ascii="Times New Roman" w:hAnsi="Times New Roman"/>
          <w:sz w:val="24"/>
        </w:rPr>
        <w:t xml:space="preserve"> </w:t>
      </w:r>
      <w:r w:rsidR="001D1B35">
        <w:rPr>
          <w:rFonts w:ascii="Times New Roman" w:hAnsi="Times New Roman"/>
          <w:sz w:val="24"/>
        </w:rPr>
        <w:t xml:space="preserve">under </w:t>
      </w:r>
      <w:r w:rsidR="006F6562">
        <w:rPr>
          <w:rFonts w:ascii="Times New Roman" w:hAnsi="Times New Roman"/>
          <w:sz w:val="24"/>
        </w:rPr>
        <w:t xml:space="preserve">the </w:t>
      </w:r>
      <w:r w:rsidRPr="00A671AA">
        <w:rPr>
          <w:rFonts w:ascii="Times New Roman" w:hAnsi="Times New Roman"/>
          <w:sz w:val="24"/>
        </w:rPr>
        <w:t>Paris Agreement on climate change</w:t>
      </w:r>
      <w:r w:rsidR="007504EE">
        <w:rPr>
          <w:rStyle w:val="FootnoteReference"/>
          <w:rFonts w:ascii="Times New Roman" w:hAnsi="Times New Roman"/>
          <w:sz w:val="24"/>
        </w:rPr>
        <w:footnoteReference w:id="11"/>
      </w:r>
      <w:r w:rsidR="00FD0933">
        <w:rPr>
          <w:rFonts w:ascii="Times New Roman" w:hAnsi="Times New Roman"/>
          <w:sz w:val="24"/>
        </w:rPr>
        <w:t xml:space="preserve"> and </w:t>
      </w:r>
      <w:r w:rsidRPr="00CA6FC9">
        <w:rPr>
          <w:rFonts w:ascii="Times New Roman" w:hAnsi="Times New Roman" w:cs="Times New Roman"/>
          <w:sz w:val="24"/>
          <w:szCs w:val="24"/>
        </w:rPr>
        <w:t xml:space="preserve">the </w:t>
      </w:r>
      <w:r w:rsidR="001D1B35">
        <w:rPr>
          <w:rFonts w:ascii="Times New Roman" w:hAnsi="Times New Roman" w:cs="Times New Roman"/>
          <w:sz w:val="24"/>
          <w:szCs w:val="24"/>
        </w:rPr>
        <w:t xml:space="preserve">objectives of the </w:t>
      </w:r>
      <w:r w:rsidRPr="00CA6FC9">
        <w:rPr>
          <w:rFonts w:ascii="Times New Roman" w:hAnsi="Times New Roman" w:cs="Times New Roman"/>
          <w:sz w:val="24"/>
          <w:szCs w:val="24"/>
        </w:rPr>
        <w:t>2015 Circular Economy package</w:t>
      </w:r>
      <w:r w:rsidR="00B01E73">
        <w:rPr>
          <w:rStyle w:val="FootnoteReference"/>
          <w:rFonts w:ascii="Times New Roman" w:hAnsi="Times New Roman" w:cs="Times New Roman"/>
          <w:sz w:val="24"/>
          <w:szCs w:val="24"/>
        </w:rPr>
        <w:footnoteReference w:id="12"/>
      </w:r>
      <w:r w:rsidR="00377BD9">
        <w:rPr>
          <w:rFonts w:ascii="Times New Roman" w:hAnsi="Times New Roman" w:cs="Times New Roman"/>
          <w:sz w:val="24"/>
          <w:szCs w:val="24"/>
        </w:rPr>
        <w:t>.</w:t>
      </w:r>
      <w:r>
        <w:rPr>
          <w:rFonts w:ascii="Times New Roman" w:hAnsi="Times New Roman" w:cs="Times New Roman"/>
          <w:sz w:val="24"/>
          <w:szCs w:val="24"/>
        </w:rPr>
        <w:t xml:space="preserve"> </w:t>
      </w:r>
      <w:r w:rsidR="00C1122B" w:rsidRPr="008A112F">
        <w:rPr>
          <w:rFonts w:ascii="Times New Roman" w:hAnsi="Times New Roman" w:cs="Times New Roman"/>
          <w:sz w:val="24"/>
          <w:szCs w:val="24"/>
        </w:rPr>
        <w:t>The Commission is working in the context of the G20 to further these objectives</w:t>
      </w:r>
      <w:r w:rsidR="00C1122B">
        <w:rPr>
          <w:rStyle w:val="FootnoteReference"/>
          <w:rFonts w:ascii="Times New Roman" w:hAnsi="Times New Roman" w:cs="Times New Roman"/>
          <w:sz w:val="24"/>
          <w:szCs w:val="24"/>
        </w:rPr>
        <w:footnoteReference w:id="13"/>
      </w:r>
      <w:r w:rsidR="00C1122B" w:rsidRPr="008A112F">
        <w:rPr>
          <w:rFonts w:ascii="Times New Roman" w:hAnsi="Times New Roman" w:cs="Times New Roman"/>
          <w:sz w:val="24"/>
          <w:szCs w:val="24"/>
        </w:rPr>
        <w:t>.</w:t>
      </w:r>
      <w:r w:rsidR="0074095B">
        <w:rPr>
          <w:rFonts w:ascii="Times New Roman" w:hAnsi="Times New Roman" w:cs="Times New Roman"/>
          <w:sz w:val="24"/>
          <w:szCs w:val="24"/>
        </w:rPr>
        <w:t xml:space="preserve"> </w:t>
      </w:r>
      <w:r w:rsidR="001D1B35">
        <w:rPr>
          <w:rFonts w:ascii="Times New Roman" w:hAnsi="Times New Roman" w:cs="Times New Roman"/>
          <w:sz w:val="24"/>
          <w:szCs w:val="24"/>
        </w:rPr>
        <w:t xml:space="preserve">The Commission </w:t>
      </w:r>
      <w:r>
        <w:rPr>
          <w:rFonts w:ascii="Times New Roman" w:hAnsi="Times New Roman" w:cs="Times New Roman"/>
          <w:sz w:val="24"/>
          <w:szCs w:val="24"/>
        </w:rPr>
        <w:t xml:space="preserve">supports alignment of private investments with climate, resource-efficiency </w:t>
      </w:r>
      <w:r w:rsidRPr="00952C78">
        <w:rPr>
          <w:rFonts w:ascii="Times New Roman" w:hAnsi="Times New Roman" w:cs="Times New Roman"/>
          <w:sz w:val="24"/>
          <w:szCs w:val="24"/>
        </w:rPr>
        <w:t xml:space="preserve">and other environmental </w:t>
      </w:r>
      <w:r>
        <w:rPr>
          <w:rFonts w:ascii="Times New Roman" w:hAnsi="Times New Roman" w:cs="Times New Roman"/>
          <w:sz w:val="24"/>
          <w:szCs w:val="24"/>
        </w:rPr>
        <w:t>objectives, both through polic</w:t>
      </w:r>
      <w:r w:rsidR="0074095B">
        <w:rPr>
          <w:rFonts w:ascii="Times New Roman" w:hAnsi="Times New Roman" w:cs="Times New Roman"/>
          <w:sz w:val="24"/>
          <w:szCs w:val="24"/>
        </w:rPr>
        <w:t xml:space="preserve">y measures </w:t>
      </w:r>
      <w:r>
        <w:rPr>
          <w:rFonts w:ascii="Times New Roman" w:hAnsi="Times New Roman" w:cs="Times New Roman"/>
          <w:sz w:val="24"/>
          <w:szCs w:val="24"/>
        </w:rPr>
        <w:t>and public investment</w:t>
      </w:r>
      <w:r w:rsidR="001D1B35">
        <w:rPr>
          <w:rFonts w:ascii="Times New Roman" w:hAnsi="Times New Roman" w:cs="Times New Roman"/>
          <w:sz w:val="24"/>
          <w:szCs w:val="24"/>
        </w:rPr>
        <w:t>.</w:t>
      </w:r>
      <w:r>
        <w:rPr>
          <w:rFonts w:ascii="Times New Roman" w:hAnsi="Times New Roman" w:cs="Times New Roman"/>
          <w:sz w:val="24"/>
          <w:szCs w:val="24"/>
        </w:rPr>
        <w:t xml:space="preserve"> </w:t>
      </w:r>
      <w:r w:rsidR="001D1B35">
        <w:rPr>
          <w:rFonts w:ascii="Times New Roman" w:hAnsi="Times New Roman" w:cs="Times New Roman"/>
          <w:sz w:val="24"/>
          <w:szCs w:val="24"/>
        </w:rPr>
        <w:t>In this regard</w:t>
      </w:r>
      <w:r>
        <w:rPr>
          <w:rFonts w:ascii="Times New Roman" w:hAnsi="Times New Roman" w:cs="Times New Roman"/>
          <w:sz w:val="24"/>
          <w:szCs w:val="24"/>
        </w:rPr>
        <w:t>, w</w:t>
      </w:r>
      <w:r w:rsidRPr="0076298E">
        <w:rPr>
          <w:rFonts w:ascii="Times New Roman" w:hAnsi="Times New Roman" w:cs="Times New Roman"/>
          <w:sz w:val="24"/>
          <w:szCs w:val="24"/>
        </w:rPr>
        <w:t>ork is ongoing to increase the availability of green funds</w:t>
      </w:r>
      <w:r w:rsidR="001D1B35" w:rsidRPr="001D1B35">
        <w:rPr>
          <w:rFonts w:ascii="Times New Roman" w:hAnsi="Times New Roman" w:cs="Times New Roman"/>
          <w:sz w:val="24"/>
          <w:szCs w:val="24"/>
        </w:rPr>
        <w:t xml:space="preserve"> </w:t>
      </w:r>
      <w:r w:rsidR="001D1B35">
        <w:rPr>
          <w:rFonts w:ascii="Times New Roman" w:hAnsi="Times New Roman" w:cs="Times New Roman"/>
          <w:sz w:val="24"/>
          <w:szCs w:val="24"/>
        </w:rPr>
        <w:t>through the European Fund for Strategic Investment</w:t>
      </w:r>
      <w:r w:rsidRPr="0076298E">
        <w:rPr>
          <w:rFonts w:ascii="Times New Roman" w:hAnsi="Times New Roman" w:cs="Times New Roman"/>
          <w:sz w:val="24"/>
          <w:szCs w:val="24"/>
        </w:rPr>
        <w:t xml:space="preserve">, </w:t>
      </w:r>
      <w:r w:rsidR="001D1B35">
        <w:rPr>
          <w:rFonts w:ascii="Times New Roman" w:hAnsi="Times New Roman" w:cs="Times New Roman"/>
          <w:sz w:val="24"/>
          <w:szCs w:val="24"/>
        </w:rPr>
        <w:t xml:space="preserve">by </w:t>
      </w:r>
      <w:r w:rsidRPr="0076298E">
        <w:rPr>
          <w:rFonts w:ascii="Times New Roman" w:hAnsi="Times New Roman" w:cs="Times New Roman"/>
          <w:sz w:val="24"/>
          <w:szCs w:val="24"/>
        </w:rPr>
        <w:t xml:space="preserve">earmarking </w:t>
      </w:r>
      <w:r w:rsidR="001D1B35" w:rsidRPr="001D1B35">
        <w:rPr>
          <w:rFonts w:ascii="Times New Roman" w:hAnsi="Times New Roman" w:cs="Times New Roman"/>
          <w:sz w:val="24"/>
          <w:szCs w:val="24"/>
        </w:rPr>
        <w:t>at least 20% of the EU 2014-2020 budget available for climate action</w:t>
      </w:r>
      <w:r w:rsidRPr="0076298E">
        <w:rPr>
          <w:rFonts w:ascii="Times New Roman" w:hAnsi="Times New Roman" w:cs="Times New Roman"/>
          <w:sz w:val="24"/>
          <w:szCs w:val="24"/>
        </w:rPr>
        <w:t xml:space="preserve">, </w:t>
      </w:r>
      <w:r w:rsidR="001D1B35">
        <w:rPr>
          <w:rFonts w:ascii="Times New Roman" w:hAnsi="Times New Roman" w:cs="Times New Roman"/>
          <w:sz w:val="24"/>
          <w:szCs w:val="24"/>
        </w:rPr>
        <w:t xml:space="preserve">and </w:t>
      </w:r>
      <w:r w:rsidRPr="0076298E">
        <w:rPr>
          <w:rFonts w:ascii="Times New Roman" w:hAnsi="Times New Roman" w:cs="Times New Roman"/>
          <w:sz w:val="24"/>
          <w:szCs w:val="24"/>
        </w:rPr>
        <w:t xml:space="preserve">by setting up a platform for financing the circular economy. </w:t>
      </w:r>
      <w:r w:rsidR="001D1B35" w:rsidRPr="0076298E">
        <w:rPr>
          <w:rFonts w:ascii="Times New Roman" w:hAnsi="Times New Roman" w:cs="Times New Roman"/>
          <w:sz w:val="24"/>
          <w:szCs w:val="24"/>
        </w:rPr>
        <w:t xml:space="preserve">The need </w:t>
      </w:r>
      <w:r w:rsidR="001D1B35">
        <w:rPr>
          <w:rFonts w:ascii="Times New Roman" w:hAnsi="Times New Roman" w:cs="Times New Roman"/>
          <w:sz w:val="24"/>
          <w:szCs w:val="24"/>
        </w:rPr>
        <w:t xml:space="preserve">to support </w:t>
      </w:r>
      <w:r w:rsidR="001D1B35" w:rsidRPr="0076298E">
        <w:rPr>
          <w:rFonts w:ascii="Times New Roman" w:hAnsi="Times New Roman" w:cs="Times New Roman"/>
          <w:sz w:val="24"/>
          <w:szCs w:val="24"/>
        </w:rPr>
        <w:t xml:space="preserve">EU green bond standards </w:t>
      </w:r>
      <w:r w:rsidR="001D1B35">
        <w:rPr>
          <w:rFonts w:ascii="Times New Roman" w:hAnsi="Times New Roman" w:cs="Times New Roman"/>
          <w:sz w:val="24"/>
          <w:szCs w:val="24"/>
        </w:rPr>
        <w:t xml:space="preserve">was highlighted in </w:t>
      </w:r>
      <w:r w:rsidR="001D1B35" w:rsidRPr="0076298E">
        <w:rPr>
          <w:rFonts w:ascii="Times New Roman" w:hAnsi="Times New Roman" w:cs="Times New Roman"/>
          <w:sz w:val="24"/>
          <w:szCs w:val="24"/>
        </w:rPr>
        <w:t xml:space="preserve">the CMU </w:t>
      </w:r>
      <w:r w:rsidR="00063F5E">
        <w:rPr>
          <w:rFonts w:ascii="Times New Roman" w:hAnsi="Times New Roman" w:cs="Times New Roman"/>
          <w:sz w:val="24"/>
          <w:szCs w:val="24"/>
        </w:rPr>
        <w:t>A</w:t>
      </w:r>
      <w:r w:rsidR="001D1B35" w:rsidRPr="0076298E">
        <w:rPr>
          <w:rFonts w:ascii="Times New Roman" w:hAnsi="Times New Roman" w:cs="Times New Roman"/>
          <w:sz w:val="24"/>
          <w:szCs w:val="24"/>
        </w:rPr>
        <w:t xml:space="preserve">ction </w:t>
      </w:r>
      <w:r w:rsidR="00063F5E">
        <w:rPr>
          <w:rFonts w:ascii="Times New Roman" w:hAnsi="Times New Roman" w:cs="Times New Roman"/>
          <w:sz w:val="24"/>
          <w:szCs w:val="24"/>
        </w:rPr>
        <w:t>P</w:t>
      </w:r>
      <w:r w:rsidR="001D1B35" w:rsidRPr="0076298E">
        <w:rPr>
          <w:rFonts w:ascii="Times New Roman" w:hAnsi="Times New Roman" w:cs="Times New Roman"/>
          <w:sz w:val="24"/>
          <w:szCs w:val="24"/>
        </w:rPr>
        <w:t>lan.</w:t>
      </w:r>
      <w:r w:rsidR="001D1B35">
        <w:rPr>
          <w:rFonts w:ascii="Times New Roman" w:hAnsi="Times New Roman" w:cs="Times New Roman"/>
          <w:sz w:val="24"/>
          <w:szCs w:val="24"/>
        </w:rPr>
        <w:t xml:space="preserve"> </w:t>
      </w:r>
      <w:r>
        <w:rPr>
          <w:rFonts w:ascii="Times New Roman" w:hAnsi="Times New Roman" w:cs="Times New Roman"/>
          <w:sz w:val="24"/>
          <w:szCs w:val="24"/>
        </w:rPr>
        <w:t xml:space="preserve">The Commission will </w:t>
      </w:r>
      <w:r w:rsidR="0074095B">
        <w:rPr>
          <w:rFonts w:ascii="Times New Roman" w:hAnsi="Times New Roman" w:cs="Times New Roman"/>
          <w:sz w:val="24"/>
          <w:szCs w:val="24"/>
        </w:rPr>
        <w:t xml:space="preserve">establish an expert group to </w:t>
      </w:r>
      <w:r w:rsidR="00E414C0">
        <w:rPr>
          <w:rFonts w:ascii="Times New Roman" w:hAnsi="Times New Roman" w:cs="Times New Roman"/>
          <w:sz w:val="24"/>
          <w:szCs w:val="24"/>
        </w:rPr>
        <w:t xml:space="preserve">develop a comprehensive European strategy on </w:t>
      </w:r>
      <w:r w:rsidR="007504EE">
        <w:rPr>
          <w:rFonts w:ascii="Times New Roman" w:hAnsi="Times New Roman" w:cs="Times New Roman"/>
          <w:sz w:val="24"/>
          <w:szCs w:val="24"/>
        </w:rPr>
        <w:t xml:space="preserve">green </w:t>
      </w:r>
      <w:r w:rsidR="00E414C0">
        <w:rPr>
          <w:rFonts w:ascii="Times New Roman" w:hAnsi="Times New Roman" w:cs="Times New Roman"/>
          <w:sz w:val="24"/>
          <w:szCs w:val="24"/>
        </w:rPr>
        <w:t>finance</w:t>
      </w:r>
      <w:r w:rsidR="0074095B">
        <w:rPr>
          <w:rFonts w:ascii="Times New Roman" w:hAnsi="Times New Roman" w:cs="Times New Roman"/>
          <w:sz w:val="24"/>
          <w:szCs w:val="24"/>
        </w:rPr>
        <w:t xml:space="preserve"> </w:t>
      </w:r>
      <w:r w:rsidR="00E414C0">
        <w:rPr>
          <w:rFonts w:ascii="Times New Roman" w:hAnsi="Times New Roman" w:cs="Times New Roman"/>
          <w:sz w:val="24"/>
          <w:szCs w:val="24"/>
        </w:rPr>
        <w:t>in</w:t>
      </w:r>
      <w:r w:rsidR="0074095B">
        <w:rPr>
          <w:rFonts w:ascii="Times New Roman" w:hAnsi="Times New Roman" w:cs="Times New Roman"/>
          <w:sz w:val="24"/>
          <w:szCs w:val="24"/>
        </w:rPr>
        <w:t xml:space="preserve"> </w:t>
      </w:r>
      <w:r w:rsidR="00E414C0">
        <w:rPr>
          <w:rFonts w:ascii="Times New Roman" w:hAnsi="Times New Roman" w:cs="Times New Roman"/>
          <w:sz w:val="24"/>
          <w:szCs w:val="24"/>
        </w:rPr>
        <w:t>the</w:t>
      </w:r>
      <w:r w:rsidR="0074095B">
        <w:rPr>
          <w:rFonts w:ascii="Times New Roman" w:hAnsi="Times New Roman" w:cs="Times New Roman"/>
          <w:sz w:val="24"/>
          <w:szCs w:val="24"/>
        </w:rPr>
        <w:t xml:space="preserve"> coming months</w:t>
      </w:r>
      <w:r>
        <w:rPr>
          <w:rFonts w:ascii="Times New Roman" w:hAnsi="Times New Roman" w:cs="Times New Roman"/>
          <w:sz w:val="24"/>
          <w:szCs w:val="24"/>
        </w:rPr>
        <w:t>.</w:t>
      </w:r>
      <w:r w:rsidR="007504EE">
        <w:rPr>
          <w:rFonts w:ascii="Times New Roman" w:hAnsi="Times New Roman" w:cs="Times New Roman"/>
          <w:sz w:val="24"/>
          <w:szCs w:val="24"/>
        </w:rPr>
        <w:t xml:space="preserve"> More broadly, in respect of </w:t>
      </w:r>
      <w:r w:rsidR="001D1B35">
        <w:rPr>
          <w:rFonts w:ascii="Times New Roman" w:hAnsi="Times New Roman" w:cs="Times New Roman"/>
          <w:sz w:val="24"/>
          <w:szCs w:val="24"/>
        </w:rPr>
        <w:t xml:space="preserve">environmental, social and governance issues (ESG), the EU has adopted mandatory disclosure requirements for certain large companies and will also adopt non-binding guidelines on the methodology for reporting such information to investors and consumers. It is also assessing the follow-up to the recent consultation on long-term and </w:t>
      </w:r>
      <w:r w:rsidR="001D1B35" w:rsidRPr="001D1B35">
        <w:rPr>
          <w:rFonts w:ascii="Times New Roman" w:hAnsi="Times New Roman" w:cs="Times New Roman"/>
          <w:sz w:val="24"/>
          <w:szCs w:val="24"/>
        </w:rPr>
        <w:t>sustainable investment which emphasised the importance of ESG issues for the longer-term performance of companies and in</w:t>
      </w:r>
      <w:r w:rsidR="001D1B35" w:rsidRPr="003905D2">
        <w:rPr>
          <w:rFonts w:ascii="Times New Roman" w:hAnsi="Times New Roman" w:cs="Times New Roman"/>
          <w:sz w:val="24"/>
          <w:szCs w:val="24"/>
        </w:rPr>
        <w:t>vestors.</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Technology is driving rapid change </w:t>
      </w:r>
      <w:r w:rsidR="009A1DA5">
        <w:rPr>
          <w:rFonts w:ascii="Times New Roman" w:hAnsi="Times New Roman" w:cs="Times New Roman"/>
          <w:b/>
          <w:sz w:val="24"/>
          <w:szCs w:val="24"/>
        </w:rPr>
        <w:t>in</w:t>
      </w:r>
      <w:r>
        <w:rPr>
          <w:rFonts w:ascii="Times New Roman" w:hAnsi="Times New Roman" w:cs="Times New Roman"/>
          <w:b/>
          <w:sz w:val="24"/>
          <w:szCs w:val="24"/>
        </w:rPr>
        <w:t xml:space="preserve"> the financial sector and has the power to increase the role of capital markets, </w:t>
      </w:r>
      <w:r w:rsidR="009A1DA5">
        <w:rPr>
          <w:rFonts w:ascii="Times New Roman" w:hAnsi="Times New Roman" w:cs="Times New Roman"/>
          <w:b/>
          <w:sz w:val="24"/>
          <w:szCs w:val="24"/>
        </w:rPr>
        <w:t xml:space="preserve">and </w:t>
      </w:r>
      <w:r>
        <w:rPr>
          <w:rFonts w:ascii="Times New Roman" w:hAnsi="Times New Roman" w:cs="Times New Roman"/>
          <w:b/>
          <w:sz w:val="24"/>
          <w:szCs w:val="24"/>
        </w:rPr>
        <w:t xml:space="preserve">bring them closer to companies and investors. It also benefits consumers by offering a wider choice of services </w:t>
      </w:r>
      <w:r w:rsidR="005E74D6">
        <w:rPr>
          <w:rFonts w:ascii="Times New Roman" w:hAnsi="Times New Roman" w:cs="Times New Roman"/>
          <w:b/>
          <w:sz w:val="24"/>
          <w:szCs w:val="24"/>
        </w:rPr>
        <w:t xml:space="preserve">which are more </w:t>
      </w:r>
      <w:r>
        <w:rPr>
          <w:rFonts w:ascii="Times New Roman" w:hAnsi="Times New Roman" w:cs="Times New Roman"/>
          <w:b/>
          <w:sz w:val="24"/>
          <w:szCs w:val="24"/>
        </w:rPr>
        <w:t>convenient</w:t>
      </w:r>
      <w:r w:rsidR="005E74D6">
        <w:rPr>
          <w:rFonts w:ascii="Times New Roman" w:hAnsi="Times New Roman" w:cs="Times New Roman"/>
          <w:b/>
          <w:sz w:val="24"/>
          <w:szCs w:val="24"/>
        </w:rPr>
        <w:t xml:space="preserve"> to </w:t>
      </w:r>
      <w:r w:rsidR="005E74D6" w:rsidRPr="005E74D6">
        <w:rPr>
          <w:rFonts w:ascii="Times New Roman" w:hAnsi="Times New Roman" w:cs="Times New Roman"/>
          <w:b/>
          <w:sz w:val="24"/>
          <w:szCs w:val="24"/>
        </w:rPr>
        <w:t>use or more easily accessible</w:t>
      </w:r>
      <w:r>
        <w:rPr>
          <w:rFonts w:ascii="Times New Roman" w:hAnsi="Times New Roman" w:cs="Times New Roman"/>
          <w:b/>
          <w:sz w:val="24"/>
          <w:szCs w:val="24"/>
        </w:rPr>
        <w:t xml:space="preserve">. This innovative potential </w:t>
      </w:r>
      <w:r w:rsidR="009A1DA5">
        <w:rPr>
          <w:rFonts w:ascii="Times New Roman" w:hAnsi="Times New Roman" w:cs="Times New Roman"/>
          <w:b/>
          <w:sz w:val="24"/>
          <w:szCs w:val="24"/>
        </w:rPr>
        <w:t>should</w:t>
      </w:r>
      <w:r>
        <w:rPr>
          <w:rFonts w:ascii="Times New Roman" w:hAnsi="Times New Roman" w:cs="Times New Roman"/>
          <w:b/>
          <w:sz w:val="24"/>
          <w:szCs w:val="24"/>
        </w:rPr>
        <w:t xml:space="preserve"> be harnessed. </w:t>
      </w:r>
      <w:r>
        <w:rPr>
          <w:rFonts w:ascii="Times New Roman" w:hAnsi="Times New Roman" w:cs="Times New Roman"/>
          <w:sz w:val="24"/>
          <w:szCs w:val="24"/>
        </w:rPr>
        <w:t xml:space="preserve">FinTech </w:t>
      </w:r>
      <w:r w:rsidR="00030B97" w:rsidRPr="00030B97">
        <w:rPr>
          <w:rFonts w:ascii="Times New Roman" w:hAnsi="Times New Roman" w:cs="Times New Roman"/>
          <w:sz w:val="24"/>
          <w:szCs w:val="24"/>
        </w:rPr>
        <w:t>firms succeed by pro</w:t>
      </w:r>
      <w:r w:rsidR="00050E85">
        <w:rPr>
          <w:rFonts w:ascii="Times New Roman" w:hAnsi="Times New Roman" w:cs="Times New Roman"/>
          <w:sz w:val="24"/>
          <w:szCs w:val="24"/>
        </w:rPr>
        <w:t xml:space="preserve">viding </w:t>
      </w:r>
      <w:r w:rsidR="00030B97" w:rsidRPr="00030B97">
        <w:rPr>
          <w:rFonts w:ascii="Times New Roman" w:hAnsi="Times New Roman" w:cs="Times New Roman"/>
          <w:sz w:val="24"/>
          <w:szCs w:val="24"/>
        </w:rPr>
        <w:t xml:space="preserve">new services that meet consumers' needs better in many financial fields including payments and lending. Technology is </w:t>
      </w:r>
      <w:r w:rsidR="00050E85">
        <w:rPr>
          <w:rFonts w:ascii="Times New Roman" w:hAnsi="Times New Roman" w:cs="Times New Roman"/>
          <w:sz w:val="24"/>
          <w:szCs w:val="24"/>
        </w:rPr>
        <w:t>a</w:t>
      </w:r>
      <w:r w:rsidR="00030B97" w:rsidRPr="00030B97">
        <w:rPr>
          <w:rFonts w:ascii="Times New Roman" w:hAnsi="Times New Roman" w:cs="Times New Roman"/>
          <w:sz w:val="24"/>
          <w:szCs w:val="24"/>
        </w:rPr>
        <w:t xml:space="preserve"> driver of competition </w:t>
      </w:r>
      <w:r w:rsidR="00050E85">
        <w:rPr>
          <w:rFonts w:ascii="Times New Roman" w:hAnsi="Times New Roman" w:cs="Times New Roman"/>
          <w:sz w:val="24"/>
          <w:szCs w:val="24"/>
        </w:rPr>
        <w:t xml:space="preserve">and helps to </w:t>
      </w:r>
      <w:r w:rsidR="00030B97" w:rsidRPr="00030B97">
        <w:rPr>
          <w:rFonts w:ascii="Times New Roman" w:hAnsi="Times New Roman" w:cs="Times New Roman"/>
          <w:sz w:val="24"/>
          <w:szCs w:val="24"/>
        </w:rPr>
        <w:t>creat</w:t>
      </w:r>
      <w:r w:rsidR="00050E85">
        <w:rPr>
          <w:rFonts w:ascii="Times New Roman" w:hAnsi="Times New Roman" w:cs="Times New Roman"/>
          <w:sz w:val="24"/>
          <w:szCs w:val="24"/>
        </w:rPr>
        <w:t xml:space="preserve">e </w:t>
      </w:r>
      <w:r w:rsidR="00030B97" w:rsidRPr="00030B97">
        <w:rPr>
          <w:rFonts w:ascii="Times New Roman" w:hAnsi="Times New Roman" w:cs="Times New Roman"/>
          <w:sz w:val="24"/>
          <w:szCs w:val="24"/>
        </w:rPr>
        <w:t xml:space="preserve">a more diverse financial landscape. </w:t>
      </w:r>
      <w:r>
        <w:rPr>
          <w:rFonts w:ascii="Times New Roman" w:hAnsi="Times New Roman" w:cs="Times New Roman"/>
          <w:sz w:val="24"/>
          <w:szCs w:val="24"/>
        </w:rPr>
        <w:t>At the same time, the rapid development of FinTech poses new challenges in managing risks and ensuring consumers have adequate information</w:t>
      </w:r>
      <w:r w:rsidR="00030B97">
        <w:rPr>
          <w:rFonts w:ascii="Times New Roman" w:hAnsi="Times New Roman" w:cs="Times New Roman"/>
          <w:sz w:val="24"/>
          <w:szCs w:val="24"/>
        </w:rPr>
        <w:t xml:space="preserve"> and safeguards</w:t>
      </w:r>
      <w:r>
        <w:rPr>
          <w:rFonts w:ascii="Times New Roman" w:hAnsi="Times New Roman" w:cs="Times New Roman"/>
          <w:sz w:val="24"/>
          <w:szCs w:val="24"/>
        </w:rPr>
        <w:t>.</w:t>
      </w:r>
      <w:r>
        <w:t xml:space="preserve"> </w:t>
      </w:r>
      <w:r>
        <w:rPr>
          <w:rFonts w:ascii="Times New Roman" w:hAnsi="Times New Roman" w:cs="Times New Roman"/>
          <w:sz w:val="24"/>
          <w:szCs w:val="24"/>
        </w:rPr>
        <w:t xml:space="preserve">In a number of Member States, regulatory authorities </w:t>
      </w:r>
      <w:r w:rsidR="00030B97">
        <w:rPr>
          <w:rFonts w:ascii="Times New Roman" w:hAnsi="Times New Roman" w:cs="Times New Roman"/>
          <w:sz w:val="24"/>
          <w:szCs w:val="24"/>
        </w:rPr>
        <w:t xml:space="preserve">are </w:t>
      </w:r>
      <w:r>
        <w:rPr>
          <w:rFonts w:ascii="Times New Roman" w:hAnsi="Times New Roman" w:cs="Times New Roman"/>
          <w:sz w:val="24"/>
          <w:szCs w:val="24"/>
        </w:rPr>
        <w:t>develop</w:t>
      </w:r>
      <w:r w:rsidR="00030B97">
        <w:rPr>
          <w:rFonts w:ascii="Times New Roman" w:hAnsi="Times New Roman" w:cs="Times New Roman"/>
          <w:sz w:val="24"/>
          <w:szCs w:val="24"/>
        </w:rPr>
        <w:t>ing new</w:t>
      </w:r>
      <w:r>
        <w:rPr>
          <w:rFonts w:ascii="Times New Roman" w:hAnsi="Times New Roman" w:cs="Times New Roman"/>
          <w:sz w:val="24"/>
          <w:szCs w:val="24"/>
        </w:rPr>
        <w:t xml:space="preserve"> approaches to support the development of FinTech</w:t>
      </w:r>
      <w:r w:rsidR="00030B97">
        <w:rPr>
          <w:rFonts w:ascii="Times New Roman" w:hAnsi="Times New Roman" w:cs="Times New Roman"/>
          <w:sz w:val="24"/>
          <w:szCs w:val="24"/>
        </w:rPr>
        <w:t xml:space="preserve"> firms, including </w:t>
      </w:r>
      <w:r w:rsidR="00030B97" w:rsidRPr="00030B97">
        <w:rPr>
          <w:rFonts w:ascii="Times New Roman" w:hAnsi="Times New Roman" w:cs="Times New Roman"/>
          <w:sz w:val="24"/>
          <w:szCs w:val="24"/>
        </w:rPr>
        <w:t xml:space="preserve">hubs providing </w:t>
      </w:r>
      <w:r w:rsidR="00050E85" w:rsidRPr="00030B97">
        <w:rPr>
          <w:rFonts w:ascii="Times New Roman" w:hAnsi="Times New Roman" w:cs="Times New Roman"/>
          <w:sz w:val="24"/>
          <w:szCs w:val="24"/>
        </w:rPr>
        <w:t>regulat</w:t>
      </w:r>
      <w:r w:rsidR="00050E85">
        <w:rPr>
          <w:rFonts w:ascii="Times New Roman" w:hAnsi="Times New Roman" w:cs="Times New Roman"/>
          <w:sz w:val="24"/>
          <w:szCs w:val="24"/>
        </w:rPr>
        <w:t xml:space="preserve">ory </w:t>
      </w:r>
      <w:r w:rsidR="00030B97" w:rsidRPr="00030B97">
        <w:rPr>
          <w:rFonts w:ascii="Times New Roman" w:hAnsi="Times New Roman" w:cs="Times New Roman"/>
          <w:sz w:val="24"/>
          <w:szCs w:val="24"/>
        </w:rPr>
        <w:t>guidance or teams focusing on policy implications of FinTech</w:t>
      </w:r>
      <w:r>
        <w:rPr>
          <w:rFonts w:ascii="Times New Roman" w:hAnsi="Times New Roman" w:cs="Times New Roman"/>
          <w:sz w:val="24"/>
          <w:szCs w:val="24"/>
        </w:rPr>
        <w:t>. The Commission will continue to promote the development of the FinTech sector</w:t>
      </w:r>
      <w:r w:rsidR="009D5DA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030B97">
        <w:rPr>
          <w:rFonts w:ascii="Times New Roman" w:hAnsi="Times New Roman" w:cs="Times New Roman"/>
          <w:sz w:val="24"/>
          <w:szCs w:val="24"/>
        </w:rPr>
        <w:t xml:space="preserve">work to </w:t>
      </w:r>
      <w:r>
        <w:rPr>
          <w:rFonts w:ascii="Times New Roman" w:hAnsi="Times New Roman" w:cs="Times New Roman"/>
          <w:sz w:val="24"/>
          <w:szCs w:val="24"/>
        </w:rPr>
        <w:t xml:space="preserve">ensure the regulatory environment strikes an appropriate balance between </w:t>
      </w:r>
      <w:r w:rsidR="00030B97">
        <w:rPr>
          <w:rFonts w:ascii="Times New Roman" w:hAnsi="Times New Roman" w:cs="Times New Roman"/>
          <w:sz w:val="24"/>
          <w:szCs w:val="24"/>
        </w:rPr>
        <w:t xml:space="preserve">building </w:t>
      </w:r>
      <w:r>
        <w:rPr>
          <w:rFonts w:ascii="Times New Roman" w:hAnsi="Times New Roman" w:cs="Times New Roman"/>
          <w:sz w:val="24"/>
          <w:szCs w:val="24"/>
        </w:rPr>
        <w:t xml:space="preserve">confidence </w:t>
      </w:r>
      <w:r w:rsidR="00030B97">
        <w:rPr>
          <w:rFonts w:ascii="Times New Roman" w:hAnsi="Times New Roman" w:cs="Times New Roman"/>
          <w:sz w:val="24"/>
          <w:szCs w:val="24"/>
        </w:rPr>
        <w:t xml:space="preserve">in </w:t>
      </w:r>
      <w:r>
        <w:rPr>
          <w:rFonts w:ascii="Times New Roman" w:hAnsi="Times New Roman" w:cs="Times New Roman"/>
          <w:sz w:val="24"/>
          <w:szCs w:val="24"/>
        </w:rPr>
        <w:t>companies and investors,</w:t>
      </w:r>
      <w:r w:rsidR="00030B97">
        <w:rPr>
          <w:rFonts w:ascii="Times New Roman" w:hAnsi="Times New Roman" w:cs="Times New Roman"/>
          <w:sz w:val="24"/>
          <w:szCs w:val="24"/>
        </w:rPr>
        <w:t xml:space="preserve"> protecting consumers </w:t>
      </w:r>
      <w:r>
        <w:rPr>
          <w:rFonts w:ascii="Times New Roman" w:hAnsi="Times New Roman" w:cs="Times New Roman"/>
          <w:sz w:val="24"/>
          <w:szCs w:val="24"/>
        </w:rPr>
        <w:t xml:space="preserve">and providing the FinTech industry the space to develop. </w:t>
      </w:r>
      <w:r w:rsidR="00AE3D82" w:rsidRPr="00AE3D82">
        <w:rPr>
          <w:rFonts w:ascii="Times New Roman" w:hAnsi="Times New Roman" w:cs="Times New Roman"/>
          <w:sz w:val="24"/>
          <w:szCs w:val="24"/>
        </w:rPr>
        <w:t xml:space="preserve">The Commission will </w:t>
      </w:r>
      <w:r w:rsidR="00A21E8D">
        <w:rPr>
          <w:rFonts w:ascii="Times New Roman" w:hAnsi="Times New Roman" w:cs="Times New Roman"/>
          <w:sz w:val="24"/>
          <w:szCs w:val="24"/>
        </w:rPr>
        <w:t xml:space="preserve">work </w:t>
      </w:r>
      <w:r w:rsidR="00030B97" w:rsidRPr="00030B97">
        <w:rPr>
          <w:rFonts w:ascii="Times New Roman" w:hAnsi="Times New Roman" w:cs="Times New Roman"/>
          <w:sz w:val="24"/>
          <w:szCs w:val="24"/>
        </w:rPr>
        <w:t xml:space="preserve">with the </w:t>
      </w:r>
      <w:r w:rsidR="00377BD9">
        <w:rPr>
          <w:rFonts w:ascii="Times New Roman" w:hAnsi="Times New Roman" w:cs="Times New Roman"/>
          <w:sz w:val="24"/>
          <w:szCs w:val="24"/>
        </w:rPr>
        <w:t>European Supervisory Authorities (</w:t>
      </w:r>
      <w:r w:rsidR="00030B97" w:rsidRPr="00030B97">
        <w:rPr>
          <w:rFonts w:ascii="Times New Roman" w:hAnsi="Times New Roman" w:cs="Times New Roman"/>
          <w:sz w:val="24"/>
          <w:szCs w:val="24"/>
        </w:rPr>
        <w:t>ESAs</w:t>
      </w:r>
      <w:r w:rsidR="00377BD9">
        <w:rPr>
          <w:rFonts w:ascii="Times New Roman" w:hAnsi="Times New Roman" w:cs="Times New Roman"/>
          <w:sz w:val="24"/>
          <w:szCs w:val="24"/>
        </w:rPr>
        <w:t>)</w:t>
      </w:r>
      <w:r w:rsidR="00030B97" w:rsidRPr="00030B97">
        <w:rPr>
          <w:rFonts w:ascii="Times New Roman" w:hAnsi="Times New Roman" w:cs="Times New Roman"/>
          <w:sz w:val="24"/>
          <w:szCs w:val="24"/>
        </w:rPr>
        <w:t>, the E</w:t>
      </w:r>
      <w:r w:rsidR="00D40F1C">
        <w:rPr>
          <w:rFonts w:ascii="Times New Roman" w:hAnsi="Times New Roman" w:cs="Times New Roman"/>
          <w:sz w:val="24"/>
          <w:szCs w:val="24"/>
        </w:rPr>
        <w:t xml:space="preserve">uropean </w:t>
      </w:r>
      <w:r w:rsidR="00030B97" w:rsidRPr="00030B97">
        <w:rPr>
          <w:rFonts w:ascii="Times New Roman" w:hAnsi="Times New Roman" w:cs="Times New Roman"/>
          <w:sz w:val="24"/>
          <w:szCs w:val="24"/>
        </w:rPr>
        <w:t>C</w:t>
      </w:r>
      <w:r w:rsidR="00D40F1C">
        <w:rPr>
          <w:rFonts w:ascii="Times New Roman" w:hAnsi="Times New Roman" w:cs="Times New Roman"/>
          <w:sz w:val="24"/>
          <w:szCs w:val="24"/>
        </w:rPr>
        <w:t xml:space="preserve">entral </w:t>
      </w:r>
      <w:r w:rsidR="00030B97" w:rsidRPr="00030B97">
        <w:rPr>
          <w:rFonts w:ascii="Times New Roman" w:hAnsi="Times New Roman" w:cs="Times New Roman"/>
          <w:sz w:val="24"/>
          <w:szCs w:val="24"/>
        </w:rPr>
        <w:t>B</w:t>
      </w:r>
      <w:r w:rsidR="00D40F1C">
        <w:rPr>
          <w:rFonts w:ascii="Times New Roman" w:hAnsi="Times New Roman" w:cs="Times New Roman"/>
          <w:sz w:val="24"/>
          <w:szCs w:val="24"/>
        </w:rPr>
        <w:t>ank</w:t>
      </w:r>
      <w:r w:rsidR="00030B97" w:rsidRPr="00030B97">
        <w:rPr>
          <w:rFonts w:ascii="Times New Roman" w:hAnsi="Times New Roman" w:cs="Times New Roman"/>
          <w:sz w:val="24"/>
          <w:szCs w:val="24"/>
        </w:rPr>
        <w:t>, other standard setting bodies, and the Member States to develop a co-ordinated policy</w:t>
      </w:r>
      <w:r w:rsidR="00A21E8D">
        <w:rPr>
          <w:rFonts w:ascii="Times New Roman" w:hAnsi="Times New Roman" w:cs="Times New Roman"/>
          <w:sz w:val="24"/>
          <w:szCs w:val="24"/>
        </w:rPr>
        <w:t xml:space="preserve"> approach </w:t>
      </w:r>
      <w:r w:rsidR="00030B97" w:rsidRPr="00030B97">
        <w:rPr>
          <w:rFonts w:ascii="Times New Roman" w:hAnsi="Times New Roman" w:cs="Times New Roman"/>
          <w:sz w:val="24"/>
          <w:szCs w:val="24"/>
        </w:rPr>
        <w:t xml:space="preserve">that </w:t>
      </w:r>
      <w:r w:rsidR="00A21E8D">
        <w:rPr>
          <w:rFonts w:ascii="Times New Roman" w:hAnsi="Times New Roman" w:cs="Times New Roman"/>
          <w:sz w:val="24"/>
          <w:szCs w:val="24"/>
        </w:rPr>
        <w:t xml:space="preserve">supports the development </w:t>
      </w:r>
      <w:r w:rsidR="00030B97" w:rsidRPr="00030B97">
        <w:rPr>
          <w:rFonts w:ascii="Times New Roman" w:hAnsi="Times New Roman" w:cs="Times New Roman"/>
          <w:sz w:val="24"/>
          <w:szCs w:val="24"/>
        </w:rPr>
        <w:t xml:space="preserve">of FinTech </w:t>
      </w:r>
      <w:r w:rsidR="00A21E8D">
        <w:rPr>
          <w:rFonts w:ascii="Times New Roman" w:hAnsi="Times New Roman" w:cs="Times New Roman"/>
          <w:sz w:val="24"/>
          <w:szCs w:val="24"/>
        </w:rPr>
        <w:t>in an appropriate regulatory environment</w:t>
      </w:r>
      <w:r w:rsidR="00030B97" w:rsidRPr="00030B97">
        <w:rPr>
          <w:rFonts w:ascii="Times New Roman" w:hAnsi="Times New Roman" w:cs="Times New Roman"/>
          <w:sz w:val="24"/>
          <w:szCs w:val="24"/>
        </w:rPr>
        <w:t xml:space="preserve">. </w:t>
      </w:r>
      <w:r w:rsidR="00A812A5">
        <w:rPr>
          <w:rFonts w:ascii="Times New Roman" w:hAnsi="Times New Roman" w:cs="Times New Roman"/>
          <w:sz w:val="24"/>
          <w:szCs w:val="24"/>
        </w:rPr>
        <w:t xml:space="preserve"> </w:t>
      </w:r>
    </w:p>
    <w:p w:rsidR="00A21E8D" w:rsidRPr="003905D2" w:rsidRDefault="00A21E8D" w:rsidP="00A21E8D">
      <w:pPr>
        <w:spacing w:line="240" w:lineRule="auto"/>
        <w:jc w:val="both"/>
        <w:rPr>
          <w:rFonts w:ascii="Times New Roman" w:hAnsi="Times New Roman" w:cs="Times New Roman"/>
          <w:sz w:val="24"/>
          <w:szCs w:val="24"/>
        </w:rPr>
      </w:pPr>
      <w:r w:rsidRPr="00B01E73">
        <w:rPr>
          <w:rFonts w:ascii="Times New Roman" w:hAnsi="Times New Roman" w:cs="Times New Roman"/>
          <w:b/>
          <w:sz w:val="24"/>
          <w:szCs w:val="24"/>
        </w:rPr>
        <w:t>Covered bond markets are among the largest private debt markets in Europe and an important channel for longer term financing</w:t>
      </w:r>
      <w:r w:rsidRPr="00B01E73">
        <w:rPr>
          <w:rFonts w:ascii="Times New Roman" w:hAnsi="Times New Roman" w:cs="Times New Roman"/>
          <w:sz w:val="24"/>
          <w:szCs w:val="24"/>
        </w:rPr>
        <w:t>. They are instrumental for credit institutions to efficiently channel finance to the real estate market and for publicly guaranteed instruments including some SME loans. Based on the results of the recent public consultation and ongoing study, the Commission will set out as part of the CMU mid-term review which legislative changes may be needed to support the development of covered bond markets throughout the EU</w:t>
      </w:r>
      <w:r w:rsidRPr="003905D2">
        <w:rPr>
          <w:rFonts w:ascii="Times New Roman" w:hAnsi="Times New Roman" w:cs="Times New Roman"/>
          <w:sz w:val="24"/>
          <w:szCs w:val="24"/>
        </w:rPr>
        <w:t>.</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The EU has a successful track</w:t>
      </w:r>
      <w:r w:rsidR="00D40F1C">
        <w:rPr>
          <w:rFonts w:ascii="Times New Roman" w:hAnsi="Times New Roman" w:cs="Times New Roman"/>
          <w:b/>
          <w:sz w:val="24"/>
          <w:szCs w:val="24"/>
        </w:rPr>
        <w:t xml:space="preserve"> record </w:t>
      </w:r>
      <w:r w:rsidR="00A21E8D">
        <w:rPr>
          <w:rFonts w:ascii="Times New Roman" w:hAnsi="Times New Roman" w:cs="Times New Roman"/>
          <w:b/>
          <w:sz w:val="24"/>
          <w:szCs w:val="24"/>
        </w:rPr>
        <w:t>in</w:t>
      </w:r>
      <w:r>
        <w:rPr>
          <w:rFonts w:ascii="Times New Roman" w:hAnsi="Times New Roman" w:cs="Times New Roman"/>
          <w:b/>
          <w:sz w:val="24"/>
          <w:szCs w:val="24"/>
        </w:rPr>
        <w:t xml:space="preserve"> promoting the cross-border distribution of investment funds, and will work to remove remaining barriers </w:t>
      </w:r>
      <w:r w:rsidR="00A21E8D">
        <w:rPr>
          <w:rFonts w:ascii="Times New Roman" w:hAnsi="Times New Roman" w:cs="Times New Roman"/>
          <w:b/>
          <w:sz w:val="24"/>
          <w:szCs w:val="24"/>
        </w:rPr>
        <w:t xml:space="preserve">to </w:t>
      </w:r>
      <w:r>
        <w:rPr>
          <w:rFonts w:ascii="Times New Roman" w:hAnsi="Times New Roman" w:cs="Times New Roman"/>
          <w:b/>
          <w:sz w:val="24"/>
          <w:szCs w:val="24"/>
        </w:rPr>
        <w:t xml:space="preserve">a </w:t>
      </w:r>
      <w:r w:rsidR="00A21E8D">
        <w:rPr>
          <w:rFonts w:ascii="Times New Roman" w:hAnsi="Times New Roman" w:cs="Times New Roman"/>
          <w:b/>
          <w:sz w:val="24"/>
          <w:szCs w:val="24"/>
        </w:rPr>
        <w:t xml:space="preserve">fully </w:t>
      </w:r>
      <w:r>
        <w:rPr>
          <w:rFonts w:ascii="Times New Roman" w:hAnsi="Times New Roman" w:cs="Times New Roman"/>
          <w:b/>
          <w:sz w:val="24"/>
          <w:szCs w:val="24"/>
        </w:rPr>
        <w:t xml:space="preserve">integrated market – reducing costs for </w:t>
      </w:r>
      <w:r w:rsidR="00A21E8D">
        <w:rPr>
          <w:rFonts w:ascii="Times New Roman" w:hAnsi="Times New Roman" w:cs="Times New Roman"/>
          <w:b/>
          <w:sz w:val="24"/>
          <w:szCs w:val="24"/>
        </w:rPr>
        <w:t xml:space="preserve">providers </w:t>
      </w:r>
      <w:r>
        <w:rPr>
          <w:rFonts w:ascii="Times New Roman" w:hAnsi="Times New Roman" w:cs="Times New Roman"/>
          <w:b/>
          <w:sz w:val="24"/>
          <w:szCs w:val="24"/>
        </w:rPr>
        <w:t xml:space="preserve">and </w:t>
      </w:r>
      <w:r w:rsidR="00AE3D82">
        <w:rPr>
          <w:rFonts w:ascii="Times New Roman" w:hAnsi="Times New Roman" w:cs="Times New Roman"/>
          <w:b/>
          <w:sz w:val="24"/>
          <w:szCs w:val="24"/>
        </w:rPr>
        <w:t xml:space="preserve">delivering benefits to </w:t>
      </w:r>
      <w:r w:rsidR="00E414C0" w:rsidRPr="00E414C0">
        <w:rPr>
          <w:rFonts w:ascii="Times New Roman" w:hAnsi="Times New Roman" w:cs="Times New Roman"/>
          <w:b/>
          <w:sz w:val="24"/>
          <w:szCs w:val="24"/>
        </w:rPr>
        <w:t>retail investors</w:t>
      </w:r>
      <w:r>
        <w:rPr>
          <w:rFonts w:ascii="Times New Roman" w:hAnsi="Times New Roman" w:cs="Times New Roman"/>
          <w:sz w:val="24"/>
          <w:szCs w:val="24"/>
        </w:rPr>
        <w:t>. The Commission published a detailed public consultation</w:t>
      </w:r>
      <w:r w:rsidR="00B01E73">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seeking evidence of where eliminating unjustified barriers would support increased cross-border marketing of funds, competition, choice, and reduce costs for investors. The Commission will take action</w:t>
      </w:r>
      <w:r w:rsidR="00D40F1C">
        <w:rPr>
          <w:rFonts w:ascii="Times New Roman" w:hAnsi="Times New Roman" w:cs="Times New Roman"/>
          <w:sz w:val="24"/>
          <w:szCs w:val="24"/>
        </w:rPr>
        <w:t xml:space="preserve"> to</w:t>
      </w:r>
      <w:r>
        <w:rPr>
          <w:rFonts w:ascii="Times New Roman" w:hAnsi="Times New Roman" w:cs="Times New Roman"/>
          <w:sz w:val="24"/>
          <w:szCs w:val="24"/>
        </w:rPr>
        <w:t xml:space="preserve"> remove remaining barriers in the asset management sector, through legislative changes if necessary.</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The Commission will accelerate its work to remove barriers in the post-trading environment.</w:t>
      </w:r>
      <w:r>
        <w:rPr>
          <w:rFonts w:ascii="Times New Roman" w:hAnsi="Times New Roman" w:cs="Times New Roman"/>
          <w:sz w:val="24"/>
          <w:szCs w:val="24"/>
        </w:rPr>
        <w:t xml:space="preserve"> Efficient and safe post-trade infrastructures are key elements of well-functioning capital markets. An expert group has been established to assess the evolution of the EU post-trade landscape following recent legislative changes, market developments and the emergence of new technologies. The group will also assess the extent to which the Giovan</w:t>
      </w:r>
      <w:r w:rsidR="00D40F1C">
        <w:rPr>
          <w:rFonts w:ascii="Times New Roman" w:hAnsi="Times New Roman" w:cs="Times New Roman"/>
          <w:sz w:val="24"/>
          <w:szCs w:val="24"/>
        </w:rPr>
        <w:t>n</w:t>
      </w:r>
      <w:r>
        <w:rPr>
          <w:rFonts w:ascii="Times New Roman" w:hAnsi="Times New Roman" w:cs="Times New Roman"/>
          <w:sz w:val="24"/>
          <w:szCs w:val="24"/>
        </w:rPr>
        <w:t>ini barriers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have been removed and identify any new or emerging barriers. In 2017, the Commission will launch a public consultation based on the results of the group's work to determine the most appropriate way forward in this area. In parallel, the Commission will propose a future legislative initiative to determine with legal certainty which national law shall apply to security ownership and to third party effects of the assignment of claims.</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Effective and consistent supervision</w:t>
      </w:r>
      <w:r>
        <w:rPr>
          <w:rFonts w:ascii="Times New Roman" w:hAnsi="Times New Roman"/>
          <w:b/>
          <w:sz w:val="24"/>
        </w:rPr>
        <w:t xml:space="preserve"> is</w:t>
      </w:r>
      <w:r>
        <w:rPr>
          <w:rFonts w:ascii="Times New Roman" w:hAnsi="Times New Roman" w:cs="Times New Roman"/>
          <w:sz w:val="24"/>
          <w:szCs w:val="24"/>
        </w:rPr>
        <w:t xml:space="preserve"> </w:t>
      </w:r>
      <w:r>
        <w:rPr>
          <w:rFonts w:ascii="Times New Roman" w:hAnsi="Times New Roman" w:cs="Times New Roman"/>
          <w:b/>
          <w:sz w:val="24"/>
          <w:szCs w:val="24"/>
        </w:rPr>
        <w:t>essential</w:t>
      </w:r>
      <w:r>
        <w:rPr>
          <w:rFonts w:ascii="Times New Roman" w:hAnsi="Times New Roman"/>
          <w:sz w:val="24"/>
        </w:rPr>
        <w:t xml:space="preserve"> </w:t>
      </w:r>
      <w:r>
        <w:rPr>
          <w:rFonts w:ascii="Times New Roman" w:hAnsi="Times New Roman"/>
          <w:b/>
          <w:sz w:val="24"/>
        </w:rPr>
        <w:t>to ensure investor protection</w:t>
      </w:r>
      <w:r w:rsidR="002B43E5">
        <w:rPr>
          <w:rFonts w:ascii="Times New Roman" w:hAnsi="Times New Roman"/>
          <w:b/>
          <w:sz w:val="24"/>
        </w:rPr>
        <w:t xml:space="preserve">, promote the </w:t>
      </w:r>
      <w:r>
        <w:rPr>
          <w:rFonts w:ascii="Times New Roman" w:hAnsi="Times New Roman"/>
          <w:b/>
          <w:sz w:val="24"/>
        </w:rPr>
        <w:t>integration of capital markets and safeguard financial stability</w:t>
      </w:r>
      <w:r>
        <w:rPr>
          <w:rFonts w:ascii="Times New Roman" w:hAnsi="Times New Roman" w:cs="Times New Roman"/>
          <w:sz w:val="24"/>
          <w:szCs w:val="24"/>
        </w:rPr>
        <w:t>. The role of the European Supervisory Authorities (ESAs) is fundamental in building a deeper and more integrated single market. The European Securities and Markets Authority (ESMA) has already increased the focus of its work on supervisory convergence to ensure consistency in the application</w:t>
      </w:r>
      <w:r w:rsidR="00396FCA">
        <w:rPr>
          <w:rFonts w:ascii="Times New Roman" w:hAnsi="Times New Roman" w:cs="Times New Roman"/>
          <w:sz w:val="24"/>
          <w:szCs w:val="24"/>
        </w:rPr>
        <w:t xml:space="preserve"> of</w:t>
      </w:r>
      <w:r>
        <w:rPr>
          <w:rFonts w:ascii="Times New Roman" w:hAnsi="Times New Roman" w:cs="Times New Roman"/>
          <w:sz w:val="24"/>
          <w:szCs w:val="24"/>
        </w:rPr>
        <w:t xml:space="preserve"> capital markets rules and the oversight of market participants.</w:t>
      </w:r>
      <w:r w:rsidR="00B01E73">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However, further work will be needed to reinforce the European dimension of supervision in areas where it can bring benefits. For example, work is ongoing in the area of governance and financing of the ESAs, and the Commission will publish a white paper on these issues. In addition, a public consultation </w:t>
      </w:r>
      <w:r w:rsidR="009A1DA5">
        <w:rPr>
          <w:rFonts w:ascii="Times New Roman" w:hAnsi="Times New Roman" w:cs="Times New Roman"/>
          <w:sz w:val="24"/>
          <w:szCs w:val="24"/>
        </w:rPr>
        <w:t>was</w:t>
      </w:r>
      <w:r>
        <w:rPr>
          <w:rFonts w:ascii="Times New Roman" w:hAnsi="Times New Roman" w:cs="Times New Roman"/>
          <w:sz w:val="24"/>
          <w:szCs w:val="24"/>
        </w:rPr>
        <w:t xml:space="preserve"> launched in August 2016 as part of the review of the EU macro-prudential framework.</w:t>
      </w:r>
      <w:r w:rsidR="002B3F40">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00F81B4D">
        <w:rPr>
          <w:rFonts w:ascii="Times New Roman" w:hAnsi="Times New Roman" w:cs="Times New Roman"/>
          <w:sz w:val="24"/>
          <w:szCs w:val="24"/>
        </w:rPr>
        <w:t>Based on the results of the consultation, t</w:t>
      </w:r>
      <w:r>
        <w:rPr>
          <w:rFonts w:ascii="Times New Roman" w:hAnsi="Times New Roman" w:cs="Times New Roman"/>
          <w:sz w:val="24"/>
          <w:szCs w:val="24"/>
        </w:rPr>
        <w:t>he Commission will adopt a legislative proposal in this area in 2017.</w:t>
      </w:r>
    </w:p>
    <w:p w:rsidR="00C26F79" w:rsidRDefault="00C26F79" w:rsidP="00CB772B">
      <w:pPr>
        <w:spacing w:line="240" w:lineRule="auto"/>
        <w:jc w:val="both"/>
        <w:rPr>
          <w:rFonts w:ascii="Times New Roman" w:hAnsi="Times New Roman"/>
          <w:b/>
          <w:sz w:val="24"/>
        </w:rPr>
      </w:pPr>
      <w:r>
        <w:rPr>
          <w:rFonts w:ascii="Times New Roman" w:hAnsi="Times New Roman" w:cs="Times New Roman"/>
          <w:sz w:val="24"/>
          <w:szCs w:val="24"/>
        </w:rPr>
        <w:t>The Five Presidents</w:t>
      </w:r>
      <w:r w:rsidR="00F1159A">
        <w:rPr>
          <w:rFonts w:ascii="Times New Roman" w:hAnsi="Times New Roman" w:cs="Times New Roman"/>
          <w:sz w:val="24"/>
          <w:szCs w:val="24"/>
        </w:rPr>
        <w:t>'</w:t>
      </w:r>
      <w:r>
        <w:rPr>
          <w:rFonts w:ascii="Times New Roman" w:hAnsi="Times New Roman" w:cs="Times New Roman"/>
          <w:sz w:val="24"/>
          <w:szCs w:val="24"/>
        </w:rPr>
        <w:t xml:space="preserve"> Report highlighted the need to strengthen the supervisory framework in order to ensure the solidity of all financial actors, which should lead ultimately to a single European capital markets supervisor. The Commission will consider, in close consultation with the European Parliament and the Council, the further steps in relation to the supervisory framework that </w:t>
      </w:r>
      <w:r w:rsidR="00FD0933">
        <w:rPr>
          <w:rFonts w:ascii="Times New Roman" w:hAnsi="Times New Roman" w:cs="Times New Roman"/>
          <w:sz w:val="24"/>
          <w:szCs w:val="24"/>
        </w:rPr>
        <w:t xml:space="preserve">are </w:t>
      </w:r>
      <w:r>
        <w:rPr>
          <w:rFonts w:ascii="Times New Roman" w:hAnsi="Times New Roman" w:cs="Times New Roman"/>
          <w:sz w:val="24"/>
          <w:szCs w:val="24"/>
        </w:rPr>
        <w:t xml:space="preserve">necessary to reap the full potential of CMU. </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 success of CMU can only be ensured if Member States are determined to work to dismantle the unjustified national barriers to the free movement of capital. </w:t>
      </w:r>
      <w:r>
        <w:rPr>
          <w:rFonts w:ascii="Times New Roman" w:hAnsi="Times New Roman" w:cs="Times New Roman"/>
          <w:sz w:val="24"/>
          <w:szCs w:val="24"/>
        </w:rPr>
        <w:t>National provisions often go beyond EU law and can in some instances be damaging for cross-border investment. A Member States' expert group has made progress in mapping barriers and exchanging good practices. Building on this work, the Commission will adopt a report by the end of 2016 that will list the barriers identified by the group, identify best practices, and set out a roadmap of proposed actions that the Member States would be encouraged to take by 2019 at the latest. An important part of this work focuses on best practice and a code of conduct for more efficient withholding taxes procedures. This is a long-standing barrier to cross-border investment. Increasing the efficiency of these procedures at the national level and agreeing on a Code of Conduct in 2017 will require a strong commitment from Member States.</w:t>
      </w:r>
    </w:p>
    <w:p w:rsidR="00C26F79" w:rsidRDefault="00C26F79" w:rsidP="00CB772B">
      <w:pPr>
        <w:spacing w:line="240" w:lineRule="auto"/>
        <w:jc w:val="both"/>
        <w:rPr>
          <w:rFonts w:ascii="Times New Roman" w:hAnsi="Times New Roman" w:cs="Times New Roman"/>
          <w:sz w:val="24"/>
          <w:szCs w:val="24"/>
        </w:rPr>
      </w:pPr>
      <w:r>
        <w:rPr>
          <w:rFonts w:ascii="Times New Roman" w:hAnsi="Times New Roman" w:cs="Times New Roman"/>
          <w:b/>
          <w:sz w:val="24"/>
          <w:szCs w:val="24"/>
        </w:rPr>
        <w:t>Better regulation, the reduction of administrative burden for market participants and the simplification of existing legislation will help the CMU deliver its potential.</w:t>
      </w:r>
      <w:r>
        <w:rPr>
          <w:rFonts w:ascii="Times New Roman" w:hAnsi="Times New Roman" w:cs="Times New Roman"/>
          <w:sz w:val="24"/>
          <w:szCs w:val="24"/>
        </w:rPr>
        <w:t xml:space="preserve"> </w:t>
      </w:r>
      <w:r w:rsidR="00266A37" w:rsidRPr="00266A37">
        <w:rPr>
          <w:rFonts w:ascii="Times New Roman" w:hAnsi="Times New Roman" w:cs="Times New Roman"/>
          <w:sz w:val="24"/>
          <w:szCs w:val="24"/>
        </w:rPr>
        <w:t>All CMU proposals announced are prepared in line with the better regulation principles, consultation and impact assessment.</w:t>
      </w:r>
      <w:r w:rsidR="00266A37">
        <w:rPr>
          <w:rFonts w:ascii="Times New Roman" w:hAnsi="Times New Roman" w:cs="Times New Roman"/>
          <w:sz w:val="24"/>
          <w:szCs w:val="24"/>
        </w:rPr>
        <w:t xml:space="preserve"> </w:t>
      </w:r>
      <w:r>
        <w:rPr>
          <w:rFonts w:ascii="Times New Roman" w:hAnsi="Times New Roman" w:cs="Times New Roman"/>
          <w:sz w:val="24"/>
          <w:szCs w:val="24"/>
        </w:rPr>
        <w:t>As part of its better regulation agenda the Commission is pursuing an ambitious program to identify and remove unnecessary regulatory constraints. The Commission's Call for Evidence has identified key areas within financial services legislation where improvements can be implemented. These refer to the need to address impediments to the flow of finance to the economy, to enhance the proportionality in the regulatory framework to better balance financial stability and growth objectives, to reduce unnecessary regulatory burdens and address the remaining risks in the financial system. The Commission will present its follow-up to the Call for Evidence in the coming months.</w:t>
      </w:r>
    </w:p>
    <w:p w:rsidR="00C26F79" w:rsidRDefault="00C26F79" w:rsidP="00CB772B">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Conclusion</w:t>
      </w:r>
    </w:p>
    <w:p w:rsidR="003905D2" w:rsidRDefault="00C26F79" w:rsidP="002B43E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 CMU Action Plan set out the key changes that are needed to strengthen EU capital markets. This plan is more important than ever and the implementation of actions in the plan should be accelerated. </w:t>
      </w:r>
      <w:r>
        <w:rPr>
          <w:rFonts w:ascii="Times New Roman" w:hAnsi="Times New Roman" w:cs="Times New Roman"/>
          <w:sz w:val="24"/>
          <w:szCs w:val="24"/>
        </w:rPr>
        <w:t xml:space="preserve">It is crucial that all relevant actors work together to achieve this. It is equally important to ensure that the CMU priorities evolve alongside the evolving political, economic and technological landscape. </w:t>
      </w:r>
      <w:r w:rsidRPr="002B43E5">
        <w:rPr>
          <w:rFonts w:ascii="Times New Roman" w:hAnsi="Times New Roman" w:cs="Times New Roman"/>
          <w:sz w:val="24"/>
          <w:szCs w:val="24"/>
        </w:rPr>
        <w:t>The Commission will continue to monitor developments and identify further actions that are necessary to develop the CMU.</w:t>
      </w:r>
      <w:r>
        <w:rPr>
          <w:rFonts w:ascii="Times New Roman" w:hAnsi="Times New Roman" w:cs="Times New Roman"/>
          <w:b/>
          <w:sz w:val="24"/>
          <w:szCs w:val="24"/>
        </w:rPr>
        <w:t xml:space="preserve"> The Commission calls on the European Parliament and the Member States to do everything within their power to deliver the CMU Action Plan as soon as possible and support jobs and growth in Europe.</w:t>
      </w:r>
    </w:p>
    <w:p w:rsidR="003905D2" w:rsidRDefault="003905D2" w:rsidP="003905D2">
      <w:r>
        <w:br w:type="page"/>
      </w:r>
    </w:p>
    <w:p w:rsidR="003905D2" w:rsidRPr="00377BD9" w:rsidRDefault="003905D2" w:rsidP="002B43E5">
      <w:pPr>
        <w:jc w:val="both"/>
        <w:rPr>
          <w:rFonts w:ascii="Times New Roman" w:hAnsi="Times New Roman" w:cs="Times New Roman"/>
          <w:b/>
          <w:sz w:val="24"/>
          <w:szCs w:val="24"/>
        </w:rPr>
      </w:pPr>
      <w:r w:rsidRPr="003905D2">
        <w:rPr>
          <w:rFonts w:ascii="Times New Roman" w:hAnsi="Times New Roman" w:cs="Times New Roman"/>
          <w:b/>
          <w:sz w:val="24"/>
          <w:szCs w:val="24"/>
        </w:rPr>
        <w:t xml:space="preserve">ANNEX: STATE OF PLAY OF INITIATIVES IN </w:t>
      </w:r>
      <w:r w:rsidR="002B43E5">
        <w:rPr>
          <w:rFonts w:ascii="Times New Roman" w:hAnsi="Times New Roman" w:cs="Times New Roman"/>
          <w:b/>
          <w:sz w:val="24"/>
          <w:szCs w:val="24"/>
        </w:rPr>
        <w:t>THE CMU ACTION PLAN</w:t>
      </w:r>
    </w:p>
    <w:p w:rsidR="00377BD9" w:rsidRDefault="003905D2" w:rsidP="00C26F79">
      <w:pPr>
        <w:jc w:val="both"/>
        <w:rPr>
          <w:rFonts w:ascii="Times New Roman" w:hAnsi="Times New Roman" w:cs="Times New Roman"/>
          <w:sz w:val="24"/>
          <w:szCs w:val="24"/>
        </w:rPr>
      </w:pPr>
      <w:r>
        <w:rPr>
          <w:rFonts w:ascii="Times New Roman" w:hAnsi="Times New Roman" w:cs="Times New Roman"/>
          <w:sz w:val="24"/>
          <w:szCs w:val="24"/>
        </w:rPr>
        <w:t xml:space="preserve">This overview provides an update on the status of actions contained in the </w:t>
      </w:r>
      <w:r w:rsidR="00377BD9">
        <w:rPr>
          <w:rFonts w:ascii="Times New Roman" w:hAnsi="Times New Roman" w:cs="Times New Roman"/>
          <w:sz w:val="24"/>
          <w:szCs w:val="24"/>
        </w:rPr>
        <w:t>CMU Action P</w:t>
      </w:r>
      <w:r>
        <w:rPr>
          <w:rFonts w:ascii="Times New Roman" w:hAnsi="Times New Roman" w:cs="Times New Roman"/>
          <w:sz w:val="24"/>
          <w:szCs w:val="24"/>
        </w:rPr>
        <w:t>lan</w:t>
      </w:r>
      <w:r w:rsidR="009E0DD8">
        <w:rPr>
          <w:rFonts w:ascii="Times New Roman" w:hAnsi="Times New Roman" w:cs="Times New Roman"/>
          <w:sz w:val="24"/>
          <w:szCs w:val="24"/>
        </w:rPr>
        <w:t xml:space="preserve"> and follows an </w:t>
      </w:r>
      <w:r>
        <w:rPr>
          <w:rFonts w:ascii="Times New Roman" w:hAnsi="Times New Roman" w:cs="Times New Roman"/>
          <w:sz w:val="24"/>
          <w:szCs w:val="24"/>
        </w:rPr>
        <w:t>earlier update published on 25</w:t>
      </w:r>
      <w:r w:rsidR="00377BD9">
        <w:rPr>
          <w:rFonts w:ascii="Times New Roman" w:hAnsi="Times New Roman" w:cs="Times New Roman"/>
          <w:sz w:val="24"/>
          <w:szCs w:val="24"/>
        </w:rPr>
        <w:t xml:space="preserve"> April 20</w:t>
      </w:r>
      <w:r>
        <w:rPr>
          <w:rFonts w:ascii="Times New Roman" w:hAnsi="Times New Roman" w:cs="Times New Roman"/>
          <w:sz w:val="24"/>
          <w:szCs w:val="24"/>
        </w:rPr>
        <w:t>16.</w:t>
      </w:r>
      <w:r>
        <w:rPr>
          <w:rStyle w:val="FootnoteReference"/>
          <w:rFonts w:ascii="Times New Roman" w:hAnsi="Times New Roman" w:cs="Times New Roman"/>
          <w:sz w:val="24"/>
          <w:szCs w:val="24"/>
        </w:rPr>
        <w:footnoteReference w:id="18"/>
      </w:r>
    </w:p>
    <w:tbl>
      <w:tblPr>
        <w:tblW w:w="4666" w:type="pct"/>
        <w:jc w:val="center"/>
        <w:tblInd w:w="-15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0"/>
        <w:gridCol w:w="3103"/>
        <w:gridCol w:w="4065"/>
      </w:tblGrid>
      <w:tr w:rsidR="00BF1277" w:rsidRPr="00956D79" w:rsidTr="0070055F">
        <w:trPr>
          <w:trHeight w:val="462"/>
          <w:jc w:val="center"/>
        </w:trPr>
        <w:tc>
          <w:tcPr>
            <w:tcW w:w="5000" w:type="pct"/>
            <w:gridSpan w:val="3"/>
            <w:tcBorders>
              <w:top w:val="single" w:sz="8" w:space="0" w:color="000000"/>
              <w:left w:val="single" w:sz="12" w:space="0" w:color="auto"/>
              <w:bottom w:val="nil"/>
              <w:right w:val="single" w:sz="12" w:space="0" w:color="000000"/>
            </w:tcBorders>
            <w:shd w:val="clear" w:color="auto" w:fill="002060"/>
            <w:vAlign w:val="center"/>
            <w:hideMark/>
          </w:tcPr>
          <w:p w:rsidR="00BF1277" w:rsidRPr="006A0D5D" w:rsidRDefault="00BF1277" w:rsidP="00377BD9">
            <w:pPr>
              <w:spacing w:after="120" w:line="240" w:lineRule="auto"/>
              <w:jc w:val="center"/>
              <w:rPr>
                <w:rFonts w:ascii="Times New Roman" w:hAnsi="Times New Roman"/>
                <w:b/>
                <w:color w:val="FFFFFF"/>
                <w:sz w:val="18"/>
                <w:szCs w:val="18"/>
              </w:rPr>
            </w:pPr>
            <w:r w:rsidRPr="006A0D5D">
              <w:rPr>
                <w:rFonts w:ascii="Times New Roman" w:hAnsi="Times New Roman"/>
                <w:b/>
                <w:color w:val="FFFFFF"/>
                <w:sz w:val="18"/>
                <w:szCs w:val="18"/>
              </w:rPr>
              <w:t>Financing for innovation, start-ups and non-listed companies</w:t>
            </w:r>
          </w:p>
        </w:tc>
      </w:tr>
      <w:tr w:rsidR="00BF1277" w:rsidRPr="00956D79" w:rsidTr="00491643">
        <w:trPr>
          <w:trHeight w:val="277"/>
          <w:jc w:val="center"/>
        </w:trPr>
        <w:tc>
          <w:tcPr>
            <w:tcW w:w="865" w:type="pct"/>
            <w:tcBorders>
              <w:top w:val="nil"/>
              <w:left w:val="single" w:sz="12" w:space="0" w:color="000000"/>
              <w:bottom w:val="single" w:sz="12" w:space="0" w:color="auto"/>
              <w:right w:val="nil"/>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 xml:space="preserve">Action </w:t>
            </w:r>
          </w:p>
        </w:tc>
        <w:tc>
          <w:tcPr>
            <w:tcW w:w="1790" w:type="pct"/>
            <w:tcBorders>
              <w:top w:val="nil"/>
              <w:left w:val="nil"/>
              <w:bottom w:val="single" w:sz="12" w:space="0" w:color="auto"/>
              <w:right w:val="single" w:sz="8" w:space="0" w:color="000000"/>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2345" w:type="pct"/>
            <w:tcBorders>
              <w:top w:val="nil"/>
              <w:left w:val="single" w:sz="8"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ind w:left="2" w:hanging="2"/>
              <w:rPr>
                <w:rFonts w:ascii="Times New Roman" w:hAnsi="Times New Roman"/>
                <w:b/>
                <w:sz w:val="18"/>
              </w:rPr>
            </w:pPr>
            <w:r>
              <w:rPr>
                <w:rFonts w:ascii="Times New Roman" w:hAnsi="Times New Roman"/>
                <w:b/>
                <w:sz w:val="18"/>
              </w:rPr>
              <w:t>Progress and n</w:t>
            </w:r>
            <w:r w:rsidRPr="008E6EA6">
              <w:rPr>
                <w:rFonts w:ascii="Times New Roman" w:hAnsi="Times New Roman"/>
                <w:b/>
                <w:sz w:val="18"/>
              </w:rPr>
              <w:t>ext steps</w:t>
            </w:r>
          </w:p>
        </w:tc>
      </w:tr>
      <w:tr w:rsidR="00BF1277" w:rsidRPr="00956D79" w:rsidTr="00491643">
        <w:trPr>
          <w:trHeight w:val="556"/>
          <w:jc w:val="center"/>
        </w:trPr>
        <w:tc>
          <w:tcPr>
            <w:tcW w:w="865" w:type="pct"/>
            <w:vMerge w:val="restart"/>
            <w:tcBorders>
              <w:top w:val="single" w:sz="12" w:space="0" w:color="auto"/>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Support venture capital and equity financing</w:t>
            </w:r>
          </w:p>
        </w:tc>
        <w:tc>
          <w:tcPr>
            <w:tcW w:w="1790" w:type="pct"/>
            <w:tcBorders>
              <w:top w:val="single" w:sz="12" w:space="0" w:color="auto"/>
              <w:left w:val="single" w:sz="4" w:space="0" w:color="auto"/>
              <w:bottom w:val="single" w:sz="4" w:space="0" w:color="auto"/>
              <w:right w:val="single" w:sz="4" w:space="0" w:color="auto"/>
            </w:tcBorders>
            <w:shd w:val="clear" w:color="auto" w:fill="auto"/>
            <w:vAlign w:val="center"/>
          </w:tcPr>
          <w:p w:rsidR="00BF1277" w:rsidRPr="001A2996" w:rsidRDefault="00AE3D82" w:rsidP="00377BD9">
            <w:pPr>
              <w:spacing w:after="120" w:line="240" w:lineRule="auto"/>
              <w:rPr>
                <w:rFonts w:ascii="Times New Roman" w:hAnsi="Times New Roman"/>
                <w:sz w:val="18"/>
              </w:rPr>
            </w:pPr>
            <w:r>
              <w:rPr>
                <w:rFonts w:ascii="Times New Roman" w:hAnsi="Times New Roman"/>
                <w:b/>
                <w:i/>
                <w:sz w:val="18"/>
              </w:rPr>
              <w:t>P</w:t>
            </w:r>
            <w:r w:rsidR="00BF1277" w:rsidRPr="008E6EA6">
              <w:rPr>
                <w:rFonts w:ascii="Times New Roman" w:hAnsi="Times New Roman"/>
                <w:b/>
                <w:i/>
                <w:sz w:val="18"/>
              </w:rPr>
              <w:t>an-European venture capital fund-of-funds</w:t>
            </w:r>
            <w:r w:rsidRPr="008E6EA6" w:rsidDel="00AE3D82">
              <w:rPr>
                <w:rFonts w:ascii="Times New Roman" w:hAnsi="Times New Roman"/>
                <w:b/>
                <w:i/>
                <w:sz w:val="18"/>
              </w:rPr>
              <w:t xml:space="preserve"> </w:t>
            </w:r>
          </w:p>
        </w:tc>
        <w:tc>
          <w:tcPr>
            <w:tcW w:w="2345" w:type="pct"/>
            <w:tcBorders>
              <w:top w:val="single" w:sz="12" w:space="0" w:color="auto"/>
              <w:left w:val="single" w:sz="4" w:space="0" w:color="auto"/>
              <w:bottom w:val="single" w:sz="4" w:space="0" w:color="auto"/>
              <w:right w:val="single" w:sz="4" w:space="0" w:color="auto"/>
            </w:tcBorders>
            <w:shd w:val="clear" w:color="auto" w:fill="auto"/>
            <w:vAlign w:val="center"/>
          </w:tcPr>
          <w:p w:rsidR="00BF1277" w:rsidRPr="008E6EA6" w:rsidRDefault="00BF1277">
            <w:pPr>
              <w:spacing w:after="120" w:line="240" w:lineRule="auto"/>
              <w:rPr>
                <w:rFonts w:ascii="Times New Roman" w:hAnsi="Times New Roman"/>
                <w:sz w:val="18"/>
              </w:rPr>
            </w:pPr>
            <w:r w:rsidRPr="008E6EA6">
              <w:rPr>
                <w:rFonts w:ascii="Times New Roman" w:hAnsi="Times New Roman"/>
                <w:sz w:val="18"/>
              </w:rPr>
              <w:t xml:space="preserve">Publish call for expression of interest </w:t>
            </w:r>
            <w:r>
              <w:rPr>
                <w:rFonts w:ascii="Times New Roman" w:hAnsi="Times New Roman" w:cs="Times New Roman"/>
                <w:sz w:val="18"/>
                <w:szCs w:val="18"/>
              </w:rPr>
              <w:t xml:space="preserve">in </w:t>
            </w:r>
            <w:r w:rsidRPr="00956D79">
              <w:rPr>
                <w:rFonts w:ascii="Times New Roman" w:hAnsi="Times New Roman" w:cs="Times New Roman"/>
                <w:sz w:val="18"/>
                <w:szCs w:val="18"/>
              </w:rPr>
              <w:t>2016</w:t>
            </w:r>
            <w:r w:rsidR="00AE3D82">
              <w:rPr>
                <w:rFonts w:ascii="Times New Roman" w:hAnsi="Times New Roman" w:cs="Times New Roman"/>
                <w:sz w:val="18"/>
                <w:szCs w:val="18"/>
              </w:rPr>
              <w:t>.</w:t>
            </w:r>
          </w:p>
        </w:tc>
      </w:tr>
      <w:tr w:rsidR="00BF1277" w:rsidRPr="00956D79" w:rsidTr="00491643">
        <w:trPr>
          <w:trHeight w:val="512"/>
          <w:jc w:val="center"/>
        </w:trPr>
        <w:tc>
          <w:tcPr>
            <w:tcW w:w="865" w:type="pct"/>
            <w:vMerge/>
            <w:tcBorders>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90" w:type="pct"/>
            <w:tcBorders>
              <w:top w:val="single" w:sz="4" w:space="0" w:color="auto"/>
              <w:left w:val="single" w:sz="4" w:space="0" w:color="auto"/>
              <w:bottom w:val="single" w:sz="4" w:space="0" w:color="auto"/>
              <w:right w:val="single" w:sz="4" w:space="0" w:color="auto"/>
            </w:tcBorders>
            <w:shd w:val="clear" w:color="auto" w:fill="auto"/>
            <w:vAlign w:val="center"/>
          </w:tcPr>
          <w:p w:rsidR="00BF1277" w:rsidRPr="008E6EA6" w:rsidRDefault="00BF1277" w:rsidP="00377BD9">
            <w:pPr>
              <w:spacing w:after="120" w:line="240" w:lineRule="auto"/>
            </w:pPr>
            <w:r w:rsidRPr="008E6EA6">
              <w:rPr>
                <w:rFonts w:ascii="Times New Roman" w:hAnsi="Times New Roman"/>
                <w:b/>
                <w:i/>
                <w:sz w:val="18"/>
              </w:rPr>
              <w:t>Revise EuVECA and EuSEF legislation</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BF1277" w:rsidRPr="008E6EA6" w:rsidRDefault="00BF1277" w:rsidP="002B1A38">
            <w:pPr>
              <w:spacing w:after="120" w:line="240" w:lineRule="auto"/>
              <w:rPr>
                <w:rFonts w:ascii="Times New Roman" w:hAnsi="Times New Roman"/>
                <w:sz w:val="18"/>
              </w:rPr>
            </w:pPr>
            <w:r w:rsidRPr="008E6EA6">
              <w:rPr>
                <w:rFonts w:ascii="Times New Roman" w:hAnsi="Times New Roman"/>
                <w:sz w:val="18"/>
              </w:rPr>
              <w:t xml:space="preserve">Legislative proposal </w:t>
            </w:r>
            <w:r w:rsidR="00AE3D82">
              <w:rPr>
                <w:rFonts w:ascii="Times New Roman" w:hAnsi="Times New Roman"/>
                <w:sz w:val="18"/>
              </w:rPr>
              <w:t xml:space="preserve">presented by Commission </w:t>
            </w:r>
            <w:r>
              <w:rPr>
                <w:rFonts w:ascii="Times New Roman" w:hAnsi="Times New Roman"/>
                <w:sz w:val="18"/>
              </w:rPr>
              <w:t>in July 2016</w:t>
            </w:r>
            <w:r w:rsidR="00AE3D82">
              <w:rPr>
                <w:rFonts w:ascii="Times New Roman" w:hAnsi="Times New Roman"/>
                <w:sz w:val="18"/>
              </w:rPr>
              <w:t xml:space="preserve">, under negotiation in </w:t>
            </w:r>
            <w:r w:rsidR="002B1A38">
              <w:rPr>
                <w:rFonts w:ascii="Times New Roman" w:hAnsi="Times New Roman"/>
                <w:sz w:val="18"/>
              </w:rPr>
              <w:t xml:space="preserve">the European Parliament </w:t>
            </w:r>
            <w:r w:rsidR="00AE3D82">
              <w:rPr>
                <w:rFonts w:ascii="Times New Roman" w:hAnsi="Times New Roman"/>
                <w:sz w:val="18"/>
              </w:rPr>
              <w:t>and Council.</w:t>
            </w:r>
          </w:p>
        </w:tc>
      </w:tr>
      <w:tr w:rsidR="00BF1277" w:rsidRPr="00956D79" w:rsidTr="00491643">
        <w:trPr>
          <w:trHeight w:hRule="exact" w:val="739"/>
          <w:jc w:val="center"/>
        </w:trPr>
        <w:tc>
          <w:tcPr>
            <w:tcW w:w="865" w:type="pct"/>
            <w:vMerge/>
            <w:tcBorders>
              <w:left w:val="single" w:sz="12" w:space="0" w:color="000000"/>
              <w:bottom w:val="single" w:sz="12" w:space="0" w:color="auto"/>
              <w:right w:val="single" w:sz="4" w:space="0" w:color="auto"/>
            </w:tcBorders>
            <w:shd w:val="clear" w:color="auto" w:fill="auto"/>
          </w:tcPr>
          <w:p w:rsidR="00BF1277" w:rsidRPr="008E6EA6" w:rsidRDefault="00BF1277" w:rsidP="00377BD9">
            <w:pPr>
              <w:spacing w:after="120" w:line="240" w:lineRule="auto"/>
              <w:rPr>
                <w:rFonts w:ascii="Times New Roman" w:hAnsi="Times New Roman"/>
                <w:b/>
                <w:sz w:val="18"/>
              </w:rPr>
            </w:pPr>
          </w:p>
        </w:tc>
        <w:tc>
          <w:tcPr>
            <w:tcW w:w="1790" w:type="pct"/>
            <w:tcBorders>
              <w:top w:val="single" w:sz="4" w:space="0" w:color="auto"/>
              <w:left w:val="single" w:sz="4" w:space="0" w:color="auto"/>
              <w:bottom w:val="single" w:sz="12" w:space="0" w:color="auto"/>
              <w:right w:val="single" w:sz="4" w:space="0" w:color="auto"/>
            </w:tcBorders>
            <w:shd w:val="clear" w:color="auto" w:fill="auto"/>
            <w:vAlign w:val="center"/>
          </w:tcPr>
          <w:p w:rsidR="00BF1277" w:rsidRPr="001A2996" w:rsidRDefault="00AE3D82" w:rsidP="00377BD9">
            <w:pPr>
              <w:spacing w:after="120" w:line="240" w:lineRule="auto"/>
              <w:ind w:left="2" w:hanging="2"/>
              <w:rPr>
                <w:rFonts w:ascii="Times New Roman" w:hAnsi="Times New Roman"/>
                <w:sz w:val="18"/>
              </w:rPr>
            </w:pPr>
            <w:r>
              <w:rPr>
                <w:rFonts w:ascii="Times New Roman" w:hAnsi="Times New Roman"/>
                <w:b/>
                <w:i/>
                <w:sz w:val="18"/>
              </w:rPr>
              <w:t>T</w:t>
            </w:r>
            <w:r w:rsidR="00BF1277" w:rsidRPr="008E6EA6">
              <w:rPr>
                <w:rFonts w:ascii="Times New Roman" w:hAnsi="Times New Roman"/>
                <w:b/>
                <w:i/>
                <w:sz w:val="18"/>
              </w:rPr>
              <w:t>ax incentives for venture capital and business angels</w:t>
            </w:r>
          </w:p>
        </w:tc>
        <w:tc>
          <w:tcPr>
            <w:tcW w:w="2345" w:type="pct"/>
            <w:tcBorders>
              <w:top w:val="single" w:sz="4" w:space="0" w:color="auto"/>
              <w:left w:val="single" w:sz="4" w:space="0" w:color="auto"/>
              <w:bottom w:val="single" w:sz="12" w:space="0" w:color="auto"/>
              <w:right w:val="single" w:sz="4" w:space="0" w:color="auto"/>
            </w:tcBorders>
            <w:shd w:val="clear" w:color="auto" w:fill="auto"/>
            <w:vAlign w:val="center"/>
          </w:tcPr>
          <w:p w:rsidR="00AE3D82" w:rsidRDefault="00AE3D82" w:rsidP="00377BD9">
            <w:pPr>
              <w:spacing w:after="120" w:line="240" w:lineRule="auto"/>
              <w:rPr>
                <w:rFonts w:ascii="Times New Roman" w:hAnsi="Times New Roman"/>
                <w:sz w:val="18"/>
              </w:rPr>
            </w:pPr>
            <w:r>
              <w:rPr>
                <w:rFonts w:ascii="Times New Roman" w:hAnsi="Times New Roman"/>
                <w:sz w:val="18"/>
              </w:rPr>
              <w:t>Study on national tax incentives underway.</w:t>
            </w:r>
          </w:p>
          <w:p w:rsidR="00BF1277" w:rsidRPr="008E6EA6" w:rsidRDefault="00AE3D82" w:rsidP="00377BD9">
            <w:pPr>
              <w:spacing w:after="120" w:line="240" w:lineRule="auto"/>
              <w:rPr>
                <w:rFonts w:ascii="Times New Roman" w:hAnsi="Times New Roman"/>
                <w:sz w:val="18"/>
              </w:rPr>
            </w:pPr>
            <w:r>
              <w:rPr>
                <w:rFonts w:ascii="Times New Roman" w:hAnsi="Times New Roman"/>
                <w:sz w:val="18"/>
              </w:rPr>
              <w:t>W</w:t>
            </w:r>
            <w:r w:rsidR="00BF1277">
              <w:rPr>
                <w:rFonts w:ascii="Times New Roman" w:hAnsi="Times New Roman"/>
                <w:sz w:val="18"/>
              </w:rPr>
              <w:t>orkshop with Member State experts in October 2016.</w:t>
            </w:r>
          </w:p>
        </w:tc>
      </w:tr>
      <w:tr w:rsidR="00BF1277" w:rsidRPr="00956D79" w:rsidTr="00491643">
        <w:trPr>
          <w:trHeight w:hRule="exact" w:val="869"/>
          <w:jc w:val="center"/>
        </w:trPr>
        <w:tc>
          <w:tcPr>
            <w:tcW w:w="865" w:type="pct"/>
            <w:vMerge w:val="restart"/>
            <w:tcBorders>
              <w:top w:val="single" w:sz="12" w:space="0" w:color="auto"/>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Overcome information barriers to SME investment</w:t>
            </w:r>
          </w:p>
        </w:tc>
        <w:tc>
          <w:tcPr>
            <w:tcW w:w="1790" w:type="pct"/>
            <w:tcBorders>
              <w:top w:val="single" w:sz="12" w:space="0" w:color="auto"/>
              <w:left w:val="single" w:sz="4" w:space="0" w:color="auto"/>
              <w:bottom w:val="single" w:sz="4"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sz w:val="18"/>
              </w:rPr>
            </w:pPr>
            <w:r w:rsidRPr="008E6EA6">
              <w:rPr>
                <w:rFonts w:ascii="Times New Roman" w:hAnsi="Times New Roman"/>
                <w:b/>
                <w:i/>
                <w:sz w:val="18"/>
              </w:rPr>
              <w:t>Strengthen feedback given by banks declining SME credit applications</w:t>
            </w:r>
          </w:p>
        </w:tc>
        <w:tc>
          <w:tcPr>
            <w:tcW w:w="2345" w:type="pct"/>
            <w:tcBorders>
              <w:top w:val="single" w:sz="12" w:space="0" w:color="auto"/>
              <w:left w:val="single" w:sz="4" w:space="0" w:color="auto"/>
              <w:bottom w:val="single" w:sz="4" w:space="0" w:color="auto"/>
              <w:right w:val="single" w:sz="4" w:space="0" w:color="auto"/>
            </w:tcBorders>
            <w:shd w:val="clear" w:color="auto" w:fill="auto"/>
            <w:vAlign w:val="center"/>
          </w:tcPr>
          <w:p w:rsidR="00BF1277" w:rsidRPr="008E6EA6" w:rsidDel="0089770B" w:rsidRDefault="00AE3D82" w:rsidP="002B1A38">
            <w:pPr>
              <w:spacing w:after="120" w:line="240" w:lineRule="auto"/>
              <w:rPr>
                <w:rFonts w:ascii="Times New Roman" w:hAnsi="Times New Roman"/>
                <w:sz w:val="18"/>
              </w:rPr>
            </w:pPr>
            <w:r>
              <w:rPr>
                <w:rFonts w:ascii="Times New Roman" w:hAnsi="Times New Roman" w:cs="Times New Roman"/>
                <w:sz w:val="18"/>
                <w:szCs w:val="18"/>
              </w:rPr>
              <w:t>Close discussions with European banking industry and representatives of small businesses.</w:t>
            </w:r>
          </w:p>
        </w:tc>
      </w:tr>
      <w:tr w:rsidR="00BF1277" w:rsidRPr="00956D79" w:rsidTr="00491643">
        <w:trPr>
          <w:trHeight w:hRule="exact" w:val="833"/>
          <w:jc w:val="center"/>
        </w:trPr>
        <w:tc>
          <w:tcPr>
            <w:tcW w:w="865" w:type="pct"/>
            <w:vMerge/>
            <w:tcBorders>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90" w:type="pct"/>
            <w:tcBorders>
              <w:top w:val="single" w:sz="4" w:space="0" w:color="auto"/>
              <w:left w:val="single" w:sz="4" w:space="0" w:color="auto"/>
              <w:bottom w:val="single" w:sz="4" w:space="0" w:color="auto"/>
              <w:right w:val="single" w:sz="4" w:space="0" w:color="auto"/>
            </w:tcBorders>
            <w:shd w:val="clear" w:color="auto" w:fill="auto"/>
            <w:vAlign w:val="center"/>
          </w:tcPr>
          <w:p w:rsidR="00BF1277" w:rsidRPr="00956D79" w:rsidRDefault="00BF1277" w:rsidP="00377BD9">
            <w:pPr>
              <w:spacing w:after="120" w:line="240" w:lineRule="auto"/>
              <w:rPr>
                <w:rFonts w:ascii="Times New Roman" w:hAnsi="Times New Roman" w:cs="Times New Roman"/>
                <w:sz w:val="18"/>
                <w:szCs w:val="18"/>
              </w:rPr>
            </w:pPr>
            <w:r w:rsidRPr="008E6EA6">
              <w:rPr>
                <w:rFonts w:ascii="Times New Roman" w:hAnsi="Times New Roman"/>
                <w:b/>
                <w:i/>
                <w:sz w:val="18"/>
              </w:rPr>
              <w:t>Map existing local or national support and advisory capacities across the EU to promote best practices</w:t>
            </w:r>
            <w:r w:rsidR="00AE3D82">
              <w:rPr>
                <w:rFonts w:ascii="Times New Roman" w:hAnsi="Times New Roman"/>
                <w:b/>
                <w:i/>
                <w:sz w:val="18"/>
              </w:rPr>
              <w:t>.</w:t>
            </w:r>
          </w:p>
          <w:p w:rsidR="00BF1277" w:rsidRPr="00956D79" w:rsidRDefault="00BF1277" w:rsidP="00377BD9">
            <w:pPr>
              <w:spacing w:after="120" w:line="240" w:lineRule="auto"/>
              <w:rPr>
                <w:rFonts w:ascii="Times New Roman" w:hAnsi="Times New Roman" w:cs="Times New Roman"/>
                <w:sz w:val="18"/>
                <w:szCs w:val="18"/>
              </w:rPr>
            </w:pPr>
          </w:p>
          <w:p w:rsidR="00BF1277" w:rsidRPr="008E6EA6" w:rsidRDefault="00BF1277" w:rsidP="00377BD9">
            <w:pPr>
              <w:spacing w:after="120" w:line="240" w:lineRule="auto"/>
              <w:rPr>
                <w:rFonts w:ascii="Times New Roman" w:hAnsi="Times New Roman"/>
                <w:sz w:val="18"/>
              </w:rPr>
            </w:pP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BF1277" w:rsidRPr="008E6EA6" w:rsidDel="0089770B" w:rsidRDefault="00BF1277" w:rsidP="00377BD9">
            <w:pPr>
              <w:spacing w:after="120" w:line="240" w:lineRule="auto"/>
              <w:rPr>
                <w:rFonts w:ascii="Times New Roman" w:hAnsi="Times New Roman"/>
                <w:sz w:val="18"/>
              </w:rPr>
            </w:pPr>
            <w:r w:rsidRPr="008E6EA6">
              <w:rPr>
                <w:rFonts w:ascii="Times New Roman" w:hAnsi="Times New Roman"/>
                <w:sz w:val="18"/>
              </w:rPr>
              <w:t xml:space="preserve">Workshop </w:t>
            </w:r>
            <w:r>
              <w:rPr>
                <w:rFonts w:ascii="Times New Roman" w:hAnsi="Times New Roman"/>
                <w:sz w:val="18"/>
              </w:rPr>
              <w:t>on Advisory Support for SME Access to Finance</w:t>
            </w:r>
            <w:r w:rsidR="00781BF6">
              <w:rPr>
                <w:rFonts w:ascii="Times New Roman" w:hAnsi="Times New Roman"/>
                <w:sz w:val="18"/>
              </w:rPr>
              <w:t>:</w:t>
            </w:r>
            <w:r>
              <w:rPr>
                <w:rFonts w:ascii="Times New Roman" w:hAnsi="Times New Roman"/>
                <w:sz w:val="18"/>
              </w:rPr>
              <w:t xml:space="preserve"> September 2016</w:t>
            </w:r>
            <w:r w:rsidR="00870792">
              <w:rPr>
                <w:rFonts w:ascii="Times New Roman" w:hAnsi="Times New Roman"/>
                <w:sz w:val="18"/>
              </w:rPr>
              <w:t xml:space="preserve">. </w:t>
            </w:r>
          </w:p>
        </w:tc>
      </w:tr>
      <w:tr w:rsidR="00BF1277" w:rsidRPr="00956D79" w:rsidTr="00491643">
        <w:trPr>
          <w:trHeight w:val="835"/>
          <w:jc w:val="center"/>
        </w:trPr>
        <w:tc>
          <w:tcPr>
            <w:tcW w:w="865" w:type="pct"/>
            <w:vMerge/>
            <w:tcBorders>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90" w:type="pct"/>
            <w:tcBorders>
              <w:top w:val="single" w:sz="4" w:space="0" w:color="auto"/>
              <w:left w:val="single" w:sz="4" w:space="0" w:color="auto"/>
              <w:bottom w:val="single" w:sz="12" w:space="0" w:color="auto"/>
              <w:right w:val="single" w:sz="4" w:space="0" w:color="auto"/>
            </w:tcBorders>
            <w:shd w:val="clear" w:color="auto" w:fill="auto"/>
            <w:vAlign w:val="center"/>
          </w:tcPr>
          <w:p w:rsidR="00BF1277" w:rsidRPr="001A2996" w:rsidDel="0089770B" w:rsidRDefault="00BF1277" w:rsidP="00377BD9">
            <w:pPr>
              <w:spacing w:after="120" w:line="240" w:lineRule="auto"/>
              <w:rPr>
                <w:rFonts w:ascii="Times New Roman" w:hAnsi="Times New Roman"/>
                <w:sz w:val="18"/>
              </w:rPr>
            </w:pPr>
            <w:r w:rsidRPr="008E6EA6">
              <w:rPr>
                <w:rFonts w:ascii="Times New Roman" w:hAnsi="Times New Roman"/>
                <w:b/>
                <w:i/>
                <w:sz w:val="18"/>
              </w:rPr>
              <w:t>Investigate how to develop or support pan-European information systems</w:t>
            </w:r>
          </w:p>
        </w:tc>
        <w:tc>
          <w:tcPr>
            <w:tcW w:w="2345" w:type="pct"/>
            <w:tcBorders>
              <w:top w:val="single" w:sz="4" w:space="0" w:color="auto"/>
              <w:left w:val="single" w:sz="4" w:space="0" w:color="auto"/>
              <w:bottom w:val="single" w:sz="12" w:space="0" w:color="auto"/>
              <w:right w:val="single" w:sz="4" w:space="0" w:color="auto"/>
            </w:tcBorders>
            <w:shd w:val="clear" w:color="auto" w:fill="auto"/>
            <w:vAlign w:val="center"/>
          </w:tcPr>
          <w:p w:rsidR="00BF1277" w:rsidRPr="008E6EA6" w:rsidDel="0089770B" w:rsidRDefault="00377BD9" w:rsidP="00377BD9">
            <w:pPr>
              <w:spacing w:after="120" w:line="240" w:lineRule="auto"/>
              <w:ind w:left="2" w:hanging="2"/>
              <w:rPr>
                <w:rFonts w:ascii="Times New Roman" w:hAnsi="Times New Roman"/>
                <w:sz w:val="18"/>
              </w:rPr>
            </w:pPr>
            <w:r>
              <w:rPr>
                <w:rFonts w:ascii="Times New Roman" w:hAnsi="Times New Roman" w:cs="Times New Roman"/>
                <w:iCs/>
                <w:sz w:val="18"/>
                <w:szCs w:val="18"/>
              </w:rPr>
              <w:t>This policy action will build on results of mapping of national support and advisory systems.</w:t>
            </w:r>
          </w:p>
        </w:tc>
      </w:tr>
      <w:tr w:rsidR="00BF1277" w:rsidRPr="00956D79" w:rsidTr="00491643">
        <w:trPr>
          <w:trHeight w:hRule="exact" w:val="438"/>
          <w:jc w:val="center"/>
        </w:trPr>
        <w:tc>
          <w:tcPr>
            <w:tcW w:w="865" w:type="pct"/>
            <w:vMerge w:val="restart"/>
            <w:tcBorders>
              <w:top w:val="single" w:sz="12" w:space="0" w:color="auto"/>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Promote innovative forms of corporate financing</w:t>
            </w:r>
          </w:p>
        </w:tc>
        <w:tc>
          <w:tcPr>
            <w:tcW w:w="1790" w:type="pct"/>
            <w:tcBorders>
              <w:top w:val="single" w:sz="12" w:space="0" w:color="auto"/>
              <w:left w:val="single" w:sz="4" w:space="0" w:color="auto"/>
              <w:bottom w:val="single" w:sz="4" w:space="0" w:color="auto"/>
              <w:right w:val="single" w:sz="4" w:space="0" w:color="auto"/>
            </w:tcBorders>
            <w:shd w:val="clear" w:color="auto" w:fill="auto"/>
            <w:vAlign w:val="center"/>
          </w:tcPr>
          <w:p w:rsidR="00BF1277" w:rsidRPr="008E6EA6" w:rsidRDefault="00BF1277" w:rsidP="00377BD9">
            <w:pPr>
              <w:spacing w:after="120" w:line="240" w:lineRule="auto"/>
            </w:pPr>
            <w:r w:rsidRPr="008E6EA6">
              <w:rPr>
                <w:rFonts w:ascii="Times New Roman" w:hAnsi="Times New Roman"/>
                <w:b/>
                <w:i/>
                <w:sz w:val="18"/>
              </w:rPr>
              <w:t xml:space="preserve">Report on </w:t>
            </w:r>
            <w:r w:rsidR="00377BD9">
              <w:rPr>
                <w:rFonts w:ascii="Times New Roman" w:hAnsi="Times New Roman"/>
                <w:b/>
                <w:i/>
                <w:sz w:val="18"/>
              </w:rPr>
              <w:t>crowdfunding</w:t>
            </w:r>
          </w:p>
        </w:tc>
        <w:tc>
          <w:tcPr>
            <w:tcW w:w="2345" w:type="pct"/>
            <w:tcBorders>
              <w:top w:val="single" w:sz="12" w:space="0" w:color="auto"/>
              <w:left w:val="single" w:sz="4" w:space="0" w:color="auto"/>
              <w:bottom w:val="single" w:sz="4" w:space="0" w:color="auto"/>
              <w:right w:val="single" w:sz="4" w:space="0" w:color="auto"/>
            </w:tcBorders>
            <w:shd w:val="clear" w:color="auto" w:fill="auto"/>
            <w:vAlign w:val="center"/>
          </w:tcPr>
          <w:p w:rsidR="00BF1277" w:rsidRPr="008E6EA6" w:rsidRDefault="00BF1277" w:rsidP="00377BD9">
            <w:pPr>
              <w:spacing w:after="120" w:line="240" w:lineRule="auto"/>
              <w:ind w:left="2"/>
              <w:rPr>
                <w:rFonts w:ascii="Times New Roman" w:hAnsi="Times New Roman"/>
                <w:sz w:val="18"/>
              </w:rPr>
            </w:pPr>
            <w:r w:rsidRPr="001A2996">
              <w:rPr>
                <w:rFonts w:ascii="Times New Roman" w:hAnsi="Times New Roman"/>
                <w:sz w:val="18"/>
              </w:rPr>
              <w:t>Report published</w:t>
            </w:r>
            <w:r>
              <w:rPr>
                <w:rFonts w:ascii="Times New Roman" w:hAnsi="Times New Roman"/>
                <w:sz w:val="18"/>
              </w:rPr>
              <w:t xml:space="preserve"> in May 2016.</w:t>
            </w:r>
          </w:p>
        </w:tc>
      </w:tr>
      <w:tr w:rsidR="00BF1277" w:rsidRPr="00956D79" w:rsidTr="00491643">
        <w:trPr>
          <w:trHeight w:hRule="exact" w:val="818"/>
          <w:jc w:val="center"/>
        </w:trPr>
        <w:tc>
          <w:tcPr>
            <w:tcW w:w="865" w:type="pct"/>
            <w:vMerge/>
            <w:tcBorders>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90" w:type="pct"/>
            <w:tcBorders>
              <w:top w:val="single" w:sz="4" w:space="0" w:color="auto"/>
              <w:left w:val="single" w:sz="4" w:space="0" w:color="auto"/>
              <w:bottom w:val="single" w:sz="12" w:space="0" w:color="auto"/>
              <w:right w:val="single" w:sz="4" w:space="0" w:color="auto"/>
            </w:tcBorders>
            <w:shd w:val="clear" w:color="auto" w:fill="auto"/>
            <w:vAlign w:val="center"/>
          </w:tcPr>
          <w:p w:rsidR="00BF1277" w:rsidRPr="00956D79" w:rsidRDefault="00BF1277" w:rsidP="00377BD9">
            <w:pPr>
              <w:spacing w:after="120" w:line="240" w:lineRule="auto"/>
              <w:rPr>
                <w:rFonts w:ascii="Times New Roman" w:hAnsi="Times New Roman" w:cs="Times New Roman"/>
                <w:i/>
                <w:sz w:val="18"/>
                <w:szCs w:val="18"/>
              </w:rPr>
            </w:pPr>
            <w:r w:rsidRPr="008E6EA6">
              <w:rPr>
                <w:rFonts w:ascii="Times New Roman" w:hAnsi="Times New Roman"/>
                <w:b/>
                <w:i/>
                <w:sz w:val="18"/>
              </w:rPr>
              <w:t>Develop a coordinated approach to loan origination by funds and assess the case for a future EU framework</w:t>
            </w:r>
          </w:p>
          <w:p w:rsidR="00BF1277" w:rsidRPr="008E6EA6" w:rsidRDefault="00BF1277" w:rsidP="00377BD9">
            <w:pPr>
              <w:spacing w:after="120" w:line="240" w:lineRule="auto"/>
              <w:ind w:left="462"/>
              <w:rPr>
                <w:rFonts w:ascii="Times New Roman" w:hAnsi="Times New Roman"/>
                <w:sz w:val="18"/>
              </w:rPr>
            </w:pPr>
          </w:p>
          <w:p w:rsidR="00BF1277" w:rsidRPr="008E6EA6" w:rsidRDefault="00BF1277" w:rsidP="00377BD9">
            <w:pPr>
              <w:spacing w:after="120" w:line="240" w:lineRule="auto"/>
              <w:ind w:left="462"/>
              <w:rPr>
                <w:rFonts w:ascii="Times New Roman" w:hAnsi="Times New Roman"/>
                <w:sz w:val="18"/>
              </w:rPr>
            </w:pPr>
          </w:p>
          <w:p w:rsidR="00BF1277" w:rsidRPr="008E6EA6" w:rsidRDefault="00BF1277" w:rsidP="00377BD9">
            <w:pPr>
              <w:spacing w:after="120" w:line="240" w:lineRule="auto"/>
              <w:ind w:left="462"/>
              <w:rPr>
                <w:rFonts w:ascii="Times New Roman" w:hAnsi="Times New Roman"/>
                <w:sz w:val="18"/>
              </w:rPr>
            </w:pPr>
          </w:p>
          <w:p w:rsidR="00BF1277" w:rsidRPr="008E6EA6" w:rsidRDefault="00BF1277" w:rsidP="00377BD9">
            <w:pPr>
              <w:spacing w:after="120" w:line="240" w:lineRule="auto"/>
              <w:rPr>
                <w:rFonts w:ascii="Times New Roman" w:hAnsi="Times New Roman"/>
                <w:sz w:val="18"/>
              </w:rPr>
            </w:pPr>
          </w:p>
        </w:tc>
        <w:tc>
          <w:tcPr>
            <w:tcW w:w="2345" w:type="pct"/>
            <w:tcBorders>
              <w:top w:val="single" w:sz="4" w:space="0" w:color="auto"/>
              <w:left w:val="single" w:sz="4" w:space="0" w:color="auto"/>
              <w:bottom w:val="single" w:sz="12" w:space="0" w:color="auto"/>
              <w:right w:val="single" w:sz="4" w:space="0" w:color="auto"/>
            </w:tcBorders>
            <w:shd w:val="clear" w:color="auto" w:fill="auto"/>
            <w:vAlign w:val="center"/>
          </w:tcPr>
          <w:p w:rsidR="00BF1277" w:rsidRPr="001A2996" w:rsidRDefault="00BF1277" w:rsidP="00377BD9">
            <w:pPr>
              <w:spacing w:after="120" w:line="240" w:lineRule="auto"/>
              <w:rPr>
                <w:rFonts w:ascii="Times New Roman" w:hAnsi="Times New Roman" w:cs="Times New Roman"/>
                <w:i/>
                <w:sz w:val="18"/>
                <w:szCs w:val="18"/>
              </w:rPr>
            </w:pPr>
            <w:r w:rsidRPr="001A2996">
              <w:rPr>
                <w:rFonts w:ascii="Times New Roman" w:hAnsi="Times New Roman" w:cs="Times New Roman"/>
                <w:sz w:val="18"/>
                <w:szCs w:val="18"/>
              </w:rPr>
              <w:t>ESMA opinion received in April 2016</w:t>
            </w:r>
            <w:r>
              <w:rPr>
                <w:rFonts w:ascii="Times New Roman" w:hAnsi="Times New Roman" w:cs="Times New Roman"/>
                <w:sz w:val="18"/>
                <w:szCs w:val="18"/>
              </w:rPr>
              <w:t>.</w:t>
            </w:r>
          </w:p>
        </w:tc>
      </w:tr>
    </w:tbl>
    <w:p w:rsidR="00BF1277" w:rsidRDefault="00BF1277" w:rsidP="00377BD9">
      <w:pPr>
        <w:spacing w:after="120" w:line="240" w:lineRule="auto"/>
        <w:rPr>
          <w:rFonts w:ascii="Times New Roman" w:hAnsi="Times New Roman" w:cs="Times New Roman"/>
          <w:sz w:val="18"/>
          <w:szCs w:val="18"/>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BF1277" w:rsidRPr="00956D79" w:rsidTr="00BF1277">
        <w:trPr>
          <w:jc w:val="center"/>
        </w:trPr>
        <w:tc>
          <w:tcPr>
            <w:tcW w:w="5000" w:type="pct"/>
            <w:gridSpan w:val="3"/>
            <w:tcBorders>
              <w:top w:val="single" w:sz="8" w:space="0" w:color="000000"/>
              <w:left w:val="single" w:sz="12" w:space="0" w:color="auto"/>
              <w:bottom w:val="nil"/>
              <w:right w:val="single" w:sz="12" w:space="0" w:color="000000"/>
            </w:tcBorders>
            <w:shd w:val="clear" w:color="auto" w:fill="002060"/>
            <w:vAlign w:val="center"/>
            <w:hideMark/>
          </w:tcPr>
          <w:p w:rsidR="00BF1277" w:rsidRPr="008E6EA6" w:rsidRDefault="00BF1277" w:rsidP="00377BD9">
            <w:pPr>
              <w:spacing w:after="120" w:line="240" w:lineRule="auto"/>
              <w:jc w:val="center"/>
              <w:rPr>
                <w:rFonts w:ascii="Times New Roman" w:hAnsi="Times New Roman"/>
                <w:b/>
                <w:sz w:val="18"/>
              </w:rPr>
            </w:pPr>
            <w:r w:rsidRPr="008E6EA6">
              <w:rPr>
                <w:rFonts w:ascii="Times New Roman" w:hAnsi="Times New Roman"/>
                <w:b/>
                <w:sz w:val="18"/>
              </w:rPr>
              <w:t>Making it easier for companies to enter and raise capital on public markets</w:t>
            </w:r>
          </w:p>
        </w:tc>
      </w:tr>
      <w:tr w:rsidR="00BF1277" w:rsidRPr="00956D79" w:rsidTr="00BF1277">
        <w:trPr>
          <w:trHeight w:hRule="exact" w:val="329"/>
          <w:jc w:val="center"/>
        </w:trPr>
        <w:tc>
          <w:tcPr>
            <w:tcW w:w="906" w:type="pct"/>
            <w:tcBorders>
              <w:top w:val="nil"/>
              <w:left w:val="single" w:sz="12" w:space="0" w:color="000000"/>
              <w:bottom w:val="single" w:sz="12" w:space="0" w:color="000000"/>
              <w:right w:val="nil"/>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Action</w:t>
            </w:r>
          </w:p>
        </w:tc>
        <w:tc>
          <w:tcPr>
            <w:tcW w:w="1748" w:type="pct"/>
            <w:tcBorders>
              <w:top w:val="nil"/>
              <w:left w:val="nil"/>
              <w:bottom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2346" w:type="pct"/>
            <w:tcBorders>
              <w:top w:val="nil"/>
              <w:left w:val="single" w:sz="4" w:space="0" w:color="auto"/>
              <w:bottom w:val="single" w:sz="12" w:space="0" w:color="000000"/>
              <w:right w:val="single" w:sz="4" w:space="0" w:color="auto"/>
            </w:tcBorders>
            <w:shd w:val="clear" w:color="auto" w:fill="auto"/>
            <w:vAlign w:val="center"/>
          </w:tcPr>
          <w:p w:rsidR="00BF1277" w:rsidRPr="008E6EA6" w:rsidRDefault="00BF1277" w:rsidP="00377BD9">
            <w:pPr>
              <w:spacing w:after="120" w:line="240" w:lineRule="auto"/>
              <w:ind w:left="2" w:hanging="2"/>
              <w:rPr>
                <w:rFonts w:ascii="Times New Roman" w:hAnsi="Times New Roman"/>
                <w:b/>
                <w:sz w:val="18"/>
              </w:rPr>
            </w:pPr>
            <w:r>
              <w:rPr>
                <w:rFonts w:ascii="Times New Roman" w:hAnsi="Times New Roman"/>
                <w:b/>
                <w:sz w:val="18"/>
              </w:rPr>
              <w:t>Progress and n</w:t>
            </w:r>
            <w:r w:rsidRPr="008E6EA6">
              <w:rPr>
                <w:rFonts w:ascii="Times New Roman" w:hAnsi="Times New Roman"/>
                <w:b/>
                <w:sz w:val="18"/>
              </w:rPr>
              <w:t>ext steps</w:t>
            </w:r>
          </w:p>
        </w:tc>
      </w:tr>
      <w:tr w:rsidR="00BF1277" w:rsidRPr="00956D79" w:rsidTr="00377BD9">
        <w:trPr>
          <w:trHeight w:hRule="exact" w:val="853"/>
          <w:jc w:val="center"/>
        </w:trPr>
        <w:tc>
          <w:tcPr>
            <w:tcW w:w="906" w:type="pct"/>
            <w:vMerge w:val="restart"/>
            <w:tcBorders>
              <w:top w:val="single" w:sz="12" w:space="0" w:color="000000"/>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Strengthen access to public markets</w:t>
            </w:r>
          </w:p>
        </w:tc>
        <w:tc>
          <w:tcPr>
            <w:tcW w:w="1748" w:type="pct"/>
            <w:tcBorders>
              <w:top w:val="single" w:sz="12" w:space="0" w:color="000000"/>
              <w:left w:val="single" w:sz="4" w:space="0" w:color="auto"/>
              <w:bottom w:val="single" w:sz="4" w:space="0" w:color="auto"/>
              <w:right w:val="single" w:sz="4" w:space="0" w:color="auto"/>
            </w:tcBorders>
            <w:shd w:val="clear" w:color="auto" w:fill="auto"/>
            <w:vAlign w:val="center"/>
          </w:tcPr>
          <w:p w:rsidR="00BF1277" w:rsidRPr="008E6EA6" w:rsidRDefault="00BF1277" w:rsidP="00377BD9">
            <w:pPr>
              <w:spacing w:after="120" w:line="240" w:lineRule="auto"/>
              <w:rPr>
                <w:b/>
              </w:rPr>
            </w:pPr>
            <w:r w:rsidRPr="008E6EA6">
              <w:rPr>
                <w:rFonts w:ascii="Times New Roman" w:hAnsi="Times New Roman"/>
                <w:b/>
                <w:i/>
                <w:sz w:val="18"/>
              </w:rPr>
              <w:t>Proposal to modernise the Prospectus Directive</w:t>
            </w:r>
            <w:r w:rsidRPr="00956D79">
              <w:rPr>
                <w:rFonts w:ascii="Times New Roman" w:hAnsi="Times New Roman" w:cs="Times New Roman"/>
                <w:sz w:val="18"/>
                <w:szCs w:val="18"/>
              </w:rPr>
              <w:t xml:space="preserve"> </w:t>
            </w:r>
          </w:p>
        </w:tc>
        <w:tc>
          <w:tcPr>
            <w:tcW w:w="2346" w:type="pct"/>
            <w:tcBorders>
              <w:top w:val="single" w:sz="12" w:space="0" w:color="000000"/>
              <w:left w:val="single" w:sz="4" w:space="0" w:color="auto"/>
              <w:bottom w:val="single" w:sz="4" w:space="0" w:color="auto"/>
              <w:right w:val="single" w:sz="4" w:space="0" w:color="auto"/>
            </w:tcBorders>
            <w:shd w:val="clear" w:color="auto" w:fill="auto"/>
            <w:vAlign w:val="center"/>
          </w:tcPr>
          <w:p w:rsidR="00BF1277" w:rsidRDefault="00BF1277" w:rsidP="00377BD9">
            <w:pPr>
              <w:spacing w:after="120" w:line="240" w:lineRule="auto"/>
              <w:rPr>
                <w:rFonts w:ascii="Times New Roman" w:hAnsi="Times New Roman"/>
                <w:sz w:val="18"/>
              </w:rPr>
            </w:pPr>
            <w:r>
              <w:rPr>
                <w:rFonts w:ascii="Times New Roman" w:hAnsi="Times New Roman"/>
                <w:sz w:val="18"/>
              </w:rPr>
              <w:t>European Parliament plenary debate in September 2016.</w:t>
            </w:r>
          </w:p>
          <w:p w:rsidR="00BF1277" w:rsidRPr="008E6EA6" w:rsidRDefault="00BF1277" w:rsidP="00870792">
            <w:pPr>
              <w:spacing w:after="120" w:line="240" w:lineRule="auto"/>
              <w:rPr>
                <w:rFonts w:ascii="Times New Roman" w:hAnsi="Times New Roman"/>
                <w:b/>
                <w:sz w:val="18"/>
              </w:rPr>
            </w:pPr>
            <w:r>
              <w:rPr>
                <w:rFonts w:ascii="Times New Roman" w:hAnsi="Times New Roman"/>
                <w:sz w:val="18"/>
              </w:rPr>
              <w:t xml:space="preserve">Council </w:t>
            </w:r>
            <w:r w:rsidR="00870792">
              <w:rPr>
                <w:rFonts w:ascii="Times New Roman" w:hAnsi="Times New Roman"/>
                <w:sz w:val="18"/>
              </w:rPr>
              <w:t>G</w:t>
            </w:r>
            <w:r>
              <w:rPr>
                <w:rFonts w:ascii="Times New Roman" w:hAnsi="Times New Roman"/>
                <w:sz w:val="18"/>
              </w:rPr>
              <w:t xml:space="preserve">eneral </w:t>
            </w:r>
            <w:r w:rsidR="00870792">
              <w:rPr>
                <w:rFonts w:ascii="Times New Roman" w:hAnsi="Times New Roman"/>
                <w:sz w:val="18"/>
              </w:rPr>
              <w:t>A</w:t>
            </w:r>
            <w:r>
              <w:rPr>
                <w:rFonts w:ascii="Times New Roman" w:hAnsi="Times New Roman"/>
                <w:sz w:val="18"/>
              </w:rPr>
              <w:t>pproach reached in June 2016</w:t>
            </w:r>
          </w:p>
        </w:tc>
      </w:tr>
      <w:tr w:rsidR="00BF1277" w:rsidRPr="00956D79" w:rsidTr="00377BD9">
        <w:trPr>
          <w:trHeight w:hRule="exact" w:val="689"/>
          <w:jc w:val="center"/>
        </w:trPr>
        <w:tc>
          <w:tcPr>
            <w:tcW w:w="906" w:type="pct"/>
            <w:vMerge/>
            <w:tcBorders>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i/>
                <w:sz w:val="18"/>
              </w:rPr>
            </w:pPr>
            <w:r w:rsidRPr="008E6EA6">
              <w:rPr>
                <w:rFonts w:ascii="Times New Roman" w:hAnsi="Times New Roman"/>
                <w:b/>
                <w:i/>
                <w:sz w:val="18"/>
              </w:rPr>
              <w:t>Review regulatory barriers to SME admission on public markets and SME Growth Markets</w:t>
            </w:r>
          </w:p>
          <w:p w:rsidR="00BF1277" w:rsidRPr="00956D79" w:rsidRDefault="00BF1277" w:rsidP="00377BD9">
            <w:pPr>
              <w:spacing w:after="120" w:line="240" w:lineRule="auto"/>
              <w:rPr>
                <w:rFonts w:ascii="Times New Roman" w:hAnsi="Times New Roman" w:cs="Times New Roman"/>
                <w:i/>
                <w:sz w:val="18"/>
                <w:szCs w:val="18"/>
              </w:rPr>
            </w:pPr>
          </w:p>
          <w:p w:rsidR="00BF1277" w:rsidRPr="008E6EA6" w:rsidRDefault="00BF1277" w:rsidP="00377BD9">
            <w:pPr>
              <w:spacing w:after="120" w:line="240" w:lineRule="auto"/>
              <w:ind w:left="462"/>
              <w:rPr>
                <w:rFonts w:ascii="Times New Roman" w:hAnsi="Times New Roman"/>
                <w:sz w:val="18"/>
              </w:rPr>
            </w:pPr>
          </w:p>
        </w:tc>
        <w:tc>
          <w:tcPr>
            <w:tcW w:w="2346" w:type="pct"/>
            <w:tcBorders>
              <w:top w:val="single" w:sz="4" w:space="0" w:color="auto"/>
              <w:left w:val="single" w:sz="4" w:space="0" w:color="auto"/>
              <w:bottom w:val="single" w:sz="4" w:space="0" w:color="auto"/>
              <w:right w:val="single" w:sz="4" w:space="0" w:color="auto"/>
            </w:tcBorders>
            <w:shd w:val="clear" w:color="auto" w:fill="auto"/>
            <w:vAlign w:val="center"/>
          </w:tcPr>
          <w:p w:rsidR="00BF1277" w:rsidRPr="001A2996" w:rsidRDefault="00BF1277" w:rsidP="00377BD9">
            <w:pPr>
              <w:spacing w:after="120" w:line="240" w:lineRule="auto"/>
              <w:rPr>
                <w:rFonts w:ascii="Times New Roman" w:hAnsi="Times New Roman" w:cs="Times New Roman"/>
                <w:sz w:val="18"/>
                <w:szCs w:val="18"/>
              </w:rPr>
            </w:pPr>
            <w:r>
              <w:rPr>
                <w:rFonts w:ascii="Times New Roman" w:hAnsi="Times New Roman" w:cs="Times New Roman"/>
                <w:sz w:val="18"/>
                <w:szCs w:val="18"/>
              </w:rPr>
              <w:t xml:space="preserve">Workshops with stakeholders in October and December 2016. </w:t>
            </w:r>
          </w:p>
          <w:p w:rsidR="00BF1277" w:rsidRPr="008E6EA6" w:rsidRDefault="00BF1277" w:rsidP="00377BD9">
            <w:pPr>
              <w:spacing w:after="120" w:line="240" w:lineRule="auto"/>
              <w:ind w:left="2" w:hanging="2"/>
              <w:rPr>
                <w:rFonts w:ascii="Times New Roman" w:hAnsi="Times New Roman"/>
                <w:b/>
                <w:sz w:val="18"/>
              </w:rPr>
            </w:pPr>
          </w:p>
        </w:tc>
      </w:tr>
      <w:tr w:rsidR="00BF1277" w:rsidRPr="00956D79" w:rsidTr="00377BD9">
        <w:trPr>
          <w:trHeight w:hRule="exact" w:val="841"/>
          <w:jc w:val="center"/>
        </w:trPr>
        <w:tc>
          <w:tcPr>
            <w:tcW w:w="906" w:type="pct"/>
            <w:vMerge/>
            <w:tcBorders>
              <w:left w:val="single" w:sz="12" w:space="0" w:color="000000"/>
              <w:bottom w:val="single" w:sz="12" w:space="0" w:color="auto"/>
              <w:right w:val="single" w:sz="4" w:space="0" w:color="auto"/>
            </w:tcBorders>
            <w:shd w:val="clear" w:color="auto" w:fill="auto"/>
          </w:tcPr>
          <w:p w:rsidR="00BF1277" w:rsidRPr="008E6EA6" w:rsidRDefault="00BF1277" w:rsidP="00377BD9">
            <w:pPr>
              <w:spacing w:after="120" w:line="240" w:lineRule="auto"/>
              <w:rPr>
                <w:rFonts w:ascii="Times New Roman" w:hAnsi="Times New Roman"/>
                <w:b/>
                <w:sz w:val="18"/>
              </w:rPr>
            </w:pPr>
          </w:p>
        </w:tc>
        <w:tc>
          <w:tcPr>
            <w:tcW w:w="1748" w:type="pct"/>
            <w:tcBorders>
              <w:top w:val="single" w:sz="4" w:space="0" w:color="auto"/>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ind w:left="2" w:hanging="2"/>
            </w:pPr>
            <w:r w:rsidRPr="008E6EA6">
              <w:rPr>
                <w:rFonts w:ascii="Times New Roman" w:hAnsi="Times New Roman"/>
                <w:b/>
                <w:i/>
                <w:sz w:val="18"/>
              </w:rPr>
              <w:t>Review EU corporate bond markets, focusing on market liquidity</w:t>
            </w:r>
          </w:p>
        </w:tc>
        <w:tc>
          <w:tcPr>
            <w:tcW w:w="2346" w:type="pct"/>
            <w:tcBorders>
              <w:top w:val="single" w:sz="4" w:space="0" w:color="auto"/>
              <w:left w:val="single" w:sz="4" w:space="0" w:color="auto"/>
              <w:bottom w:val="single" w:sz="12" w:space="0" w:color="auto"/>
              <w:right w:val="single" w:sz="4" w:space="0" w:color="auto"/>
            </w:tcBorders>
            <w:shd w:val="clear" w:color="auto" w:fill="auto"/>
            <w:vAlign w:val="center"/>
          </w:tcPr>
          <w:p w:rsidR="00BF1277" w:rsidRPr="001A2996" w:rsidRDefault="00BF1277" w:rsidP="00377BD9">
            <w:pPr>
              <w:spacing w:after="120" w:line="240" w:lineRule="auto"/>
              <w:ind w:left="2"/>
              <w:rPr>
                <w:rFonts w:ascii="Times New Roman" w:hAnsi="Times New Roman"/>
                <w:sz w:val="18"/>
              </w:rPr>
            </w:pPr>
            <w:r>
              <w:rPr>
                <w:rFonts w:ascii="Times New Roman" w:hAnsi="Times New Roman"/>
                <w:sz w:val="18"/>
              </w:rPr>
              <w:t>S</w:t>
            </w:r>
            <w:r w:rsidRPr="001A2996">
              <w:rPr>
                <w:rFonts w:ascii="Times New Roman" w:hAnsi="Times New Roman"/>
                <w:sz w:val="18"/>
              </w:rPr>
              <w:t xml:space="preserve">tudy </w:t>
            </w:r>
            <w:r>
              <w:rPr>
                <w:rFonts w:ascii="Times New Roman" w:hAnsi="Times New Roman" w:cs="Times New Roman"/>
                <w:sz w:val="18"/>
                <w:szCs w:val="18"/>
              </w:rPr>
              <w:t>launched in July</w:t>
            </w:r>
            <w:r w:rsidRPr="001A2996">
              <w:rPr>
                <w:rFonts w:ascii="Times New Roman" w:hAnsi="Times New Roman" w:cs="Times New Roman"/>
                <w:sz w:val="18"/>
                <w:szCs w:val="18"/>
              </w:rPr>
              <w:t xml:space="preserve"> 2016</w:t>
            </w:r>
            <w:r w:rsidR="00870792">
              <w:rPr>
                <w:rFonts w:ascii="Times New Roman" w:hAnsi="Times New Roman" w:cs="Times New Roman"/>
                <w:sz w:val="18"/>
                <w:szCs w:val="18"/>
              </w:rPr>
              <w:t>.</w:t>
            </w:r>
          </w:p>
          <w:p w:rsidR="00BF1277" w:rsidRPr="008E6EA6" w:rsidRDefault="00BF1277" w:rsidP="00377BD9">
            <w:pPr>
              <w:spacing w:after="120" w:line="240" w:lineRule="auto"/>
              <w:rPr>
                <w:rFonts w:ascii="Times New Roman" w:hAnsi="Times New Roman"/>
                <w:sz w:val="18"/>
              </w:rPr>
            </w:pPr>
            <w:r>
              <w:rPr>
                <w:rFonts w:ascii="Times New Roman" w:hAnsi="Times New Roman"/>
                <w:sz w:val="18"/>
              </w:rPr>
              <w:t>E</w:t>
            </w:r>
            <w:r w:rsidRPr="008E6EA6">
              <w:rPr>
                <w:rFonts w:ascii="Times New Roman" w:hAnsi="Times New Roman"/>
                <w:sz w:val="18"/>
              </w:rPr>
              <w:t xml:space="preserve">xpert </w:t>
            </w:r>
            <w:r>
              <w:rPr>
                <w:rFonts w:ascii="Times New Roman" w:hAnsi="Times New Roman"/>
                <w:sz w:val="18"/>
              </w:rPr>
              <w:t>group to be launched in autumn 2016.</w:t>
            </w:r>
          </w:p>
        </w:tc>
      </w:tr>
      <w:tr w:rsidR="00BF1277" w:rsidRPr="00956D79" w:rsidTr="00377BD9">
        <w:trPr>
          <w:trHeight w:hRule="exact" w:val="731"/>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Support equity financing</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ind w:left="2" w:hanging="2"/>
            </w:pPr>
            <w:r w:rsidRPr="008E6EA6">
              <w:rPr>
                <w:rFonts w:ascii="Times New Roman" w:hAnsi="Times New Roman"/>
                <w:b/>
                <w:i/>
                <w:sz w:val="18"/>
              </w:rPr>
              <w:t>Address debt-equity bias</w:t>
            </w:r>
            <w:r w:rsidR="00781BF6">
              <w:rPr>
                <w:rFonts w:ascii="Times New Roman" w:hAnsi="Times New Roman"/>
                <w:b/>
                <w:i/>
                <w:sz w:val="18"/>
              </w:rPr>
              <w:t xml:space="preserve"> in national corporate tax systems</w:t>
            </w:r>
            <w:r w:rsidRPr="008E6EA6">
              <w:rPr>
                <w:rFonts w:ascii="Times New Roman" w:hAnsi="Times New Roman"/>
                <w:b/>
                <w:i/>
                <w:sz w:val="18"/>
              </w:rPr>
              <w:t xml:space="preserve"> </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8E6EA6" w:rsidRDefault="00781BF6" w:rsidP="00377BD9">
            <w:pPr>
              <w:spacing w:after="120" w:line="240" w:lineRule="auto"/>
              <w:ind w:left="2" w:hanging="2"/>
              <w:rPr>
                <w:rFonts w:ascii="Times New Roman" w:hAnsi="Times New Roman"/>
                <w:sz w:val="18"/>
              </w:rPr>
            </w:pPr>
            <w:r>
              <w:rPr>
                <w:rFonts w:ascii="Times New Roman" w:hAnsi="Times New Roman"/>
                <w:sz w:val="18"/>
              </w:rPr>
              <w:t>P</w:t>
            </w:r>
            <w:r w:rsidR="00BF1277" w:rsidRPr="008E6EA6">
              <w:rPr>
                <w:rFonts w:ascii="Times New Roman" w:hAnsi="Times New Roman"/>
                <w:sz w:val="18"/>
              </w:rPr>
              <w:t>roposal</w:t>
            </w:r>
            <w:r w:rsidR="00BF1277">
              <w:rPr>
                <w:rFonts w:ascii="Times New Roman" w:hAnsi="Times New Roman"/>
                <w:sz w:val="18"/>
              </w:rPr>
              <w:t xml:space="preserve">s on CCTB to be </w:t>
            </w:r>
            <w:r>
              <w:rPr>
                <w:rFonts w:ascii="Times New Roman" w:hAnsi="Times New Roman"/>
                <w:sz w:val="18"/>
              </w:rPr>
              <w:t xml:space="preserve">presented by COM </w:t>
            </w:r>
            <w:r w:rsidR="00BF1277" w:rsidRPr="00D06C67">
              <w:rPr>
                <w:rFonts w:ascii="Times New Roman" w:hAnsi="Times New Roman"/>
                <w:sz w:val="18"/>
              </w:rPr>
              <w:t>by end</w:t>
            </w:r>
            <w:r w:rsidR="00BF1277">
              <w:rPr>
                <w:rFonts w:ascii="Times New Roman" w:hAnsi="Times New Roman"/>
                <w:sz w:val="18"/>
              </w:rPr>
              <w:t xml:space="preserve"> </w:t>
            </w:r>
            <w:r w:rsidR="00BF1277" w:rsidRPr="00D06C67">
              <w:rPr>
                <w:rFonts w:ascii="Times New Roman" w:hAnsi="Times New Roman"/>
                <w:sz w:val="18"/>
              </w:rPr>
              <w:t>2016.</w:t>
            </w:r>
          </w:p>
        </w:tc>
      </w:tr>
    </w:tbl>
    <w:p w:rsidR="00BF1277" w:rsidRDefault="00BF1277" w:rsidP="00377BD9">
      <w:pPr>
        <w:spacing w:after="120" w:line="240" w:lineRule="auto"/>
        <w:rPr>
          <w:rFonts w:ascii="Times New Roman" w:hAnsi="Times New Roman"/>
          <w:sz w:val="18"/>
        </w:rPr>
      </w:pPr>
    </w:p>
    <w:p w:rsidR="00D12B3F" w:rsidRDefault="00D12B3F" w:rsidP="00377BD9">
      <w:pPr>
        <w:spacing w:after="120" w:line="240" w:lineRule="auto"/>
        <w:rPr>
          <w:rFonts w:ascii="Times New Roman" w:hAnsi="Times New Roman"/>
          <w:sz w:val="18"/>
        </w:rPr>
      </w:pPr>
    </w:p>
    <w:p w:rsidR="00D12B3F" w:rsidRDefault="00D12B3F" w:rsidP="00377BD9">
      <w:pPr>
        <w:spacing w:after="120" w:line="240" w:lineRule="auto"/>
        <w:rPr>
          <w:rFonts w:ascii="Times New Roman" w:hAnsi="Times New Roman"/>
          <w:sz w:val="18"/>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BF1277" w:rsidRPr="00956D79" w:rsidTr="0070055F">
        <w:trPr>
          <w:trHeight w:val="499"/>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BF1277" w:rsidRPr="008E6EA6" w:rsidRDefault="00BF1277" w:rsidP="00377BD9">
            <w:pPr>
              <w:spacing w:after="120" w:line="240" w:lineRule="auto"/>
              <w:jc w:val="center"/>
              <w:rPr>
                <w:rFonts w:ascii="Times New Roman" w:hAnsi="Times New Roman"/>
                <w:b/>
                <w:sz w:val="18"/>
              </w:rPr>
            </w:pPr>
            <w:r w:rsidRPr="008E6EA6">
              <w:rPr>
                <w:rFonts w:ascii="Times New Roman" w:hAnsi="Times New Roman"/>
                <w:b/>
                <w:sz w:val="18"/>
              </w:rPr>
              <w:t>Investing for long term, infrastructure and sustainable investment</w:t>
            </w:r>
          </w:p>
        </w:tc>
      </w:tr>
      <w:tr w:rsidR="00BF1277" w:rsidRPr="00956D79" w:rsidTr="0070055F">
        <w:trPr>
          <w:trHeight w:hRule="exact" w:val="288"/>
          <w:jc w:val="center"/>
        </w:trPr>
        <w:tc>
          <w:tcPr>
            <w:tcW w:w="906" w:type="pct"/>
            <w:tcBorders>
              <w:top w:val="nil"/>
              <w:left w:val="single" w:sz="12" w:space="0" w:color="000000"/>
              <w:bottom w:val="single" w:sz="12" w:space="0" w:color="000000"/>
              <w:right w:val="nil"/>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Action</w:t>
            </w:r>
          </w:p>
        </w:tc>
        <w:tc>
          <w:tcPr>
            <w:tcW w:w="1748" w:type="pct"/>
            <w:tcBorders>
              <w:top w:val="nil"/>
              <w:left w:val="nil"/>
              <w:bottom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2346" w:type="pct"/>
            <w:tcBorders>
              <w:top w:val="nil"/>
              <w:left w:val="single" w:sz="4" w:space="0" w:color="auto"/>
              <w:bottom w:val="single" w:sz="12" w:space="0" w:color="000000"/>
              <w:right w:val="single" w:sz="4" w:space="0" w:color="auto"/>
            </w:tcBorders>
            <w:shd w:val="clear" w:color="auto" w:fill="auto"/>
            <w:vAlign w:val="center"/>
          </w:tcPr>
          <w:p w:rsidR="00BF1277" w:rsidRPr="008E6EA6" w:rsidRDefault="00BF1277" w:rsidP="00377BD9">
            <w:pPr>
              <w:spacing w:after="120" w:line="240" w:lineRule="auto"/>
              <w:ind w:left="2" w:hanging="2"/>
              <w:rPr>
                <w:rFonts w:ascii="Times New Roman" w:hAnsi="Times New Roman"/>
                <w:b/>
                <w:sz w:val="18"/>
              </w:rPr>
            </w:pPr>
            <w:r>
              <w:rPr>
                <w:rFonts w:ascii="Times New Roman" w:hAnsi="Times New Roman"/>
                <w:b/>
                <w:sz w:val="18"/>
              </w:rPr>
              <w:t>Progress and n</w:t>
            </w:r>
            <w:r w:rsidRPr="008E6EA6">
              <w:rPr>
                <w:rFonts w:ascii="Times New Roman" w:hAnsi="Times New Roman"/>
                <w:b/>
                <w:sz w:val="18"/>
              </w:rPr>
              <w:t>ext steps</w:t>
            </w:r>
          </w:p>
        </w:tc>
      </w:tr>
      <w:tr w:rsidR="00BF1277" w:rsidRPr="00956D79" w:rsidTr="00BF1277">
        <w:trPr>
          <w:trHeight w:hRule="exact" w:val="1085"/>
          <w:jc w:val="center"/>
        </w:trPr>
        <w:tc>
          <w:tcPr>
            <w:tcW w:w="906" w:type="pct"/>
            <w:vMerge w:val="restart"/>
            <w:tcBorders>
              <w:top w:val="single" w:sz="12" w:space="0" w:color="000000"/>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Support infrastructure investment</w:t>
            </w:r>
          </w:p>
        </w:tc>
        <w:tc>
          <w:tcPr>
            <w:tcW w:w="1748" w:type="pct"/>
            <w:tcBorders>
              <w:top w:val="single" w:sz="12" w:space="0" w:color="000000"/>
              <w:left w:val="single" w:sz="4" w:space="0" w:color="auto"/>
              <w:bottom w:val="single" w:sz="4" w:space="0" w:color="000000"/>
              <w:right w:val="single" w:sz="4" w:space="0" w:color="auto"/>
            </w:tcBorders>
            <w:shd w:val="clear" w:color="auto" w:fill="auto"/>
            <w:vAlign w:val="center"/>
          </w:tcPr>
          <w:p w:rsidR="00BF1277" w:rsidRPr="008E6EA6" w:rsidRDefault="00BF1277" w:rsidP="00377BD9">
            <w:pPr>
              <w:spacing w:after="120" w:line="240" w:lineRule="auto"/>
              <w:ind w:left="11" w:hanging="11"/>
              <w:rPr>
                <w:rFonts w:ascii="Times New Roman" w:hAnsi="Times New Roman"/>
                <w:b/>
                <w:i/>
                <w:sz w:val="18"/>
              </w:rPr>
            </w:pPr>
            <w:r w:rsidRPr="008E6EA6">
              <w:rPr>
                <w:rFonts w:ascii="Times New Roman" w:hAnsi="Times New Roman"/>
                <w:b/>
                <w:i/>
                <w:sz w:val="18"/>
              </w:rPr>
              <w:t>Adjust Solvency II calibrations for insurers' investment in infrastructure</w:t>
            </w:r>
            <w:r w:rsidR="002D7FDC">
              <w:rPr>
                <w:rFonts w:ascii="Times New Roman" w:hAnsi="Times New Roman"/>
                <w:b/>
                <w:i/>
                <w:sz w:val="18"/>
              </w:rPr>
              <w:t xml:space="preserve"> including infrastructure corporates</w:t>
            </w:r>
            <w:r w:rsidRPr="008E6EA6">
              <w:rPr>
                <w:rFonts w:ascii="Times New Roman" w:hAnsi="Times New Roman"/>
                <w:b/>
                <w:i/>
                <w:sz w:val="18"/>
              </w:rPr>
              <w:t xml:space="preserve"> and European Long Term Investment Funds</w:t>
            </w:r>
          </w:p>
          <w:p w:rsidR="00BF1277" w:rsidRPr="008E6EA6" w:rsidRDefault="00BF1277" w:rsidP="00377BD9">
            <w:pPr>
              <w:pStyle w:val="ListParagraph"/>
              <w:spacing w:after="120" w:line="240" w:lineRule="auto"/>
              <w:rPr>
                <w:rFonts w:ascii="Times New Roman" w:hAnsi="Times New Roman"/>
              </w:rPr>
            </w:pPr>
          </w:p>
          <w:p w:rsidR="00BF1277" w:rsidRPr="008E6EA6" w:rsidRDefault="00BF1277" w:rsidP="00377BD9">
            <w:pPr>
              <w:spacing w:after="120" w:line="240" w:lineRule="auto"/>
              <w:ind w:left="11" w:hanging="11"/>
              <w:rPr>
                <w:rFonts w:ascii="Times New Roman" w:hAnsi="Times New Roman"/>
                <w:sz w:val="18"/>
              </w:rPr>
            </w:pPr>
          </w:p>
        </w:tc>
        <w:tc>
          <w:tcPr>
            <w:tcW w:w="2346" w:type="pct"/>
            <w:tcBorders>
              <w:top w:val="single" w:sz="12" w:space="0" w:color="000000"/>
              <w:left w:val="single" w:sz="4" w:space="0" w:color="auto"/>
              <w:bottom w:val="single" w:sz="4" w:space="0" w:color="000000"/>
              <w:right w:val="single" w:sz="4" w:space="0" w:color="auto"/>
            </w:tcBorders>
            <w:shd w:val="clear" w:color="auto" w:fill="auto"/>
            <w:vAlign w:val="center"/>
          </w:tcPr>
          <w:p w:rsidR="00781BF6" w:rsidRDefault="00781BF6" w:rsidP="00377BD9">
            <w:pPr>
              <w:spacing w:after="120" w:line="240" w:lineRule="auto"/>
              <w:rPr>
                <w:rFonts w:ascii="Times New Roman" w:hAnsi="Times New Roman" w:cs="Times New Roman"/>
                <w:sz w:val="18"/>
                <w:szCs w:val="18"/>
              </w:rPr>
            </w:pPr>
            <w:r>
              <w:rPr>
                <w:rFonts w:ascii="Times New Roman" w:hAnsi="Times New Roman" w:cs="Times New Roman"/>
                <w:sz w:val="18"/>
                <w:szCs w:val="18"/>
              </w:rPr>
              <w:t>Amendments to Solvency II legislation regarding infrastructure projects and ELTIFs took effect</w:t>
            </w:r>
            <w:r w:rsidR="00870792">
              <w:rPr>
                <w:rFonts w:ascii="Times New Roman" w:hAnsi="Times New Roman" w:cs="Times New Roman"/>
                <w:sz w:val="18"/>
                <w:szCs w:val="18"/>
              </w:rPr>
              <w:t xml:space="preserve"> in </w:t>
            </w:r>
            <w:r>
              <w:rPr>
                <w:rFonts w:ascii="Times New Roman" w:hAnsi="Times New Roman" w:cs="Times New Roman"/>
                <w:sz w:val="18"/>
                <w:szCs w:val="18"/>
              </w:rPr>
              <w:t>April 2016.</w:t>
            </w:r>
          </w:p>
          <w:p w:rsidR="00BF1277" w:rsidRPr="00BB7D87" w:rsidRDefault="00BF1277" w:rsidP="00377BD9">
            <w:pPr>
              <w:spacing w:after="120" w:line="240" w:lineRule="auto"/>
              <w:rPr>
                <w:rFonts w:ascii="Times New Roman" w:hAnsi="Times New Roman" w:cs="Times New Roman"/>
                <w:sz w:val="18"/>
                <w:szCs w:val="18"/>
              </w:rPr>
            </w:pPr>
            <w:r w:rsidRPr="00BB7D87">
              <w:rPr>
                <w:rFonts w:ascii="Times New Roman" w:hAnsi="Times New Roman" w:cs="Times New Roman"/>
                <w:sz w:val="18"/>
                <w:szCs w:val="18"/>
              </w:rPr>
              <w:t>Assessment of infrastructure corporates ongoing</w:t>
            </w:r>
            <w:r w:rsidR="00781BF6">
              <w:rPr>
                <w:rFonts w:ascii="Times New Roman" w:hAnsi="Times New Roman" w:cs="Times New Roman"/>
                <w:sz w:val="18"/>
                <w:szCs w:val="18"/>
              </w:rPr>
              <w:t>.</w:t>
            </w:r>
            <w:r w:rsidRPr="00BB7D87">
              <w:rPr>
                <w:rFonts w:ascii="Times New Roman" w:hAnsi="Times New Roman" w:cs="Times New Roman"/>
                <w:sz w:val="18"/>
                <w:szCs w:val="18"/>
              </w:rPr>
              <w:t xml:space="preserve">  </w:t>
            </w:r>
          </w:p>
        </w:tc>
      </w:tr>
      <w:tr w:rsidR="00BF1277" w:rsidRPr="00956D79" w:rsidTr="0070055F">
        <w:trPr>
          <w:trHeight w:hRule="exact" w:val="80"/>
          <w:jc w:val="center"/>
        </w:trPr>
        <w:tc>
          <w:tcPr>
            <w:tcW w:w="906" w:type="pct"/>
            <w:vMerge/>
            <w:tcBorders>
              <w:top w:val="single" w:sz="8" w:space="0" w:color="000000"/>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48" w:type="pct"/>
            <w:tcBorders>
              <w:top w:val="single" w:sz="4" w:space="0" w:color="000000"/>
              <w:left w:val="single" w:sz="4" w:space="0" w:color="auto"/>
              <w:bottom w:val="nil"/>
              <w:right w:val="single" w:sz="4" w:space="0" w:color="auto"/>
            </w:tcBorders>
            <w:shd w:val="clear" w:color="auto" w:fill="auto"/>
            <w:vAlign w:val="center"/>
          </w:tcPr>
          <w:p w:rsidR="00BF1277" w:rsidRPr="008E6EA6" w:rsidRDefault="00BF1277" w:rsidP="00377BD9">
            <w:pPr>
              <w:spacing w:after="120" w:line="240" w:lineRule="auto"/>
              <w:ind w:left="12" w:hanging="12"/>
              <w:rPr>
                <w:rFonts w:ascii="Times New Roman" w:hAnsi="Times New Roman"/>
                <w:sz w:val="18"/>
              </w:rPr>
            </w:pPr>
            <w:r w:rsidRPr="008E6EA6">
              <w:rPr>
                <w:rFonts w:ascii="Times New Roman" w:hAnsi="Times New Roman"/>
                <w:sz w:val="18"/>
              </w:rPr>
              <w:t>calibrations, if appropriate (ongoing)</w:t>
            </w:r>
          </w:p>
        </w:tc>
        <w:tc>
          <w:tcPr>
            <w:tcW w:w="2346" w:type="pct"/>
            <w:tcBorders>
              <w:top w:val="single" w:sz="4" w:space="0" w:color="000000"/>
              <w:left w:val="single" w:sz="4" w:space="0" w:color="auto"/>
              <w:bottom w:val="nil"/>
              <w:right w:val="single" w:sz="4" w:space="0" w:color="auto"/>
            </w:tcBorders>
            <w:shd w:val="clear" w:color="auto" w:fill="auto"/>
            <w:vAlign w:val="center"/>
          </w:tcPr>
          <w:p w:rsidR="00BF1277" w:rsidRPr="00BB7D87" w:rsidRDefault="00BF1277" w:rsidP="00377BD9">
            <w:pPr>
              <w:spacing w:after="120" w:line="240" w:lineRule="auto"/>
              <w:ind w:left="12" w:hanging="12"/>
              <w:rPr>
                <w:rFonts w:ascii="Times New Roman" w:hAnsi="Times New Roman"/>
                <w:sz w:val="18"/>
              </w:rPr>
            </w:pPr>
          </w:p>
        </w:tc>
      </w:tr>
      <w:tr w:rsidR="00BF1277" w:rsidRPr="00956D79" w:rsidTr="0070055F">
        <w:trPr>
          <w:trHeight w:hRule="exact" w:val="592"/>
          <w:jc w:val="center"/>
        </w:trPr>
        <w:tc>
          <w:tcPr>
            <w:tcW w:w="906" w:type="pct"/>
            <w:vMerge/>
            <w:tcBorders>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48" w:type="pct"/>
            <w:tcBorders>
              <w:top w:val="nil"/>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ind w:left="12" w:hanging="12"/>
              <w:rPr>
                <w:rFonts w:ascii="Times New Roman" w:hAnsi="Times New Roman"/>
                <w:b/>
                <w:i/>
                <w:sz w:val="18"/>
              </w:rPr>
            </w:pPr>
            <w:r w:rsidRPr="008E6EA6">
              <w:rPr>
                <w:rFonts w:ascii="Times New Roman" w:hAnsi="Times New Roman"/>
                <w:b/>
                <w:i/>
                <w:sz w:val="18"/>
              </w:rPr>
              <w:t>Review of the CRR, changes on infrastructure</w:t>
            </w:r>
            <w:r w:rsidR="00776F3B">
              <w:rPr>
                <w:rFonts w:ascii="Times New Roman" w:hAnsi="Times New Roman"/>
                <w:b/>
                <w:i/>
                <w:sz w:val="18"/>
              </w:rPr>
              <w:t xml:space="preserve"> calibrations</w:t>
            </w:r>
          </w:p>
          <w:p w:rsidR="00BF1277" w:rsidRPr="001A2996" w:rsidRDefault="00BF1277" w:rsidP="00377BD9">
            <w:pPr>
              <w:spacing w:after="120" w:line="240" w:lineRule="auto"/>
              <w:rPr>
                <w:rFonts w:ascii="Times New Roman" w:hAnsi="Times New Roman"/>
                <w:sz w:val="18"/>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BF1277" w:rsidRPr="00BB7D87" w:rsidRDefault="00781BF6" w:rsidP="00377BD9">
            <w:pPr>
              <w:spacing w:after="120" w:line="240" w:lineRule="auto"/>
              <w:ind w:left="12" w:hanging="12"/>
              <w:rPr>
                <w:rFonts w:ascii="Times New Roman" w:hAnsi="Times New Roman" w:cs="Times New Roman"/>
                <w:sz w:val="18"/>
                <w:szCs w:val="18"/>
              </w:rPr>
            </w:pPr>
            <w:r>
              <w:rPr>
                <w:rFonts w:ascii="Times New Roman" w:hAnsi="Times New Roman" w:cs="Times New Roman"/>
                <w:sz w:val="18"/>
                <w:szCs w:val="18"/>
              </w:rPr>
              <w:t>Under consideration in context of forthcoming revision of CRR/CRD.</w:t>
            </w:r>
          </w:p>
          <w:p w:rsidR="00BF1277" w:rsidRPr="00BB7D87" w:rsidRDefault="00BF1277" w:rsidP="00377BD9">
            <w:pPr>
              <w:spacing w:after="120" w:line="240" w:lineRule="auto"/>
              <w:rPr>
                <w:rFonts w:ascii="Times New Roman" w:hAnsi="Times New Roman"/>
                <w:sz w:val="18"/>
              </w:rPr>
            </w:pPr>
          </w:p>
        </w:tc>
      </w:tr>
      <w:tr w:rsidR="00BF1277" w:rsidRPr="00956D79" w:rsidTr="00BF1277">
        <w:trPr>
          <w:trHeight w:hRule="exact" w:val="1038"/>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Ensure consistency of EU financial services rulebook</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ind w:left="11" w:hanging="11"/>
              <w:rPr>
                <w:rFonts w:ascii="Times New Roman" w:hAnsi="Times New Roman"/>
                <w:b/>
                <w:i/>
                <w:sz w:val="18"/>
              </w:rPr>
            </w:pPr>
            <w:r w:rsidRPr="008E6EA6">
              <w:rPr>
                <w:rFonts w:ascii="Times New Roman" w:hAnsi="Times New Roman"/>
                <w:b/>
                <w:i/>
                <w:sz w:val="18"/>
              </w:rPr>
              <w:t xml:space="preserve">Call for evidence on the cumulative impact of the financial reform </w:t>
            </w:r>
          </w:p>
          <w:p w:rsidR="00BF1277" w:rsidRPr="001A2996" w:rsidRDefault="00BF1277" w:rsidP="00377BD9">
            <w:pPr>
              <w:spacing w:after="120" w:line="240" w:lineRule="auto"/>
              <w:rPr>
                <w:rFonts w:ascii="Times New Roman" w:hAnsi="Times New Roman"/>
                <w:sz w:val="18"/>
              </w:rPr>
            </w:pP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Default="00BF1277" w:rsidP="00377BD9">
            <w:pPr>
              <w:spacing w:after="120" w:line="240" w:lineRule="auto"/>
              <w:rPr>
                <w:rFonts w:ascii="Times New Roman" w:hAnsi="Times New Roman" w:cs="Times New Roman"/>
                <w:sz w:val="18"/>
                <w:szCs w:val="18"/>
              </w:rPr>
            </w:pPr>
            <w:r w:rsidRPr="00956D79">
              <w:rPr>
                <w:rFonts w:ascii="Times New Roman" w:hAnsi="Times New Roman" w:cs="Times New Roman"/>
                <w:sz w:val="18"/>
                <w:szCs w:val="18"/>
              </w:rPr>
              <w:t xml:space="preserve">Public hearing </w:t>
            </w:r>
            <w:r>
              <w:rPr>
                <w:rFonts w:ascii="Times New Roman" w:hAnsi="Times New Roman" w:cs="Times New Roman"/>
                <w:sz w:val="18"/>
                <w:szCs w:val="18"/>
              </w:rPr>
              <w:t xml:space="preserve">held </w:t>
            </w:r>
            <w:r w:rsidRPr="00956D79">
              <w:rPr>
                <w:rFonts w:ascii="Times New Roman" w:hAnsi="Times New Roman" w:cs="Times New Roman"/>
                <w:sz w:val="18"/>
                <w:szCs w:val="18"/>
              </w:rPr>
              <w:t>in May 2016</w:t>
            </w:r>
            <w:r w:rsidR="00781BF6">
              <w:rPr>
                <w:rFonts w:ascii="Times New Roman" w:hAnsi="Times New Roman" w:cs="Times New Roman"/>
                <w:sz w:val="18"/>
                <w:szCs w:val="18"/>
              </w:rPr>
              <w:t xml:space="preserve">; feedback statement </w:t>
            </w:r>
            <w:r w:rsidRPr="00D06C67">
              <w:rPr>
                <w:rFonts w:ascii="Times New Roman" w:hAnsi="Times New Roman" w:cs="Times New Roman"/>
                <w:sz w:val="18"/>
                <w:szCs w:val="18"/>
              </w:rPr>
              <w:t>published in May</w:t>
            </w:r>
            <w:r w:rsidR="00870792">
              <w:rPr>
                <w:rFonts w:ascii="Times New Roman" w:hAnsi="Times New Roman" w:cs="Times New Roman"/>
                <w:sz w:val="18"/>
                <w:szCs w:val="18"/>
              </w:rPr>
              <w:t xml:space="preserve">. </w:t>
            </w:r>
          </w:p>
          <w:p w:rsidR="00BF1277" w:rsidRPr="00D06C67" w:rsidRDefault="00047828" w:rsidP="00870792">
            <w:pPr>
              <w:spacing w:after="120" w:line="240" w:lineRule="auto"/>
              <w:rPr>
                <w:rFonts w:ascii="Times New Roman" w:hAnsi="Times New Roman"/>
                <w:sz w:val="18"/>
              </w:rPr>
            </w:pPr>
            <w:r>
              <w:rPr>
                <w:rFonts w:ascii="Times New Roman" w:hAnsi="Times New Roman" w:cs="Times New Roman"/>
                <w:sz w:val="18"/>
                <w:szCs w:val="18"/>
              </w:rPr>
              <w:t>F</w:t>
            </w:r>
            <w:r w:rsidR="00781BF6">
              <w:rPr>
                <w:rFonts w:ascii="Times New Roman" w:hAnsi="Times New Roman" w:cs="Times New Roman"/>
                <w:sz w:val="18"/>
                <w:szCs w:val="18"/>
              </w:rPr>
              <w:t xml:space="preserve">ollow-up to be </w:t>
            </w:r>
            <w:r w:rsidR="00BF1277">
              <w:rPr>
                <w:rFonts w:ascii="Times New Roman" w:hAnsi="Times New Roman" w:cs="Times New Roman"/>
                <w:sz w:val="18"/>
                <w:szCs w:val="18"/>
              </w:rPr>
              <w:t>announced in Q3 2016.</w:t>
            </w:r>
          </w:p>
        </w:tc>
      </w:tr>
    </w:tbl>
    <w:p w:rsidR="00BF1277" w:rsidRPr="008E6EA6" w:rsidRDefault="00BF1277" w:rsidP="00377BD9">
      <w:pPr>
        <w:spacing w:after="120" w:line="240" w:lineRule="auto"/>
        <w:rPr>
          <w:rFonts w:ascii="Times New Roman" w:hAnsi="Times New Roman"/>
          <w:sz w:val="18"/>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BF1277" w:rsidRPr="00956D79" w:rsidTr="0070055F">
        <w:trPr>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BF1277" w:rsidRPr="008E6EA6" w:rsidRDefault="00BF1277" w:rsidP="00377BD9">
            <w:pPr>
              <w:spacing w:after="120" w:line="240" w:lineRule="auto"/>
              <w:jc w:val="center"/>
              <w:rPr>
                <w:rFonts w:ascii="Times New Roman" w:hAnsi="Times New Roman"/>
                <w:b/>
                <w:sz w:val="18"/>
              </w:rPr>
            </w:pPr>
            <w:r w:rsidRPr="008E6EA6">
              <w:rPr>
                <w:rFonts w:ascii="Times New Roman" w:hAnsi="Times New Roman"/>
                <w:b/>
                <w:sz w:val="18"/>
              </w:rPr>
              <w:t>Fostering retail and institutional investment</w:t>
            </w:r>
          </w:p>
        </w:tc>
      </w:tr>
      <w:tr w:rsidR="00BF1277" w:rsidRPr="00956D79" w:rsidTr="0070055F">
        <w:trPr>
          <w:trHeight w:val="243"/>
          <w:jc w:val="center"/>
        </w:trPr>
        <w:tc>
          <w:tcPr>
            <w:tcW w:w="906" w:type="pct"/>
            <w:tcBorders>
              <w:top w:val="nil"/>
              <w:left w:val="single" w:sz="12" w:space="0" w:color="000000"/>
              <w:bottom w:val="single" w:sz="12" w:space="0" w:color="auto"/>
              <w:right w:val="nil"/>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Action</w:t>
            </w:r>
          </w:p>
        </w:tc>
        <w:tc>
          <w:tcPr>
            <w:tcW w:w="1748" w:type="pct"/>
            <w:tcBorders>
              <w:top w:val="nil"/>
              <w:left w:val="nil"/>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ind w:left="2" w:hanging="2"/>
              <w:rPr>
                <w:rFonts w:ascii="Times New Roman" w:hAnsi="Times New Roman"/>
                <w:b/>
                <w:sz w:val="18"/>
              </w:rPr>
            </w:pPr>
            <w:r>
              <w:rPr>
                <w:rFonts w:ascii="Times New Roman" w:hAnsi="Times New Roman"/>
                <w:b/>
                <w:sz w:val="18"/>
              </w:rPr>
              <w:t>Progress and n</w:t>
            </w:r>
            <w:r w:rsidRPr="008E6EA6">
              <w:rPr>
                <w:rFonts w:ascii="Times New Roman" w:hAnsi="Times New Roman"/>
                <w:b/>
                <w:sz w:val="18"/>
              </w:rPr>
              <w:t>ext steps</w:t>
            </w:r>
          </w:p>
        </w:tc>
      </w:tr>
      <w:tr w:rsidR="00BF1277" w:rsidRPr="00956D79" w:rsidTr="00377BD9">
        <w:trPr>
          <w:trHeight w:val="909"/>
          <w:jc w:val="center"/>
        </w:trPr>
        <w:tc>
          <w:tcPr>
            <w:tcW w:w="906" w:type="pct"/>
            <w:tcBorders>
              <w:top w:val="nil"/>
              <w:left w:val="single" w:sz="12" w:space="0" w:color="000000"/>
              <w:bottom w:val="single" w:sz="12" w:space="0" w:color="auto"/>
              <w:right w:val="single" w:sz="4" w:space="0" w:color="auto"/>
            </w:tcBorders>
            <w:shd w:val="clear" w:color="auto" w:fill="auto"/>
            <w:vAlign w:val="center"/>
            <w:hideMark/>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Increase choice and competition for retail consumers</w:t>
            </w:r>
          </w:p>
        </w:tc>
        <w:tc>
          <w:tcPr>
            <w:tcW w:w="1748" w:type="pct"/>
            <w:tcBorders>
              <w:top w:val="nil"/>
              <w:left w:val="single" w:sz="4" w:space="0" w:color="auto"/>
              <w:bottom w:val="single" w:sz="12" w:space="0" w:color="auto"/>
              <w:right w:val="single" w:sz="4" w:space="0" w:color="auto"/>
            </w:tcBorders>
            <w:shd w:val="clear" w:color="auto" w:fill="auto"/>
            <w:vAlign w:val="center"/>
            <w:hideMark/>
          </w:tcPr>
          <w:p w:rsidR="00BF1277" w:rsidRPr="008E6EA6" w:rsidRDefault="00BF1277" w:rsidP="00377BD9">
            <w:pPr>
              <w:spacing w:after="120" w:line="240" w:lineRule="auto"/>
              <w:rPr>
                <w:rFonts w:ascii="Times New Roman" w:hAnsi="Times New Roman"/>
                <w:sz w:val="18"/>
              </w:rPr>
            </w:pPr>
            <w:r w:rsidRPr="008E6EA6">
              <w:rPr>
                <w:rFonts w:ascii="Times New Roman" w:hAnsi="Times New Roman"/>
                <w:b/>
                <w:i/>
                <w:sz w:val="18"/>
              </w:rPr>
              <w:t>Green Paper on retail financial services and insurance</w:t>
            </w:r>
          </w:p>
        </w:tc>
        <w:tc>
          <w:tcPr>
            <w:tcW w:w="2346" w:type="pct"/>
            <w:tcBorders>
              <w:top w:val="nil"/>
              <w:left w:val="single" w:sz="4" w:space="0" w:color="auto"/>
              <w:bottom w:val="single" w:sz="12" w:space="0" w:color="auto"/>
              <w:right w:val="single" w:sz="4" w:space="0" w:color="auto"/>
            </w:tcBorders>
            <w:shd w:val="clear" w:color="auto" w:fill="auto"/>
            <w:vAlign w:val="center"/>
          </w:tcPr>
          <w:p w:rsidR="00BF1277" w:rsidRPr="008E6EA6" w:rsidRDefault="00377BD9" w:rsidP="00377BD9">
            <w:pPr>
              <w:spacing w:after="120" w:line="240" w:lineRule="auto"/>
              <w:rPr>
                <w:rFonts w:ascii="Times New Roman" w:hAnsi="Times New Roman"/>
                <w:sz w:val="18"/>
              </w:rPr>
            </w:pPr>
            <w:r>
              <w:rPr>
                <w:rFonts w:ascii="Times New Roman" w:hAnsi="Times New Roman"/>
                <w:sz w:val="18"/>
              </w:rPr>
              <w:t>Action Plan</w:t>
            </w:r>
            <w:r w:rsidR="00047828">
              <w:rPr>
                <w:rFonts w:ascii="Times New Roman" w:hAnsi="Times New Roman"/>
                <w:sz w:val="18"/>
              </w:rPr>
              <w:t xml:space="preserve"> to follow</w:t>
            </w:r>
            <w:r w:rsidRPr="00D06C67">
              <w:rPr>
                <w:rFonts w:ascii="Times New Roman" w:hAnsi="Times New Roman"/>
                <w:sz w:val="18"/>
              </w:rPr>
              <w:t>.</w:t>
            </w:r>
          </w:p>
        </w:tc>
      </w:tr>
      <w:tr w:rsidR="00BF1277" w:rsidRPr="00956D79" w:rsidTr="00377BD9">
        <w:trPr>
          <w:trHeight w:val="781"/>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Help retail investors to get a better deal</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1A2996" w:rsidRDefault="00BF1277" w:rsidP="00377BD9">
            <w:pPr>
              <w:spacing w:after="120" w:line="240" w:lineRule="auto"/>
              <w:rPr>
                <w:rFonts w:ascii="Times New Roman" w:hAnsi="Times New Roman"/>
                <w:sz w:val="18"/>
              </w:rPr>
            </w:pPr>
            <w:r w:rsidRPr="008E6EA6">
              <w:rPr>
                <w:rFonts w:ascii="Times New Roman" w:hAnsi="Times New Roman"/>
                <w:b/>
                <w:i/>
                <w:sz w:val="18"/>
              </w:rPr>
              <w:t>EU retail investment product markets assessment</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sz w:val="18"/>
              </w:rPr>
            </w:pPr>
            <w:r>
              <w:rPr>
                <w:rFonts w:ascii="Times New Roman" w:hAnsi="Times New Roman" w:cs="Times New Roman"/>
                <w:sz w:val="18"/>
                <w:szCs w:val="18"/>
              </w:rPr>
              <w:t>Study on the "</w:t>
            </w:r>
            <w:r w:rsidRPr="00467B9F">
              <w:rPr>
                <w:rFonts w:ascii="Times New Roman" w:hAnsi="Times New Roman" w:cs="Times New Roman"/>
                <w:sz w:val="18"/>
                <w:szCs w:val="18"/>
              </w:rPr>
              <w:t>Distribution systems of retail investment products across the European Union</w:t>
            </w:r>
            <w:r>
              <w:rPr>
                <w:rFonts w:ascii="Times New Roman" w:hAnsi="Times New Roman" w:cs="Times New Roman"/>
                <w:sz w:val="18"/>
                <w:szCs w:val="18"/>
              </w:rPr>
              <w:t>" to be launched by end of 2016</w:t>
            </w:r>
          </w:p>
        </w:tc>
      </w:tr>
      <w:tr w:rsidR="00BF1277" w:rsidRPr="00956D79" w:rsidTr="00D12B3F">
        <w:trPr>
          <w:trHeight w:hRule="exact" w:val="1306"/>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Support saving for retirement</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0F2D91" w:rsidRDefault="00BF1277" w:rsidP="00377BD9">
            <w:pPr>
              <w:spacing w:after="120" w:line="240" w:lineRule="auto"/>
              <w:rPr>
                <w:rFonts w:ascii="Times New Roman" w:hAnsi="Times New Roman"/>
                <w:b/>
                <w:i/>
                <w:sz w:val="18"/>
              </w:rPr>
            </w:pPr>
            <w:r w:rsidRPr="008E6EA6">
              <w:rPr>
                <w:rFonts w:ascii="Times New Roman" w:hAnsi="Times New Roman"/>
                <w:b/>
                <w:i/>
                <w:sz w:val="18"/>
              </w:rPr>
              <w:t>Assessment of the case for a policy framework to establish European personal pensions</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1A2996" w:rsidRDefault="00BF1277" w:rsidP="00377BD9">
            <w:pPr>
              <w:spacing w:after="120" w:line="240" w:lineRule="auto"/>
              <w:rPr>
                <w:rFonts w:ascii="Times New Roman" w:hAnsi="Times New Roman" w:cs="Times New Roman"/>
                <w:sz w:val="18"/>
                <w:szCs w:val="18"/>
              </w:rPr>
            </w:pPr>
            <w:r w:rsidRPr="001A2996">
              <w:rPr>
                <w:rFonts w:ascii="Times New Roman" w:hAnsi="Times New Roman"/>
                <w:sz w:val="18"/>
              </w:rPr>
              <w:t xml:space="preserve">Public consultation </w:t>
            </w:r>
            <w:r>
              <w:rPr>
                <w:rFonts w:ascii="Times New Roman" w:hAnsi="Times New Roman"/>
                <w:sz w:val="18"/>
              </w:rPr>
              <w:t>launched in July 2016</w:t>
            </w:r>
            <w:r w:rsidR="00377BD9">
              <w:rPr>
                <w:rFonts w:ascii="Times New Roman" w:hAnsi="Times New Roman"/>
                <w:sz w:val="18"/>
              </w:rPr>
              <w:t>;</w:t>
            </w:r>
            <w:r w:rsidR="00781BF6">
              <w:rPr>
                <w:rFonts w:ascii="Times New Roman" w:hAnsi="Times New Roman"/>
                <w:sz w:val="18"/>
              </w:rPr>
              <w:t xml:space="preserve"> closes </w:t>
            </w:r>
            <w:r w:rsidR="00377BD9">
              <w:rPr>
                <w:rFonts w:ascii="Times New Roman" w:hAnsi="Times New Roman"/>
                <w:sz w:val="18"/>
              </w:rPr>
              <w:t>on 31 October 2016.</w:t>
            </w:r>
          </w:p>
          <w:p w:rsidR="00BF1277" w:rsidRDefault="00BF1277" w:rsidP="00377BD9">
            <w:pPr>
              <w:spacing w:after="120" w:line="240" w:lineRule="auto"/>
              <w:rPr>
                <w:rFonts w:ascii="Times New Roman" w:hAnsi="Times New Roman"/>
                <w:sz w:val="18"/>
              </w:rPr>
            </w:pPr>
            <w:r w:rsidRPr="00956D79">
              <w:rPr>
                <w:rFonts w:ascii="Times New Roman" w:hAnsi="Times New Roman" w:cs="Times New Roman"/>
                <w:sz w:val="18"/>
                <w:szCs w:val="18"/>
              </w:rPr>
              <w:t>Call</w:t>
            </w:r>
            <w:r w:rsidRPr="008E6EA6">
              <w:rPr>
                <w:rFonts w:ascii="Times New Roman" w:hAnsi="Times New Roman"/>
                <w:sz w:val="18"/>
              </w:rPr>
              <w:t xml:space="preserve"> for tender for a study </w:t>
            </w:r>
            <w:r>
              <w:rPr>
                <w:rFonts w:ascii="Times New Roman" w:hAnsi="Times New Roman"/>
                <w:sz w:val="18"/>
              </w:rPr>
              <w:t>launched in June 2016</w:t>
            </w:r>
          </w:p>
          <w:p w:rsidR="00BF1277" w:rsidRDefault="00BF1277" w:rsidP="00377BD9">
            <w:pPr>
              <w:spacing w:after="120" w:line="240" w:lineRule="auto"/>
              <w:rPr>
                <w:rFonts w:ascii="Times New Roman" w:hAnsi="Times New Roman"/>
                <w:sz w:val="18"/>
              </w:rPr>
            </w:pPr>
            <w:r w:rsidRPr="001A2996">
              <w:rPr>
                <w:rFonts w:ascii="Times New Roman" w:hAnsi="Times New Roman"/>
                <w:sz w:val="18"/>
              </w:rPr>
              <w:t xml:space="preserve">EIOPA advice </w:t>
            </w:r>
            <w:r w:rsidR="00377BD9">
              <w:rPr>
                <w:rFonts w:ascii="Times New Roman" w:hAnsi="Times New Roman"/>
                <w:sz w:val="18"/>
              </w:rPr>
              <w:t>delivered</w:t>
            </w:r>
            <w:r w:rsidRPr="00B76943">
              <w:rPr>
                <w:rFonts w:ascii="Times New Roman" w:hAnsi="Times New Roman"/>
                <w:sz w:val="18"/>
              </w:rPr>
              <w:t xml:space="preserve"> </w:t>
            </w:r>
            <w:r>
              <w:rPr>
                <w:rFonts w:ascii="Times New Roman" w:hAnsi="Times New Roman"/>
                <w:sz w:val="18"/>
              </w:rPr>
              <w:t>in Jul</w:t>
            </w:r>
            <w:r w:rsidRPr="00B76943">
              <w:rPr>
                <w:rFonts w:ascii="Times New Roman" w:hAnsi="Times New Roman"/>
                <w:sz w:val="18"/>
              </w:rPr>
              <w:t>y</w:t>
            </w:r>
            <w:r w:rsidRPr="001A2996">
              <w:rPr>
                <w:rFonts w:ascii="Times New Roman" w:hAnsi="Times New Roman"/>
                <w:sz w:val="18"/>
              </w:rPr>
              <w:t xml:space="preserve"> </w:t>
            </w:r>
            <w:r>
              <w:rPr>
                <w:rFonts w:ascii="Times New Roman" w:hAnsi="Times New Roman"/>
                <w:sz w:val="18"/>
              </w:rPr>
              <w:t>2</w:t>
            </w:r>
            <w:r w:rsidRPr="001A2996">
              <w:rPr>
                <w:rFonts w:ascii="Times New Roman" w:hAnsi="Times New Roman"/>
                <w:sz w:val="18"/>
              </w:rPr>
              <w:t>016</w:t>
            </w:r>
          </w:p>
          <w:p w:rsidR="00BF1277" w:rsidRPr="008E6EA6" w:rsidRDefault="00BF1277" w:rsidP="00377BD9">
            <w:pPr>
              <w:spacing w:after="120" w:line="240" w:lineRule="auto"/>
              <w:rPr>
                <w:rFonts w:ascii="Times New Roman" w:hAnsi="Times New Roman"/>
                <w:sz w:val="18"/>
                <w:highlight w:val="yellow"/>
              </w:rPr>
            </w:pPr>
          </w:p>
        </w:tc>
      </w:tr>
      <w:tr w:rsidR="00BF1277" w:rsidRPr="00956D79" w:rsidTr="0070055F">
        <w:trPr>
          <w:trHeight w:val="784"/>
          <w:jc w:val="center"/>
        </w:trPr>
        <w:tc>
          <w:tcPr>
            <w:tcW w:w="906" w:type="pct"/>
            <w:vMerge w:val="restart"/>
            <w:tcBorders>
              <w:top w:val="single" w:sz="12" w:space="0" w:color="auto"/>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Expand opportunities for institutional investors and fund managers</w:t>
            </w:r>
          </w:p>
        </w:tc>
        <w:tc>
          <w:tcPr>
            <w:tcW w:w="1748" w:type="pct"/>
            <w:tcBorders>
              <w:top w:val="single" w:sz="12" w:space="0" w:color="auto"/>
              <w:left w:val="single" w:sz="4" w:space="0" w:color="auto"/>
              <w:bottom w:val="single" w:sz="4" w:space="0" w:color="000000"/>
              <w:right w:val="single" w:sz="4" w:space="0" w:color="auto"/>
            </w:tcBorders>
            <w:shd w:val="clear" w:color="auto" w:fill="auto"/>
            <w:vAlign w:val="center"/>
          </w:tcPr>
          <w:p w:rsidR="00BF1277" w:rsidRPr="001A2996" w:rsidRDefault="00BF1277" w:rsidP="00377BD9">
            <w:pPr>
              <w:spacing w:after="120" w:line="240" w:lineRule="auto"/>
              <w:rPr>
                <w:rFonts w:ascii="Times New Roman" w:hAnsi="Times New Roman"/>
                <w:sz w:val="18"/>
              </w:rPr>
            </w:pPr>
            <w:r w:rsidRPr="008E6EA6">
              <w:rPr>
                <w:rFonts w:ascii="Times New Roman" w:hAnsi="Times New Roman"/>
                <w:b/>
                <w:i/>
                <w:sz w:val="18"/>
              </w:rPr>
              <w:t>Assessment of the prudential treatment of private equity and privately placed debt in Solvency II</w:t>
            </w:r>
          </w:p>
        </w:tc>
        <w:tc>
          <w:tcPr>
            <w:tcW w:w="2346" w:type="pct"/>
            <w:tcBorders>
              <w:top w:val="single" w:sz="12" w:space="0" w:color="auto"/>
              <w:left w:val="single" w:sz="4" w:space="0" w:color="auto"/>
              <w:bottom w:val="single" w:sz="4"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sz w:val="18"/>
              </w:rPr>
            </w:pPr>
            <w:r w:rsidRPr="00956D79">
              <w:rPr>
                <w:rFonts w:ascii="Times New Roman" w:hAnsi="Times New Roman" w:cs="Times New Roman"/>
                <w:sz w:val="18"/>
                <w:szCs w:val="18"/>
              </w:rPr>
              <w:t>Preparatory work ongoing</w:t>
            </w:r>
            <w:r w:rsidR="00781BF6">
              <w:rPr>
                <w:rFonts w:ascii="Times New Roman" w:hAnsi="Times New Roman" w:cs="Times New Roman"/>
                <w:sz w:val="18"/>
                <w:szCs w:val="18"/>
              </w:rPr>
              <w:t>.</w:t>
            </w:r>
          </w:p>
        </w:tc>
      </w:tr>
      <w:tr w:rsidR="00BF1277" w:rsidRPr="00956D79" w:rsidTr="0070055F">
        <w:trPr>
          <w:trHeight w:val="784"/>
          <w:jc w:val="center"/>
        </w:trPr>
        <w:tc>
          <w:tcPr>
            <w:tcW w:w="906" w:type="pct"/>
            <w:vMerge/>
            <w:tcBorders>
              <w:left w:val="single" w:sz="12" w:space="0" w:color="000000"/>
              <w:bottom w:val="single" w:sz="12" w:space="0" w:color="auto"/>
              <w:right w:val="single" w:sz="4" w:space="0" w:color="auto"/>
            </w:tcBorders>
            <w:shd w:val="clear" w:color="auto" w:fill="auto"/>
            <w:hideMark/>
          </w:tcPr>
          <w:p w:rsidR="00BF1277" w:rsidRPr="008E6EA6" w:rsidRDefault="00BF1277" w:rsidP="00377BD9">
            <w:pPr>
              <w:spacing w:after="120" w:line="240" w:lineRule="auto"/>
              <w:rPr>
                <w:rFonts w:ascii="Times New Roman" w:hAnsi="Times New Roman"/>
                <w:b/>
                <w:sz w:val="18"/>
              </w:rPr>
            </w:pPr>
          </w:p>
        </w:tc>
        <w:tc>
          <w:tcPr>
            <w:tcW w:w="1748" w:type="pct"/>
            <w:tcBorders>
              <w:top w:val="single" w:sz="4" w:space="0" w:color="000000"/>
              <w:left w:val="single" w:sz="4" w:space="0" w:color="auto"/>
              <w:bottom w:val="single" w:sz="12" w:space="0" w:color="auto"/>
              <w:right w:val="single" w:sz="4" w:space="0" w:color="000000"/>
            </w:tcBorders>
            <w:shd w:val="clear" w:color="auto" w:fill="auto"/>
            <w:vAlign w:val="center"/>
            <w:hideMark/>
          </w:tcPr>
          <w:p w:rsidR="00BF1277" w:rsidRPr="008E6EA6" w:rsidRDefault="00BF1277" w:rsidP="00377BD9">
            <w:pPr>
              <w:spacing w:after="120" w:line="240" w:lineRule="auto"/>
            </w:pPr>
            <w:r w:rsidRPr="008E6EA6">
              <w:rPr>
                <w:rFonts w:ascii="Times New Roman" w:hAnsi="Times New Roman"/>
                <w:b/>
                <w:i/>
                <w:sz w:val="18"/>
              </w:rPr>
              <w:t>Consultation on the main barriers to the cross-border distribution of investment funds</w:t>
            </w:r>
            <w:r w:rsidR="00781BF6">
              <w:rPr>
                <w:rFonts w:ascii="Times New Roman" w:hAnsi="Times New Roman"/>
                <w:b/>
                <w:i/>
                <w:sz w:val="18"/>
              </w:rPr>
              <w:t>.</w:t>
            </w:r>
          </w:p>
        </w:tc>
        <w:tc>
          <w:tcPr>
            <w:tcW w:w="2346" w:type="pct"/>
            <w:tcBorders>
              <w:top w:val="single" w:sz="4" w:space="0" w:color="000000"/>
              <w:left w:val="single" w:sz="4" w:space="0" w:color="000000"/>
              <w:bottom w:val="single" w:sz="12" w:space="0" w:color="auto"/>
              <w:right w:val="single" w:sz="4" w:space="0" w:color="auto"/>
            </w:tcBorders>
            <w:shd w:val="clear" w:color="auto" w:fill="auto"/>
            <w:vAlign w:val="center"/>
          </w:tcPr>
          <w:p w:rsidR="00BF1277" w:rsidRPr="008E6EA6" w:rsidRDefault="00BF1277" w:rsidP="00D844F6">
            <w:pPr>
              <w:spacing w:after="120" w:line="240" w:lineRule="auto"/>
              <w:rPr>
                <w:rFonts w:ascii="Times New Roman" w:hAnsi="Times New Roman"/>
                <w:sz w:val="18"/>
              </w:rPr>
            </w:pPr>
            <w:r>
              <w:rPr>
                <w:rFonts w:ascii="Times New Roman" w:hAnsi="Times New Roman"/>
                <w:sz w:val="18"/>
              </w:rPr>
              <w:t>P</w:t>
            </w:r>
            <w:r w:rsidRPr="008E6EA6">
              <w:rPr>
                <w:rFonts w:ascii="Times New Roman" w:hAnsi="Times New Roman"/>
                <w:sz w:val="18"/>
              </w:rPr>
              <w:t xml:space="preserve">ublic consultation </w:t>
            </w:r>
            <w:r>
              <w:rPr>
                <w:rFonts w:ascii="Times New Roman" w:hAnsi="Times New Roman"/>
                <w:sz w:val="18"/>
              </w:rPr>
              <w:t xml:space="preserve">launched </w:t>
            </w:r>
            <w:r w:rsidR="00377BD9">
              <w:rPr>
                <w:rFonts w:ascii="Times New Roman" w:hAnsi="Times New Roman"/>
                <w:sz w:val="18"/>
              </w:rPr>
              <w:t>on 2</w:t>
            </w:r>
            <w:r>
              <w:rPr>
                <w:rFonts w:ascii="Times New Roman" w:hAnsi="Times New Roman"/>
                <w:sz w:val="18"/>
              </w:rPr>
              <w:t xml:space="preserve"> June 2016</w:t>
            </w:r>
            <w:r w:rsidR="00377BD9">
              <w:rPr>
                <w:rFonts w:ascii="Times New Roman" w:hAnsi="Times New Roman"/>
                <w:sz w:val="18"/>
              </w:rPr>
              <w:t>; close</w:t>
            </w:r>
            <w:r w:rsidR="00D844F6">
              <w:rPr>
                <w:rFonts w:ascii="Times New Roman" w:hAnsi="Times New Roman"/>
                <w:sz w:val="18"/>
              </w:rPr>
              <w:t>s</w:t>
            </w:r>
            <w:r w:rsidR="00377BD9">
              <w:rPr>
                <w:rFonts w:ascii="Times New Roman" w:hAnsi="Times New Roman"/>
                <w:sz w:val="18"/>
              </w:rPr>
              <w:t xml:space="preserve"> on 2 October.</w:t>
            </w:r>
          </w:p>
        </w:tc>
      </w:tr>
    </w:tbl>
    <w:p w:rsidR="00BF1277" w:rsidRPr="008E6EA6" w:rsidRDefault="00BF1277" w:rsidP="00377BD9">
      <w:pPr>
        <w:spacing w:after="120" w:line="240" w:lineRule="auto"/>
        <w:rPr>
          <w:rFonts w:ascii="Times New Roman" w:hAnsi="Times New Roman"/>
          <w:sz w:val="18"/>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BF1277" w:rsidRPr="00956D79" w:rsidTr="0070055F">
        <w:trPr>
          <w:trHeight w:val="331"/>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BF1277" w:rsidRPr="008E6EA6" w:rsidRDefault="00BF1277" w:rsidP="00377BD9">
            <w:pPr>
              <w:spacing w:after="120" w:line="240" w:lineRule="auto"/>
              <w:jc w:val="center"/>
              <w:rPr>
                <w:rFonts w:ascii="Times New Roman" w:hAnsi="Times New Roman"/>
                <w:b/>
                <w:sz w:val="18"/>
              </w:rPr>
            </w:pPr>
            <w:r w:rsidRPr="008E6EA6">
              <w:rPr>
                <w:rFonts w:ascii="Times New Roman" w:hAnsi="Times New Roman"/>
                <w:b/>
                <w:sz w:val="18"/>
              </w:rPr>
              <w:t>Leveraging banking capacity to support the wider economy</w:t>
            </w:r>
          </w:p>
        </w:tc>
      </w:tr>
      <w:tr w:rsidR="00BF1277" w:rsidRPr="00956D79" w:rsidTr="0070055F">
        <w:trPr>
          <w:trHeight w:hRule="exact" w:val="323"/>
          <w:jc w:val="center"/>
        </w:trPr>
        <w:tc>
          <w:tcPr>
            <w:tcW w:w="906" w:type="pct"/>
            <w:tcBorders>
              <w:top w:val="nil"/>
              <w:left w:val="single" w:sz="12" w:space="0" w:color="000000"/>
              <w:bottom w:val="single" w:sz="12" w:space="0" w:color="auto"/>
              <w:right w:val="nil"/>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Action</w:t>
            </w:r>
          </w:p>
        </w:tc>
        <w:tc>
          <w:tcPr>
            <w:tcW w:w="1748" w:type="pct"/>
            <w:tcBorders>
              <w:top w:val="nil"/>
              <w:left w:val="nil"/>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ind w:left="2" w:hanging="2"/>
              <w:rPr>
                <w:rFonts w:ascii="Times New Roman" w:hAnsi="Times New Roman"/>
                <w:b/>
                <w:sz w:val="18"/>
              </w:rPr>
            </w:pPr>
            <w:r>
              <w:rPr>
                <w:rFonts w:ascii="Times New Roman" w:hAnsi="Times New Roman"/>
                <w:b/>
                <w:sz w:val="18"/>
              </w:rPr>
              <w:t>Progress and n</w:t>
            </w:r>
            <w:r w:rsidRPr="008E6EA6">
              <w:rPr>
                <w:rFonts w:ascii="Times New Roman" w:hAnsi="Times New Roman"/>
                <w:b/>
                <w:sz w:val="18"/>
              </w:rPr>
              <w:t>ext steps</w:t>
            </w:r>
          </w:p>
        </w:tc>
      </w:tr>
      <w:tr w:rsidR="00BF1277" w:rsidRPr="00956D79" w:rsidTr="00377BD9">
        <w:trPr>
          <w:trHeight w:hRule="exact" w:val="1033"/>
          <w:jc w:val="center"/>
        </w:trPr>
        <w:tc>
          <w:tcPr>
            <w:tcW w:w="906" w:type="pct"/>
            <w:tcBorders>
              <w:top w:val="nil"/>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 xml:space="preserve">Strengthen local financing networks </w:t>
            </w:r>
          </w:p>
        </w:tc>
        <w:tc>
          <w:tcPr>
            <w:tcW w:w="1748" w:type="pct"/>
            <w:tcBorders>
              <w:top w:val="nil"/>
              <w:left w:val="single" w:sz="4" w:space="0" w:color="auto"/>
              <w:bottom w:val="single" w:sz="12" w:space="0" w:color="auto"/>
              <w:right w:val="single" w:sz="4" w:space="0" w:color="auto"/>
            </w:tcBorders>
            <w:shd w:val="clear" w:color="auto" w:fill="auto"/>
            <w:vAlign w:val="center"/>
          </w:tcPr>
          <w:p w:rsidR="00BF1277" w:rsidRPr="008E6EA6" w:rsidRDefault="00BF1277" w:rsidP="00733A9C">
            <w:pPr>
              <w:spacing w:after="120" w:line="240" w:lineRule="auto"/>
              <w:rPr>
                <w:rFonts w:ascii="Times New Roman" w:hAnsi="Times New Roman"/>
                <w:sz w:val="18"/>
              </w:rPr>
            </w:pPr>
            <w:r w:rsidRPr="008E6EA6">
              <w:rPr>
                <w:rFonts w:ascii="Times New Roman" w:hAnsi="Times New Roman"/>
                <w:b/>
                <w:i/>
                <w:sz w:val="18"/>
              </w:rPr>
              <w:t>Exp</w:t>
            </w:r>
            <w:r w:rsidR="00781BF6">
              <w:rPr>
                <w:rFonts w:ascii="Times New Roman" w:hAnsi="Times New Roman"/>
                <w:b/>
                <w:i/>
                <w:sz w:val="18"/>
              </w:rPr>
              <w:t>and</w:t>
            </w:r>
            <w:r w:rsidRPr="008E6EA6">
              <w:rPr>
                <w:rFonts w:ascii="Times New Roman" w:hAnsi="Times New Roman"/>
                <w:b/>
                <w:i/>
                <w:sz w:val="18"/>
              </w:rPr>
              <w:t xml:space="preserve"> possibility for Member States to authorise credit unions outside the </w:t>
            </w:r>
            <w:r w:rsidR="00733A9C">
              <w:rPr>
                <w:rFonts w:ascii="Times New Roman" w:hAnsi="Times New Roman"/>
                <w:b/>
                <w:i/>
                <w:sz w:val="18"/>
              </w:rPr>
              <w:t>CRD/CRR</w:t>
            </w:r>
            <w:r w:rsidR="00781BF6">
              <w:rPr>
                <w:rFonts w:ascii="Times New Roman" w:hAnsi="Times New Roman"/>
                <w:b/>
                <w:i/>
                <w:sz w:val="18"/>
              </w:rPr>
              <w:t>.</w:t>
            </w:r>
          </w:p>
        </w:tc>
        <w:tc>
          <w:tcPr>
            <w:tcW w:w="2346" w:type="pct"/>
            <w:tcBorders>
              <w:top w:val="nil"/>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sz w:val="18"/>
              </w:rPr>
            </w:pPr>
            <w:r w:rsidRPr="008E6EA6">
              <w:rPr>
                <w:rFonts w:ascii="Times New Roman" w:hAnsi="Times New Roman"/>
                <w:sz w:val="18"/>
              </w:rPr>
              <w:t>Explore the possibility</w:t>
            </w:r>
            <w:r>
              <w:rPr>
                <w:rFonts w:ascii="Times New Roman" w:hAnsi="Times New Roman"/>
                <w:sz w:val="18"/>
              </w:rPr>
              <w:t xml:space="preserve"> to amend CRR</w:t>
            </w:r>
            <w:r w:rsidRPr="008E6EA6">
              <w:rPr>
                <w:rFonts w:ascii="Times New Roman" w:hAnsi="Times New Roman"/>
                <w:sz w:val="18"/>
              </w:rPr>
              <w:t xml:space="preserve"> as part of the </w:t>
            </w:r>
            <w:r w:rsidR="00733A9C">
              <w:rPr>
                <w:rFonts w:ascii="Times New Roman" w:hAnsi="Times New Roman"/>
                <w:sz w:val="18"/>
              </w:rPr>
              <w:t>CRD/</w:t>
            </w:r>
            <w:r w:rsidRPr="008E6EA6">
              <w:rPr>
                <w:rFonts w:ascii="Times New Roman" w:hAnsi="Times New Roman"/>
                <w:sz w:val="18"/>
              </w:rPr>
              <w:t>CRR review</w:t>
            </w:r>
          </w:p>
        </w:tc>
      </w:tr>
      <w:tr w:rsidR="00BF1277" w:rsidRPr="00956D79" w:rsidTr="00377BD9">
        <w:trPr>
          <w:trHeight w:hRule="exact" w:val="863"/>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Build EU securitisation markets</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i/>
                <w:sz w:val="18"/>
              </w:rPr>
            </w:pPr>
            <w:r w:rsidRPr="008E6EA6">
              <w:rPr>
                <w:rFonts w:ascii="Times New Roman" w:hAnsi="Times New Roman"/>
                <w:b/>
                <w:i/>
                <w:sz w:val="18"/>
              </w:rPr>
              <w:t>Proposal on simple, transparent and standardised (STS) securitisations and revision of the capital calibrations for banks</w:t>
            </w:r>
            <w:r w:rsidR="00781BF6">
              <w:rPr>
                <w:rFonts w:ascii="Times New Roman" w:hAnsi="Times New Roman"/>
                <w:b/>
                <w:i/>
                <w:sz w:val="18"/>
              </w:rPr>
              <w:t>.</w:t>
            </w:r>
            <w:r w:rsidRPr="008E6EA6">
              <w:rPr>
                <w:rFonts w:ascii="Times New Roman" w:hAnsi="Times New Roman"/>
                <w:b/>
                <w:i/>
                <w:sz w:val="18"/>
              </w:rPr>
              <w:t xml:space="preserve"> </w:t>
            </w:r>
          </w:p>
          <w:p w:rsidR="00BF1277" w:rsidRPr="001A2996" w:rsidRDefault="00BF1277" w:rsidP="00377BD9">
            <w:pPr>
              <w:spacing w:after="120" w:line="240" w:lineRule="auto"/>
              <w:rPr>
                <w:rFonts w:ascii="Times New Roman" w:hAnsi="Times New Roman"/>
                <w:i/>
                <w:sz w:val="18"/>
              </w:rPr>
            </w:pP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8E6EA6" w:rsidRDefault="00776F3B" w:rsidP="00776F3B">
            <w:pPr>
              <w:spacing w:after="120" w:line="240" w:lineRule="auto"/>
              <w:rPr>
                <w:rFonts w:ascii="Times New Roman" w:hAnsi="Times New Roman"/>
                <w:sz w:val="18"/>
              </w:rPr>
            </w:pPr>
            <w:r>
              <w:rPr>
                <w:rFonts w:ascii="Times New Roman" w:hAnsi="Times New Roman"/>
                <w:sz w:val="18"/>
              </w:rPr>
              <w:t>General Approach in Council; u</w:t>
            </w:r>
            <w:r w:rsidR="00BF1277">
              <w:rPr>
                <w:rFonts w:ascii="Times New Roman" w:hAnsi="Times New Roman"/>
                <w:sz w:val="18"/>
              </w:rPr>
              <w:t>nder scrutiny by</w:t>
            </w:r>
            <w:r w:rsidR="00BF1277" w:rsidRPr="00D06C67">
              <w:rPr>
                <w:rFonts w:ascii="Times New Roman" w:hAnsi="Times New Roman"/>
                <w:sz w:val="18"/>
              </w:rPr>
              <w:t xml:space="preserve"> the European Parliamen</w:t>
            </w:r>
            <w:r w:rsidR="00BF1277">
              <w:rPr>
                <w:rFonts w:ascii="Times New Roman" w:hAnsi="Times New Roman"/>
                <w:sz w:val="18"/>
              </w:rPr>
              <w:t xml:space="preserve">t. Vote in ECON </w:t>
            </w:r>
            <w:r w:rsidR="00870792">
              <w:rPr>
                <w:rFonts w:ascii="Times New Roman" w:hAnsi="Times New Roman"/>
                <w:sz w:val="18"/>
              </w:rPr>
              <w:t xml:space="preserve">Committee </w:t>
            </w:r>
            <w:r w:rsidR="00BF1277">
              <w:rPr>
                <w:rFonts w:ascii="Times New Roman" w:hAnsi="Times New Roman"/>
                <w:sz w:val="18"/>
              </w:rPr>
              <w:t>expected in November 2016.</w:t>
            </w:r>
          </w:p>
        </w:tc>
      </w:tr>
      <w:tr w:rsidR="00BF1277" w:rsidRPr="00956D79" w:rsidTr="00377BD9">
        <w:trPr>
          <w:trHeight w:hRule="exact" w:val="847"/>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Support bank financing of the wider economy</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i/>
                <w:sz w:val="18"/>
              </w:rPr>
            </w:pPr>
            <w:r w:rsidRPr="008E6EA6">
              <w:rPr>
                <w:rFonts w:ascii="Times New Roman" w:hAnsi="Times New Roman"/>
                <w:b/>
                <w:i/>
                <w:sz w:val="18"/>
              </w:rPr>
              <w:t>Consultation on an EU-wide framework for covered bonds and similar structures for SME loans</w:t>
            </w:r>
            <w:r w:rsidR="00781BF6">
              <w:rPr>
                <w:rFonts w:ascii="Times New Roman" w:hAnsi="Times New Roman"/>
                <w:b/>
                <w:i/>
                <w:sz w:val="18"/>
              </w:rPr>
              <w:t>.</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1A2996" w:rsidRDefault="00BF1277" w:rsidP="00377BD9">
            <w:pPr>
              <w:spacing w:after="120" w:line="240" w:lineRule="auto"/>
              <w:rPr>
                <w:rFonts w:ascii="Times New Roman" w:hAnsi="Times New Roman"/>
                <w:sz w:val="18"/>
              </w:rPr>
            </w:pPr>
            <w:r w:rsidRPr="00D06C67">
              <w:rPr>
                <w:rFonts w:ascii="Times New Roman" w:hAnsi="Times New Roman"/>
                <w:sz w:val="18"/>
              </w:rPr>
              <w:t>Cons</w:t>
            </w:r>
            <w:r w:rsidR="0070055F">
              <w:rPr>
                <w:rFonts w:ascii="Times New Roman" w:hAnsi="Times New Roman"/>
                <w:sz w:val="18"/>
              </w:rPr>
              <w:t xml:space="preserve">ultation concluded, </w:t>
            </w:r>
            <w:r w:rsidR="00781BF6">
              <w:rPr>
                <w:rFonts w:ascii="Times New Roman" w:hAnsi="Times New Roman"/>
                <w:sz w:val="18"/>
              </w:rPr>
              <w:t>study launched.</w:t>
            </w:r>
          </w:p>
          <w:p w:rsidR="00BF1277" w:rsidRPr="008E6EA6" w:rsidRDefault="00BF1277" w:rsidP="00377BD9">
            <w:pPr>
              <w:spacing w:after="120" w:line="240" w:lineRule="auto"/>
              <w:rPr>
                <w:rFonts w:ascii="Times New Roman" w:hAnsi="Times New Roman"/>
                <w:sz w:val="18"/>
              </w:rPr>
            </w:pPr>
          </w:p>
        </w:tc>
      </w:tr>
    </w:tbl>
    <w:p w:rsidR="00BF1277" w:rsidRDefault="00BF1277" w:rsidP="00377BD9">
      <w:pPr>
        <w:spacing w:after="120" w:line="240" w:lineRule="auto"/>
        <w:rPr>
          <w:rFonts w:ascii="Times New Roman" w:hAnsi="Times New Roman"/>
          <w:sz w:val="18"/>
        </w:rPr>
      </w:pPr>
    </w:p>
    <w:p w:rsidR="00331C02" w:rsidRPr="008E6EA6" w:rsidRDefault="00331C02" w:rsidP="00377BD9">
      <w:pPr>
        <w:spacing w:after="120" w:line="240" w:lineRule="auto"/>
        <w:rPr>
          <w:rFonts w:ascii="Times New Roman" w:hAnsi="Times New Roman"/>
          <w:sz w:val="18"/>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BF1277" w:rsidRPr="00956D79" w:rsidTr="0070055F">
        <w:trPr>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BF1277" w:rsidRPr="008E6EA6" w:rsidRDefault="00BF1277" w:rsidP="00377BD9">
            <w:pPr>
              <w:spacing w:after="120" w:line="240" w:lineRule="auto"/>
              <w:jc w:val="center"/>
              <w:rPr>
                <w:rFonts w:ascii="Times New Roman" w:hAnsi="Times New Roman"/>
                <w:b/>
                <w:sz w:val="18"/>
              </w:rPr>
            </w:pPr>
            <w:r w:rsidRPr="008E6EA6">
              <w:rPr>
                <w:rFonts w:ascii="Times New Roman" w:hAnsi="Times New Roman"/>
                <w:b/>
                <w:sz w:val="18"/>
              </w:rPr>
              <w:t>Facilitating cross-border investing</w:t>
            </w:r>
          </w:p>
        </w:tc>
      </w:tr>
      <w:tr w:rsidR="00BF1277" w:rsidRPr="00956D79" w:rsidDel="00AF1B76" w:rsidTr="0070055F">
        <w:trPr>
          <w:trHeight w:val="270"/>
          <w:jc w:val="center"/>
        </w:trPr>
        <w:tc>
          <w:tcPr>
            <w:tcW w:w="906" w:type="pct"/>
            <w:tcBorders>
              <w:top w:val="nil"/>
              <w:left w:val="single" w:sz="12" w:space="0" w:color="000000"/>
              <w:bottom w:val="single" w:sz="12" w:space="0" w:color="auto"/>
              <w:right w:val="nil"/>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Action</w:t>
            </w:r>
          </w:p>
        </w:tc>
        <w:tc>
          <w:tcPr>
            <w:tcW w:w="1748" w:type="pct"/>
            <w:tcBorders>
              <w:top w:val="nil"/>
              <w:left w:val="nil"/>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ind w:left="2" w:hanging="2"/>
              <w:rPr>
                <w:rFonts w:ascii="Times New Roman" w:hAnsi="Times New Roman"/>
                <w:b/>
                <w:sz w:val="18"/>
              </w:rPr>
            </w:pPr>
            <w:r>
              <w:rPr>
                <w:rFonts w:ascii="Times New Roman" w:hAnsi="Times New Roman"/>
                <w:b/>
                <w:sz w:val="18"/>
              </w:rPr>
              <w:t>Progress and n</w:t>
            </w:r>
            <w:r w:rsidRPr="008E6EA6">
              <w:rPr>
                <w:rFonts w:ascii="Times New Roman" w:hAnsi="Times New Roman"/>
                <w:b/>
                <w:sz w:val="18"/>
              </w:rPr>
              <w:t>ext steps</w:t>
            </w:r>
          </w:p>
        </w:tc>
      </w:tr>
      <w:tr w:rsidR="00BF1277" w:rsidRPr="00956D79" w:rsidDel="00AF1B76" w:rsidTr="0070055F">
        <w:trPr>
          <w:trHeight w:val="785"/>
          <w:jc w:val="center"/>
        </w:trPr>
        <w:tc>
          <w:tcPr>
            <w:tcW w:w="906" w:type="pct"/>
            <w:tcBorders>
              <w:top w:val="nil"/>
              <w:left w:val="single" w:sz="12" w:space="0" w:color="000000"/>
              <w:bottom w:val="single" w:sz="12" w:space="0" w:color="auto"/>
              <w:right w:val="single" w:sz="4" w:space="0" w:color="auto"/>
            </w:tcBorders>
            <w:shd w:val="clear" w:color="auto" w:fill="auto"/>
          </w:tcPr>
          <w:p w:rsidR="00BF1277" w:rsidRPr="008E6EA6" w:rsidDel="00AF1B76" w:rsidRDefault="00BF1277" w:rsidP="00377BD9">
            <w:pPr>
              <w:spacing w:after="120" w:line="240" w:lineRule="auto"/>
              <w:rPr>
                <w:rFonts w:ascii="Times New Roman" w:hAnsi="Times New Roman"/>
                <w:b/>
                <w:sz w:val="18"/>
              </w:rPr>
            </w:pPr>
            <w:r w:rsidRPr="008E6EA6" w:rsidDel="00AF1B76">
              <w:rPr>
                <w:rFonts w:ascii="Times New Roman" w:hAnsi="Times New Roman"/>
                <w:b/>
                <w:sz w:val="18"/>
              </w:rPr>
              <w:t>Remove national barriers to cross-border investment</w:t>
            </w:r>
          </w:p>
        </w:tc>
        <w:tc>
          <w:tcPr>
            <w:tcW w:w="1748" w:type="pct"/>
            <w:tcBorders>
              <w:top w:val="nil"/>
              <w:left w:val="single" w:sz="4" w:space="0" w:color="auto"/>
              <w:bottom w:val="single" w:sz="12" w:space="0" w:color="auto"/>
              <w:right w:val="single" w:sz="4" w:space="0" w:color="auto"/>
            </w:tcBorders>
            <w:shd w:val="clear" w:color="auto" w:fill="auto"/>
            <w:vAlign w:val="center"/>
          </w:tcPr>
          <w:p w:rsidR="00BF1277" w:rsidRPr="001A2996" w:rsidDel="00AF1B76" w:rsidRDefault="00BF1277" w:rsidP="00377BD9">
            <w:pPr>
              <w:spacing w:after="120" w:line="240" w:lineRule="auto"/>
              <w:rPr>
                <w:rFonts w:ascii="Times New Roman" w:hAnsi="Times New Roman"/>
                <w:sz w:val="18"/>
              </w:rPr>
            </w:pPr>
            <w:r w:rsidRPr="008E6EA6">
              <w:rPr>
                <w:rFonts w:ascii="Times New Roman" w:hAnsi="Times New Roman"/>
                <w:b/>
                <w:i/>
                <w:sz w:val="18"/>
              </w:rPr>
              <w:t>Report on</w:t>
            </w:r>
            <w:r w:rsidRPr="008E6EA6" w:rsidDel="00AF1B76">
              <w:rPr>
                <w:rFonts w:ascii="Times New Roman" w:hAnsi="Times New Roman"/>
                <w:b/>
                <w:i/>
                <w:sz w:val="18"/>
              </w:rPr>
              <w:t xml:space="preserve"> national barriers to the free movement of capital</w:t>
            </w:r>
          </w:p>
        </w:tc>
        <w:tc>
          <w:tcPr>
            <w:tcW w:w="2346" w:type="pct"/>
            <w:tcBorders>
              <w:top w:val="nil"/>
              <w:left w:val="single" w:sz="4" w:space="0" w:color="auto"/>
              <w:bottom w:val="single" w:sz="12" w:space="0" w:color="auto"/>
              <w:right w:val="single" w:sz="4" w:space="0" w:color="auto"/>
            </w:tcBorders>
            <w:shd w:val="clear" w:color="auto" w:fill="auto"/>
            <w:vAlign w:val="center"/>
          </w:tcPr>
          <w:p w:rsidR="00BF1277" w:rsidRDefault="00BF1277" w:rsidP="00377BD9">
            <w:pPr>
              <w:spacing w:after="120" w:line="240" w:lineRule="auto"/>
              <w:rPr>
                <w:rFonts w:ascii="Times New Roman" w:hAnsi="Times New Roman"/>
                <w:sz w:val="18"/>
              </w:rPr>
            </w:pPr>
            <w:r>
              <w:rPr>
                <w:rFonts w:ascii="Times New Roman" w:hAnsi="Times New Roman"/>
                <w:sz w:val="18"/>
              </w:rPr>
              <w:t>M</w:t>
            </w:r>
            <w:r w:rsidRPr="008E6EA6">
              <w:rPr>
                <w:rFonts w:ascii="Times New Roman" w:hAnsi="Times New Roman"/>
                <w:sz w:val="18"/>
              </w:rPr>
              <w:t>eetings</w:t>
            </w:r>
            <w:r>
              <w:rPr>
                <w:rFonts w:ascii="Times New Roman" w:hAnsi="Times New Roman"/>
                <w:sz w:val="18"/>
              </w:rPr>
              <w:t xml:space="preserve"> of </w:t>
            </w:r>
            <w:r w:rsidRPr="008E6EA6">
              <w:rPr>
                <w:rFonts w:ascii="Times New Roman" w:hAnsi="Times New Roman"/>
                <w:sz w:val="18"/>
              </w:rPr>
              <w:t xml:space="preserve"> Expert group of Member States' representatives </w:t>
            </w:r>
            <w:r>
              <w:rPr>
                <w:rFonts w:ascii="Times New Roman" w:hAnsi="Times New Roman"/>
                <w:sz w:val="18"/>
              </w:rPr>
              <w:t>ongoing</w:t>
            </w:r>
          </w:p>
          <w:p w:rsidR="00BF1277" w:rsidRPr="008E6EA6" w:rsidDel="00AF1B76" w:rsidRDefault="0070055F" w:rsidP="00377BD9">
            <w:pPr>
              <w:spacing w:after="120" w:line="240" w:lineRule="auto"/>
              <w:rPr>
                <w:rFonts w:ascii="Times New Roman" w:hAnsi="Times New Roman"/>
                <w:sz w:val="18"/>
              </w:rPr>
            </w:pPr>
            <w:r>
              <w:rPr>
                <w:rFonts w:ascii="Times New Roman" w:hAnsi="Times New Roman"/>
                <w:sz w:val="18"/>
              </w:rPr>
              <w:t xml:space="preserve">Communication </w:t>
            </w:r>
            <w:r w:rsidR="00BF1277">
              <w:rPr>
                <w:rFonts w:ascii="Times New Roman" w:hAnsi="Times New Roman"/>
                <w:sz w:val="18"/>
              </w:rPr>
              <w:t>to be adopted by end 2016.</w:t>
            </w:r>
          </w:p>
        </w:tc>
      </w:tr>
      <w:tr w:rsidR="00BF1277" w:rsidRPr="00956D79" w:rsidTr="00377BD9">
        <w:trPr>
          <w:trHeight w:val="717"/>
          <w:jc w:val="center"/>
        </w:trPr>
        <w:tc>
          <w:tcPr>
            <w:tcW w:w="906" w:type="pct"/>
            <w:vMerge w:val="restart"/>
            <w:tcBorders>
              <w:top w:val="single" w:sz="12" w:space="0" w:color="auto"/>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Improve market infrastructure for cross-border investing</w:t>
            </w:r>
          </w:p>
        </w:tc>
        <w:tc>
          <w:tcPr>
            <w:tcW w:w="1748" w:type="pct"/>
            <w:tcBorders>
              <w:top w:val="single" w:sz="12" w:space="0" w:color="auto"/>
              <w:left w:val="single" w:sz="4" w:space="0" w:color="auto"/>
              <w:bottom w:val="single" w:sz="4" w:space="0" w:color="000000"/>
              <w:right w:val="single" w:sz="4" w:space="0" w:color="auto"/>
            </w:tcBorders>
            <w:shd w:val="clear" w:color="auto" w:fill="auto"/>
            <w:vAlign w:val="center"/>
          </w:tcPr>
          <w:p w:rsidR="00BF1277" w:rsidRPr="001A2996" w:rsidRDefault="00BF1277" w:rsidP="00377BD9">
            <w:pPr>
              <w:spacing w:after="120" w:line="240" w:lineRule="auto"/>
              <w:rPr>
                <w:rFonts w:ascii="Times New Roman" w:hAnsi="Times New Roman"/>
                <w:sz w:val="18"/>
              </w:rPr>
            </w:pPr>
            <w:r w:rsidRPr="008E6EA6">
              <w:rPr>
                <w:rFonts w:ascii="Times New Roman" w:hAnsi="Times New Roman"/>
                <w:b/>
                <w:i/>
                <w:sz w:val="18"/>
              </w:rPr>
              <w:t>Targeted action on securities ownership rules and third-party effects of assignment of claims</w:t>
            </w:r>
          </w:p>
        </w:tc>
        <w:tc>
          <w:tcPr>
            <w:tcW w:w="2346" w:type="pct"/>
            <w:tcBorders>
              <w:top w:val="single" w:sz="12" w:space="0" w:color="auto"/>
              <w:left w:val="single" w:sz="4" w:space="0" w:color="auto"/>
              <w:bottom w:val="single" w:sz="4" w:space="0" w:color="000000"/>
              <w:right w:val="single" w:sz="4" w:space="0" w:color="auto"/>
            </w:tcBorders>
            <w:shd w:val="clear" w:color="auto" w:fill="auto"/>
            <w:vAlign w:val="center"/>
          </w:tcPr>
          <w:p w:rsidR="00BF1277" w:rsidRPr="00680919" w:rsidRDefault="00BF1277" w:rsidP="00377BD9">
            <w:pPr>
              <w:spacing w:after="120" w:line="240" w:lineRule="auto"/>
              <w:rPr>
                <w:rFonts w:ascii="Times New Roman" w:hAnsi="Times New Roman"/>
                <w:sz w:val="18"/>
              </w:rPr>
            </w:pPr>
            <w:r w:rsidRPr="00680919">
              <w:rPr>
                <w:rFonts w:ascii="Times New Roman" w:hAnsi="Times New Roman" w:cs="Times New Roman"/>
                <w:sz w:val="18"/>
                <w:szCs w:val="18"/>
              </w:rPr>
              <w:t>Call for tender for a study launched in August 2016.</w:t>
            </w:r>
          </w:p>
        </w:tc>
      </w:tr>
      <w:tr w:rsidR="00BF1277" w:rsidRPr="00956D79" w:rsidTr="0070055F">
        <w:trPr>
          <w:trHeight w:val="533"/>
          <w:jc w:val="center"/>
        </w:trPr>
        <w:tc>
          <w:tcPr>
            <w:tcW w:w="906" w:type="pct"/>
            <w:vMerge/>
            <w:tcBorders>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48" w:type="pct"/>
            <w:tcBorders>
              <w:top w:val="single" w:sz="4" w:space="0" w:color="000000"/>
              <w:left w:val="single" w:sz="4" w:space="0" w:color="auto"/>
              <w:bottom w:val="nil"/>
              <w:right w:val="single" w:sz="4" w:space="0" w:color="auto"/>
            </w:tcBorders>
            <w:shd w:val="clear" w:color="auto" w:fill="auto"/>
            <w:vAlign w:val="center"/>
          </w:tcPr>
          <w:p w:rsidR="00BF1277" w:rsidRPr="001A2996" w:rsidRDefault="00BF1277" w:rsidP="00377BD9">
            <w:pPr>
              <w:spacing w:after="120" w:line="240" w:lineRule="auto"/>
              <w:rPr>
                <w:rFonts w:ascii="Times New Roman" w:hAnsi="Times New Roman"/>
                <w:sz w:val="18"/>
              </w:rPr>
            </w:pPr>
            <w:r w:rsidRPr="008E6EA6">
              <w:rPr>
                <w:rFonts w:ascii="Times New Roman" w:hAnsi="Times New Roman"/>
                <w:b/>
                <w:i/>
                <w:sz w:val="18"/>
              </w:rPr>
              <w:t>Review progress in removing remaining Giovannini barriers</w:t>
            </w:r>
          </w:p>
        </w:tc>
        <w:tc>
          <w:tcPr>
            <w:tcW w:w="2346" w:type="pct"/>
            <w:tcBorders>
              <w:top w:val="single" w:sz="4" w:space="0" w:color="000000"/>
              <w:left w:val="single" w:sz="4" w:space="0" w:color="auto"/>
              <w:bottom w:val="nil"/>
              <w:right w:val="single" w:sz="4" w:space="0" w:color="auto"/>
            </w:tcBorders>
            <w:shd w:val="clear" w:color="auto" w:fill="auto"/>
            <w:vAlign w:val="center"/>
          </w:tcPr>
          <w:p w:rsidR="00BF1277" w:rsidRPr="00680919" w:rsidRDefault="00BF1277">
            <w:pPr>
              <w:spacing w:after="120" w:line="240" w:lineRule="auto"/>
              <w:rPr>
                <w:rFonts w:ascii="Times New Roman" w:hAnsi="Times New Roman"/>
                <w:sz w:val="18"/>
              </w:rPr>
            </w:pPr>
            <w:r w:rsidRPr="00680919">
              <w:rPr>
                <w:rFonts w:ascii="Times New Roman" w:hAnsi="Times New Roman"/>
                <w:sz w:val="18"/>
              </w:rPr>
              <w:t xml:space="preserve">Expert group </w:t>
            </w:r>
            <w:r w:rsidR="0070055F">
              <w:rPr>
                <w:rFonts w:ascii="Times New Roman" w:hAnsi="Times New Roman"/>
                <w:sz w:val="18"/>
              </w:rPr>
              <w:t>to conclude work in early 2017, followed by Commission consultation.</w:t>
            </w:r>
          </w:p>
        </w:tc>
      </w:tr>
      <w:tr w:rsidR="00BF1277" w:rsidRPr="00956D79" w:rsidTr="0070055F">
        <w:trPr>
          <w:trHeight w:val="904"/>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hideMark/>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Foster convergence of insolvency proceedings</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BF1277" w:rsidRPr="008E6EA6" w:rsidRDefault="0070055F" w:rsidP="00377BD9">
            <w:pPr>
              <w:spacing w:after="120" w:line="240" w:lineRule="auto"/>
            </w:pPr>
            <w:r>
              <w:rPr>
                <w:rFonts w:ascii="Times New Roman" w:hAnsi="Times New Roman"/>
                <w:b/>
                <w:i/>
                <w:sz w:val="18"/>
              </w:rPr>
              <w:t>Insolvency law</w:t>
            </w:r>
            <w:r w:rsidR="00BF1277" w:rsidRPr="008E6EA6">
              <w:rPr>
                <w:rFonts w:ascii="Times New Roman" w:hAnsi="Times New Roman"/>
                <w:b/>
                <w:i/>
                <w:sz w:val="18"/>
              </w:rPr>
              <w:t xml:space="preserve"> </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70055F" w:rsidRDefault="00BF1277" w:rsidP="00377BD9">
            <w:pPr>
              <w:spacing w:after="120" w:line="240" w:lineRule="auto"/>
              <w:rPr>
                <w:rFonts w:ascii="Times New Roman" w:hAnsi="Times New Roman" w:cs="Times New Roman"/>
                <w:sz w:val="18"/>
                <w:szCs w:val="18"/>
              </w:rPr>
            </w:pPr>
            <w:r>
              <w:rPr>
                <w:rFonts w:ascii="Times New Roman" w:hAnsi="Times New Roman" w:cs="Times New Roman"/>
                <w:sz w:val="18"/>
                <w:szCs w:val="18"/>
              </w:rPr>
              <w:t xml:space="preserve">Legislative proposal </w:t>
            </w:r>
            <w:r w:rsidR="0070055F">
              <w:rPr>
                <w:rFonts w:ascii="Times New Roman" w:hAnsi="Times New Roman" w:cs="Times New Roman"/>
                <w:sz w:val="18"/>
                <w:szCs w:val="18"/>
              </w:rPr>
              <w:t xml:space="preserve">on business restructuring and second chance </w:t>
            </w:r>
            <w:r>
              <w:rPr>
                <w:rFonts w:ascii="Times New Roman" w:hAnsi="Times New Roman" w:cs="Times New Roman"/>
                <w:sz w:val="18"/>
                <w:szCs w:val="18"/>
              </w:rPr>
              <w:t xml:space="preserve">to be </w:t>
            </w:r>
            <w:r w:rsidR="0070055F">
              <w:rPr>
                <w:rFonts w:ascii="Times New Roman" w:hAnsi="Times New Roman" w:cs="Times New Roman"/>
                <w:sz w:val="18"/>
                <w:szCs w:val="18"/>
              </w:rPr>
              <w:t xml:space="preserve">presented </w:t>
            </w:r>
            <w:r w:rsidRPr="00D06C67">
              <w:rPr>
                <w:rFonts w:ascii="Times New Roman" w:hAnsi="Times New Roman" w:cs="Times New Roman"/>
                <w:sz w:val="18"/>
                <w:szCs w:val="18"/>
              </w:rPr>
              <w:t>in autumn 2016</w:t>
            </w:r>
            <w:r w:rsidR="0070055F">
              <w:rPr>
                <w:rFonts w:ascii="Times New Roman" w:hAnsi="Times New Roman" w:cs="Times New Roman"/>
                <w:sz w:val="18"/>
                <w:szCs w:val="18"/>
              </w:rPr>
              <w:t>;</w:t>
            </w:r>
          </w:p>
          <w:p w:rsidR="00BF1277" w:rsidRPr="008E6EA6" w:rsidRDefault="00377BD9" w:rsidP="00226AA3">
            <w:pPr>
              <w:spacing w:after="120" w:line="240" w:lineRule="auto"/>
              <w:rPr>
                <w:rFonts w:ascii="Times New Roman" w:hAnsi="Times New Roman"/>
                <w:sz w:val="18"/>
              </w:rPr>
            </w:pPr>
            <w:r>
              <w:rPr>
                <w:rFonts w:ascii="Times New Roman" w:hAnsi="Times New Roman" w:cs="Times New Roman"/>
                <w:sz w:val="18"/>
                <w:szCs w:val="18"/>
              </w:rPr>
              <w:t xml:space="preserve">Benchmarking of loan enforcement </w:t>
            </w:r>
            <w:r w:rsidR="00AA3FA6">
              <w:rPr>
                <w:rFonts w:ascii="Times New Roman" w:hAnsi="Times New Roman" w:cs="Times New Roman"/>
                <w:sz w:val="18"/>
                <w:szCs w:val="18"/>
              </w:rPr>
              <w:t xml:space="preserve">(including </w:t>
            </w:r>
            <w:r>
              <w:rPr>
                <w:rFonts w:ascii="Times New Roman" w:hAnsi="Times New Roman" w:cs="Times New Roman"/>
                <w:sz w:val="18"/>
                <w:szCs w:val="18"/>
              </w:rPr>
              <w:t>insolvency</w:t>
            </w:r>
            <w:r w:rsidR="00AA3FA6">
              <w:rPr>
                <w:rFonts w:ascii="Times New Roman" w:hAnsi="Times New Roman" w:cs="Times New Roman"/>
                <w:sz w:val="18"/>
                <w:szCs w:val="18"/>
              </w:rPr>
              <w:t>)</w:t>
            </w:r>
            <w:r>
              <w:rPr>
                <w:rFonts w:ascii="Times New Roman" w:hAnsi="Times New Roman" w:cs="Times New Roman"/>
                <w:sz w:val="18"/>
                <w:szCs w:val="18"/>
              </w:rPr>
              <w:t xml:space="preserve"> regimes</w:t>
            </w:r>
            <w:r w:rsidRPr="00D06C67">
              <w:rPr>
                <w:rFonts w:ascii="Times New Roman" w:hAnsi="Times New Roman" w:cs="Times New Roman"/>
                <w:sz w:val="18"/>
                <w:szCs w:val="18"/>
              </w:rPr>
              <w:t>.</w:t>
            </w:r>
          </w:p>
        </w:tc>
      </w:tr>
      <w:tr w:rsidR="00BF1277" w:rsidRPr="00956D79" w:rsidTr="0070055F">
        <w:trPr>
          <w:jc w:val="center"/>
        </w:trPr>
        <w:tc>
          <w:tcPr>
            <w:tcW w:w="906" w:type="pct"/>
            <w:vMerge w:val="restart"/>
            <w:tcBorders>
              <w:top w:val="single" w:sz="12" w:space="0" w:color="auto"/>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Remove cross-border tax barriers</w:t>
            </w:r>
          </w:p>
        </w:tc>
        <w:tc>
          <w:tcPr>
            <w:tcW w:w="1748" w:type="pct"/>
            <w:tcBorders>
              <w:top w:val="single" w:sz="12" w:space="0" w:color="auto"/>
              <w:left w:val="single" w:sz="4" w:space="0" w:color="auto"/>
              <w:bottom w:val="single" w:sz="4"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i/>
                <w:sz w:val="18"/>
              </w:rPr>
            </w:pPr>
            <w:r w:rsidRPr="008E6EA6">
              <w:rPr>
                <w:rFonts w:ascii="Times New Roman" w:hAnsi="Times New Roman"/>
                <w:b/>
                <w:i/>
                <w:sz w:val="18"/>
              </w:rPr>
              <w:t xml:space="preserve">Best practice and code of conduct for relief-at-source from withholding taxes procedures </w:t>
            </w:r>
          </w:p>
          <w:p w:rsidR="00BF1277" w:rsidRPr="008E6EA6" w:rsidRDefault="00BF1277" w:rsidP="00377BD9">
            <w:pPr>
              <w:pStyle w:val="ListParagraph"/>
              <w:spacing w:after="120" w:line="240" w:lineRule="auto"/>
              <w:ind w:left="360"/>
              <w:rPr>
                <w:rFonts w:ascii="Times New Roman" w:hAnsi="Times New Roman"/>
                <w:sz w:val="18"/>
              </w:rPr>
            </w:pPr>
          </w:p>
        </w:tc>
        <w:tc>
          <w:tcPr>
            <w:tcW w:w="2346" w:type="pct"/>
            <w:tcBorders>
              <w:top w:val="single" w:sz="12" w:space="0" w:color="auto"/>
              <w:left w:val="single" w:sz="4" w:space="0" w:color="auto"/>
              <w:bottom w:val="single" w:sz="4" w:space="0" w:color="000000"/>
              <w:right w:val="single" w:sz="4" w:space="0" w:color="auto"/>
            </w:tcBorders>
            <w:shd w:val="clear" w:color="auto" w:fill="auto"/>
            <w:vAlign w:val="center"/>
          </w:tcPr>
          <w:p w:rsidR="00BF1277" w:rsidRPr="00680919" w:rsidRDefault="0070055F" w:rsidP="00377BD9">
            <w:pPr>
              <w:spacing w:after="120" w:line="240" w:lineRule="auto"/>
              <w:rPr>
                <w:rFonts w:ascii="Times New Roman" w:hAnsi="Times New Roman" w:cs="Times New Roman"/>
                <w:sz w:val="18"/>
                <w:szCs w:val="18"/>
              </w:rPr>
            </w:pPr>
            <w:r>
              <w:rPr>
                <w:rFonts w:ascii="Times New Roman" w:hAnsi="Times New Roman"/>
                <w:sz w:val="18"/>
              </w:rPr>
              <w:t>B</w:t>
            </w:r>
            <w:r w:rsidR="00BF1277" w:rsidRPr="00680919">
              <w:rPr>
                <w:rFonts w:ascii="Times New Roman" w:hAnsi="Times New Roman"/>
                <w:sz w:val="18"/>
              </w:rPr>
              <w:t xml:space="preserve">est practices exchanged </w:t>
            </w:r>
            <w:r>
              <w:rPr>
                <w:rFonts w:ascii="Times New Roman" w:hAnsi="Times New Roman"/>
                <w:sz w:val="18"/>
              </w:rPr>
              <w:t xml:space="preserve">in </w:t>
            </w:r>
            <w:r w:rsidR="00BF1277" w:rsidRPr="00680919">
              <w:rPr>
                <w:rFonts w:ascii="Times New Roman" w:hAnsi="Times New Roman"/>
                <w:sz w:val="18"/>
              </w:rPr>
              <w:t xml:space="preserve">expert group on barriers to the free movement of capital </w:t>
            </w:r>
          </w:p>
          <w:p w:rsidR="00BF1277" w:rsidRDefault="0070055F" w:rsidP="00377BD9">
            <w:pPr>
              <w:spacing w:after="120" w:line="240" w:lineRule="auto"/>
              <w:rPr>
                <w:rFonts w:ascii="Times New Roman" w:hAnsi="Times New Roman" w:cs="Times New Roman"/>
                <w:sz w:val="18"/>
                <w:szCs w:val="18"/>
              </w:rPr>
            </w:pPr>
            <w:r>
              <w:rPr>
                <w:rFonts w:ascii="Times New Roman" w:hAnsi="Times New Roman" w:cs="Times New Roman"/>
                <w:sz w:val="18"/>
                <w:szCs w:val="18"/>
              </w:rPr>
              <w:t xml:space="preserve">Results of </w:t>
            </w:r>
            <w:r w:rsidR="00BF1277" w:rsidRPr="00680919">
              <w:rPr>
                <w:rFonts w:ascii="Times New Roman" w:hAnsi="Times New Roman" w:cs="Times New Roman"/>
                <w:sz w:val="18"/>
                <w:szCs w:val="18"/>
              </w:rPr>
              <w:t xml:space="preserve">T2S Harmonisation Steering Group of the </w:t>
            </w:r>
            <w:r>
              <w:rPr>
                <w:rFonts w:ascii="Times New Roman" w:hAnsi="Times New Roman" w:cs="Times New Roman"/>
                <w:sz w:val="18"/>
                <w:szCs w:val="18"/>
              </w:rPr>
              <w:t>(</w:t>
            </w:r>
            <w:r w:rsidR="00BF1277" w:rsidRPr="00680919">
              <w:rPr>
                <w:rFonts w:ascii="Times New Roman" w:hAnsi="Times New Roman" w:cs="Times New Roman"/>
                <w:sz w:val="18"/>
                <w:szCs w:val="18"/>
              </w:rPr>
              <w:t>ECB</w:t>
            </w:r>
            <w:r>
              <w:rPr>
                <w:rFonts w:ascii="Times New Roman" w:hAnsi="Times New Roman" w:cs="Times New Roman"/>
                <w:sz w:val="18"/>
                <w:szCs w:val="18"/>
              </w:rPr>
              <w:t>)</w:t>
            </w:r>
            <w:r w:rsidR="00BF1277" w:rsidRPr="00680919">
              <w:rPr>
                <w:rFonts w:ascii="Times New Roman" w:hAnsi="Times New Roman" w:cs="Times New Roman"/>
                <w:sz w:val="18"/>
                <w:szCs w:val="18"/>
              </w:rPr>
              <w:t xml:space="preserve"> </w:t>
            </w:r>
          </w:p>
          <w:p w:rsidR="0070055F" w:rsidRPr="00680919" w:rsidRDefault="0070055F" w:rsidP="00377BD9">
            <w:pPr>
              <w:spacing w:after="120" w:line="240" w:lineRule="auto"/>
              <w:rPr>
                <w:rFonts w:ascii="Times New Roman" w:hAnsi="Times New Roman"/>
                <w:sz w:val="18"/>
              </w:rPr>
            </w:pPr>
            <w:r>
              <w:rPr>
                <w:rFonts w:ascii="Times New Roman" w:hAnsi="Times New Roman"/>
                <w:sz w:val="18"/>
              </w:rPr>
              <w:t>Agree next steps in Communication on capital barriers.</w:t>
            </w:r>
          </w:p>
        </w:tc>
      </w:tr>
      <w:tr w:rsidR="00BF1277" w:rsidRPr="00956D79" w:rsidTr="0070055F">
        <w:trPr>
          <w:jc w:val="center"/>
        </w:trPr>
        <w:tc>
          <w:tcPr>
            <w:tcW w:w="906" w:type="pct"/>
            <w:vMerge/>
            <w:tcBorders>
              <w:left w:val="single" w:sz="12" w:space="0" w:color="000000"/>
              <w:bottom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48" w:type="pct"/>
            <w:tcBorders>
              <w:top w:val="single" w:sz="4" w:space="0" w:color="000000"/>
              <w:left w:val="single" w:sz="4" w:space="0" w:color="auto"/>
              <w:bottom w:val="single" w:sz="12" w:space="0" w:color="000000"/>
              <w:right w:val="single" w:sz="4" w:space="0" w:color="auto"/>
            </w:tcBorders>
            <w:shd w:val="clear" w:color="auto" w:fill="auto"/>
            <w:vAlign w:val="center"/>
          </w:tcPr>
          <w:p w:rsidR="00BF1277" w:rsidRPr="001A2996" w:rsidRDefault="00BF1277" w:rsidP="00377BD9">
            <w:pPr>
              <w:spacing w:after="120" w:line="240" w:lineRule="auto"/>
              <w:rPr>
                <w:rFonts w:ascii="Times New Roman" w:hAnsi="Times New Roman"/>
                <w:sz w:val="18"/>
              </w:rPr>
            </w:pPr>
            <w:r w:rsidRPr="008E6EA6">
              <w:rPr>
                <w:rFonts w:ascii="Times New Roman" w:hAnsi="Times New Roman"/>
                <w:b/>
                <w:i/>
                <w:sz w:val="18"/>
              </w:rPr>
              <w:t>Study on discriminatory tax obstacles to cross-border investment by pension funds and life insurers</w:t>
            </w:r>
            <w:r w:rsidR="0070055F">
              <w:rPr>
                <w:rFonts w:ascii="Times New Roman" w:hAnsi="Times New Roman"/>
                <w:b/>
                <w:i/>
                <w:sz w:val="18"/>
              </w:rPr>
              <w:t>.</w:t>
            </w:r>
            <w:r w:rsidRPr="008E6EA6">
              <w:rPr>
                <w:rFonts w:ascii="Times New Roman" w:hAnsi="Times New Roman"/>
                <w:b/>
                <w:i/>
                <w:sz w:val="18"/>
              </w:rPr>
              <w:t xml:space="preserve"> </w:t>
            </w:r>
          </w:p>
        </w:tc>
        <w:tc>
          <w:tcPr>
            <w:tcW w:w="2346" w:type="pct"/>
            <w:tcBorders>
              <w:top w:val="single" w:sz="4" w:space="0" w:color="000000"/>
              <w:left w:val="single" w:sz="4" w:space="0" w:color="auto"/>
              <w:bottom w:val="single" w:sz="12" w:space="0" w:color="000000"/>
              <w:right w:val="single" w:sz="4" w:space="0" w:color="auto"/>
            </w:tcBorders>
            <w:shd w:val="clear" w:color="auto" w:fill="auto"/>
            <w:vAlign w:val="center"/>
          </w:tcPr>
          <w:p w:rsidR="00BF1277" w:rsidRPr="00680919" w:rsidRDefault="00BF1277" w:rsidP="00377BD9">
            <w:pPr>
              <w:spacing w:after="120" w:line="240" w:lineRule="auto"/>
              <w:rPr>
                <w:rFonts w:ascii="Times New Roman" w:hAnsi="Times New Roman"/>
                <w:sz w:val="18"/>
              </w:rPr>
            </w:pPr>
            <w:r w:rsidRPr="00680919">
              <w:rPr>
                <w:rFonts w:ascii="Times New Roman" w:hAnsi="Times New Roman" w:cs="Times New Roman"/>
                <w:sz w:val="18"/>
                <w:szCs w:val="18"/>
              </w:rPr>
              <w:t>Terms of reference under preparation</w:t>
            </w:r>
            <w:r w:rsidR="00377BD9">
              <w:rPr>
                <w:rFonts w:ascii="Times New Roman" w:hAnsi="Times New Roman" w:cs="Times New Roman"/>
                <w:sz w:val="18"/>
                <w:szCs w:val="18"/>
              </w:rPr>
              <w:t>.</w:t>
            </w:r>
          </w:p>
        </w:tc>
      </w:tr>
      <w:tr w:rsidR="00BF1277" w:rsidRPr="00956D79" w:rsidTr="00377BD9">
        <w:trPr>
          <w:trHeight w:hRule="exact" w:val="1172"/>
          <w:jc w:val="center"/>
        </w:trPr>
        <w:tc>
          <w:tcPr>
            <w:tcW w:w="906" w:type="pct"/>
            <w:vMerge w:val="restart"/>
            <w:tcBorders>
              <w:top w:val="single" w:sz="12" w:space="0" w:color="000000"/>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r w:rsidRPr="008E6EA6">
              <w:rPr>
                <w:rFonts w:ascii="Times New Roman" w:hAnsi="Times New Roman"/>
                <w:b/>
                <w:sz w:val="18"/>
              </w:rPr>
              <w:t>Strengthen supervisory convergence and capital market capacity building</w:t>
            </w:r>
          </w:p>
        </w:tc>
        <w:tc>
          <w:tcPr>
            <w:tcW w:w="1748" w:type="pct"/>
            <w:tcBorders>
              <w:top w:val="single" w:sz="12" w:space="0" w:color="000000"/>
              <w:left w:val="single" w:sz="4" w:space="0" w:color="auto"/>
              <w:bottom w:val="single" w:sz="4"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i/>
                <w:sz w:val="18"/>
              </w:rPr>
            </w:pPr>
            <w:r w:rsidRPr="008E6EA6">
              <w:rPr>
                <w:rFonts w:ascii="Times New Roman" w:hAnsi="Times New Roman"/>
                <w:b/>
                <w:i/>
                <w:sz w:val="18"/>
              </w:rPr>
              <w:t>Strategy on supervisory convergence to improve the functioning of the single market for capital</w:t>
            </w:r>
          </w:p>
          <w:p w:rsidR="00BF1277" w:rsidRPr="008E6EA6" w:rsidRDefault="00BF1277" w:rsidP="00377BD9">
            <w:pPr>
              <w:pStyle w:val="ListParagraph"/>
              <w:spacing w:after="120" w:line="240" w:lineRule="auto"/>
              <w:ind w:left="360"/>
              <w:rPr>
                <w:rFonts w:ascii="Times New Roman" w:hAnsi="Times New Roman"/>
                <w:sz w:val="18"/>
              </w:rPr>
            </w:pPr>
          </w:p>
        </w:tc>
        <w:tc>
          <w:tcPr>
            <w:tcW w:w="2346" w:type="pct"/>
            <w:tcBorders>
              <w:top w:val="single" w:sz="12" w:space="0" w:color="000000"/>
              <w:left w:val="single" w:sz="4" w:space="0" w:color="auto"/>
              <w:bottom w:val="single" w:sz="4" w:space="0" w:color="auto"/>
              <w:right w:val="single" w:sz="4" w:space="0" w:color="auto"/>
            </w:tcBorders>
            <w:shd w:val="clear" w:color="auto" w:fill="auto"/>
            <w:vAlign w:val="center"/>
          </w:tcPr>
          <w:p w:rsidR="00BF1277" w:rsidRDefault="00BF1277" w:rsidP="00377BD9">
            <w:pPr>
              <w:spacing w:after="120" w:line="240" w:lineRule="auto"/>
              <w:rPr>
                <w:rFonts w:ascii="Times New Roman" w:hAnsi="Times New Roman" w:cs="Times New Roman"/>
                <w:sz w:val="18"/>
                <w:szCs w:val="18"/>
              </w:rPr>
            </w:pPr>
            <w:r>
              <w:rPr>
                <w:rFonts w:ascii="Times New Roman" w:hAnsi="Times New Roman"/>
                <w:sz w:val="18"/>
              </w:rPr>
              <w:t>Implementation of ESMA's f</w:t>
            </w:r>
            <w:r w:rsidRPr="00D06C67">
              <w:rPr>
                <w:rFonts w:ascii="Times New Roman" w:hAnsi="Times New Roman"/>
                <w:sz w:val="18"/>
              </w:rPr>
              <w:t xml:space="preserve">irst </w:t>
            </w:r>
            <w:r w:rsidRPr="00D06C67">
              <w:rPr>
                <w:rFonts w:ascii="Times New Roman" w:hAnsi="Times New Roman" w:cs="Times New Roman"/>
                <w:sz w:val="18"/>
                <w:szCs w:val="18"/>
              </w:rPr>
              <w:t xml:space="preserve">annual Supervisory Convergence Work Programme </w:t>
            </w:r>
            <w:r>
              <w:rPr>
                <w:rFonts w:ascii="Times New Roman" w:hAnsi="Times New Roman" w:cs="Times New Roman"/>
                <w:sz w:val="18"/>
                <w:szCs w:val="18"/>
              </w:rPr>
              <w:t>ongoing</w:t>
            </w:r>
            <w:r w:rsidR="00377BD9">
              <w:rPr>
                <w:rFonts w:ascii="Times New Roman" w:hAnsi="Times New Roman" w:cs="Times New Roman"/>
                <w:sz w:val="18"/>
                <w:szCs w:val="18"/>
              </w:rPr>
              <w:t>.</w:t>
            </w:r>
          </w:p>
          <w:p w:rsidR="00BF1277" w:rsidRPr="00B76943" w:rsidRDefault="00BF1277" w:rsidP="00377BD9">
            <w:pPr>
              <w:spacing w:after="120" w:line="240" w:lineRule="auto"/>
              <w:rPr>
                <w:sz w:val="18"/>
              </w:rPr>
            </w:pPr>
            <w:r>
              <w:rPr>
                <w:rFonts w:ascii="Times New Roman" w:hAnsi="Times New Roman" w:cs="Times New Roman"/>
                <w:sz w:val="18"/>
                <w:szCs w:val="18"/>
              </w:rPr>
              <w:t xml:space="preserve">Ongoing discussions on the preparation of the 2017 </w:t>
            </w:r>
            <w:r w:rsidRPr="00322458">
              <w:rPr>
                <w:rFonts w:ascii="Times New Roman" w:hAnsi="Times New Roman" w:cs="Times New Roman"/>
                <w:sz w:val="18"/>
                <w:szCs w:val="18"/>
              </w:rPr>
              <w:t>Supervisory Convergence Work Programme</w:t>
            </w:r>
            <w:r w:rsidR="00377BD9">
              <w:rPr>
                <w:rFonts w:ascii="Times New Roman" w:hAnsi="Times New Roman" w:cs="Times New Roman"/>
                <w:sz w:val="18"/>
                <w:szCs w:val="18"/>
              </w:rPr>
              <w:t>.</w:t>
            </w:r>
            <w:r w:rsidRPr="00322458">
              <w:rPr>
                <w:rFonts w:ascii="Times New Roman" w:hAnsi="Times New Roman" w:cs="Times New Roman"/>
                <w:sz w:val="18"/>
                <w:szCs w:val="18"/>
              </w:rPr>
              <w:t xml:space="preserve"> </w:t>
            </w:r>
          </w:p>
        </w:tc>
      </w:tr>
      <w:tr w:rsidR="00BF1277" w:rsidRPr="00956D79" w:rsidTr="000F2D91">
        <w:trPr>
          <w:trHeight w:hRule="exact" w:val="629"/>
          <w:jc w:val="center"/>
        </w:trPr>
        <w:tc>
          <w:tcPr>
            <w:tcW w:w="906" w:type="pct"/>
            <w:vMerge/>
            <w:tcBorders>
              <w:left w:val="single" w:sz="12" w:space="0" w:color="000000"/>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i/>
                <w:sz w:val="18"/>
              </w:rPr>
            </w:pPr>
            <w:r w:rsidRPr="008E6EA6">
              <w:rPr>
                <w:rFonts w:ascii="Times New Roman" w:hAnsi="Times New Roman"/>
                <w:b/>
                <w:i/>
                <w:sz w:val="18"/>
              </w:rPr>
              <w:t>White Paper on ESAs' funding and governance</w:t>
            </w:r>
            <w:r w:rsidR="0070055F">
              <w:rPr>
                <w:rFonts w:ascii="Times New Roman" w:hAnsi="Times New Roman"/>
                <w:b/>
                <w:i/>
                <w:sz w:val="18"/>
              </w:rPr>
              <w:t>.</w:t>
            </w:r>
          </w:p>
          <w:p w:rsidR="00BF1277" w:rsidRPr="008E6EA6" w:rsidRDefault="00BF1277" w:rsidP="00377BD9">
            <w:pPr>
              <w:spacing w:after="120" w:line="240" w:lineRule="auto"/>
            </w:pPr>
          </w:p>
        </w:tc>
        <w:tc>
          <w:tcPr>
            <w:tcW w:w="2346" w:type="pct"/>
            <w:tcBorders>
              <w:top w:val="single" w:sz="4" w:space="0" w:color="auto"/>
              <w:left w:val="single" w:sz="4" w:space="0" w:color="auto"/>
              <w:bottom w:val="single" w:sz="4" w:space="0" w:color="auto"/>
              <w:right w:val="single" w:sz="4" w:space="0" w:color="auto"/>
            </w:tcBorders>
            <w:shd w:val="clear" w:color="auto" w:fill="auto"/>
            <w:vAlign w:val="center"/>
          </w:tcPr>
          <w:p w:rsidR="00BF1277" w:rsidRPr="00B76943" w:rsidRDefault="00BF1277">
            <w:pPr>
              <w:spacing w:after="120" w:line="240" w:lineRule="auto"/>
              <w:rPr>
                <w:rFonts w:ascii="Times New Roman" w:hAnsi="Times New Roman"/>
                <w:sz w:val="18"/>
              </w:rPr>
            </w:pPr>
            <w:r w:rsidRPr="00D06C67">
              <w:rPr>
                <w:rFonts w:ascii="Times New Roman" w:hAnsi="Times New Roman" w:cs="Times New Roman"/>
                <w:sz w:val="18"/>
                <w:szCs w:val="18"/>
              </w:rPr>
              <w:t>Preparatory work ongoing</w:t>
            </w:r>
            <w:r>
              <w:rPr>
                <w:rFonts w:ascii="Times New Roman" w:hAnsi="Times New Roman" w:cs="Times New Roman"/>
                <w:sz w:val="18"/>
                <w:szCs w:val="18"/>
              </w:rPr>
              <w:t xml:space="preserve"> in view of adoption of </w:t>
            </w:r>
            <w:r w:rsidR="00047828">
              <w:rPr>
                <w:rFonts w:ascii="Times New Roman" w:hAnsi="Times New Roman" w:cs="Times New Roman"/>
                <w:sz w:val="18"/>
                <w:szCs w:val="18"/>
              </w:rPr>
              <w:t>a</w:t>
            </w:r>
            <w:r>
              <w:rPr>
                <w:rFonts w:ascii="Times New Roman" w:hAnsi="Times New Roman" w:cs="Times New Roman"/>
                <w:sz w:val="18"/>
                <w:szCs w:val="18"/>
              </w:rPr>
              <w:t xml:space="preserve"> White Paper</w:t>
            </w:r>
            <w:r w:rsidR="00377BD9">
              <w:rPr>
                <w:rFonts w:ascii="Times New Roman" w:hAnsi="Times New Roman" w:cs="Times New Roman"/>
                <w:sz w:val="18"/>
                <w:szCs w:val="18"/>
              </w:rPr>
              <w:t>.</w:t>
            </w:r>
          </w:p>
        </w:tc>
      </w:tr>
      <w:tr w:rsidR="00BF1277" w:rsidRPr="00956D79" w:rsidTr="00377BD9">
        <w:trPr>
          <w:trHeight w:hRule="exact" w:val="1193"/>
          <w:jc w:val="center"/>
        </w:trPr>
        <w:tc>
          <w:tcPr>
            <w:tcW w:w="906" w:type="pct"/>
            <w:vMerge/>
            <w:tcBorders>
              <w:left w:val="single" w:sz="12" w:space="0" w:color="000000"/>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b/>
                <w:sz w:val="18"/>
              </w:rPr>
            </w:pPr>
          </w:p>
        </w:tc>
        <w:tc>
          <w:tcPr>
            <w:tcW w:w="1748" w:type="pct"/>
            <w:tcBorders>
              <w:top w:val="single" w:sz="4" w:space="0" w:color="auto"/>
              <w:left w:val="single" w:sz="4" w:space="0" w:color="auto"/>
              <w:bottom w:val="single" w:sz="12" w:space="0" w:color="auto"/>
              <w:right w:val="single" w:sz="4" w:space="0" w:color="auto"/>
            </w:tcBorders>
            <w:shd w:val="clear" w:color="auto" w:fill="auto"/>
            <w:vAlign w:val="center"/>
          </w:tcPr>
          <w:p w:rsidR="00BF1277" w:rsidRPr="008E6EA6" w:rsidRDefault="0070055F" w:rsidP="00377BD9">
            <w:pPr>
              <w:spacing w:after="120" w:line="240" w:lineRule="auto"/>
              <w:rPr>
                <w:rFonts w:ascii="Times New Roman" w:hAnsi="Times New Roman"/>
                <w:b/>
                <w:i/>
                <w:sz w:val="18"/>
              </w:rPr>
            </w:pPr>
            <w:r>
              <w:rPr>
                <w:rFonts w:ascii="Times New Roman" w:hAnsi="Times New Roman"/>
                <w:b/>
                <w:i/>
                <w:sz w:val="18"/>
              </w:rPr>
              <w:t>T</w:t>
            </w:r>
            <w:r w:rsidR="00BF1277" w:rsidRPr="008E6EA6">
              <w:rPr>
                <w:rFonts w:ascii="Times New Roman" w:hAnsi="Times New Roman"/>
                <w:b/>
                <w:i/>
                <w:sz w:val="18"/>
              </w:rPr>
              <w:t>echnical assistance to Member States to support capital markets' capacity</w:t>
            </w:r>
            <w:r>
              <w:rPr>
                <w:rFonts w:ascii="Times New Roman" w:hAnsi="Times New Roman"/>
                <w:b/>
                <w:i/>
                <w:sz w:val="18"/>
              </w:rPr>
              <w:t>.</w:t>
            </w:r>
          </w:p>
          <w:p w:rsidR="00BF1277" w:rsidRPr="008E6EA6" w:rsidRDefault="00BF1277" w:rsidP="00377BD9">
            <w:pPr>
              <w:pStyle w:val="ListParagraph"/>
              <w:spacing w:after="120" w:line="240" w:lineRule="auto"/>
              <w:ind w:left="360"/>
              <w:rPr>
                <w:rFonts w:ascii="Times New Roman" w:hAnsi="Times New Roman"/>
                <w:sz w:val="18"/>
              </w:rPr>
            </w:pPr>
          </w:p>
        </w:tc>
        <w:tc>
          <w:tcPr>
            <w:tcW w:w="2346" w:type="pct"/>
            <w:tcBorders>
              <w:top w:val="single" w:sz="4" w:space="0" w:color="auto"/>
              <w:left w:val="single" w:sz="4" w:space="0" w:color="auto"/>
              <w:bottom w:val="single" w:sz="12" w:space="0" w:color="auto"/>
              <w:right w:val="single" w:sz="4" w:space="0" w:color="auto"/>
            </w:tcBorders>
            <w:shd w:val="clear" w:color="auto" w:fill="auto"/>
            <w:vAlign w:val="center"/>
          </w:tcPr>
          <w:p w:rsidR="00BF1277" w:rsidRPr="008E6EA6" w:rsidRDefault="00BF1277" w:rsidP="00377BD9">
            <w:pPr>
              <w:spacing w:after="120" w:line="240" w:lineRule="auto"/>
              <w:rPr>
                <w:rFonts w:ascii="Times New Roman" w:hAnsi="Times New Roman"/>
                <w:sz w:val="18"/>
              </w:rPr>
            </w:pPr>
            <w:r w:rsidRPr="008E6EA6">
              <w:rPr>
                <w:rFonts w:ascii="Times New Roman" w:hAnsi="Times New Roman"/>
                <w:sz w:val="18"/>
              </w:rPr>
              <w:t>The European Parliament and the Council to adopt</w:t>
            </w:r>
            <w:r>
              <w:rPr>
                <w:rFonts w:ascii="Times New Roman" w:hAnsi="Times New Roman"/>
                <w:sz w:val="18"/>
              </w:rPr>
              <w:t xml:space="preserve"> </w:t>
            </w:r>
            <w:r w:rsidRPr="008E6EA6">
              <w:rPr>
                <w:rFonts w:ascii="Times New Roman" w:hAnsi="Times New Roman"/>
                <w:sz w:val="18"/>
              </w:rPr>
              <w:t xml:space="preserve">the </w:t>
            </w:r>
            <w:r w:rsidRPr="00956D79">
              <w:rPr>
                <w:rFonts w:ascii="Times New Roman" w:hAnsi="Times New Roman" w:cs="Times New Roman"/>
                <w:sz w:val="18"/>
                <w:szCs w:val="18"/>
              </w:rPr>
              <w:t>SRSP</w:t>
            </w:r>
            <w:r w:rsidRPr="008E6EA6">
              <w:rPr>
                <w:rFonts w:ascii="Times New Roman" w:hAnsi="Times New Roman"/>
                <w:sz w:val="18"/>
              </w:rPr>
              <w:t xml:space="preserve"> Regulation</w:t>
            </w:r>
            <w:r w:rsidR="00377BD9">
              <w:rPr>
                <w:rFonts w:ascii="Times New Roman" w:hAnsi="Times New Roman"/>
                <w:sz w:val="18"/>
              </w:rPr>
              <w:t>.</w:t>
            </w:r>
          </w:p>
          <w:p w:rsidR="00BF1277" w:rsidRPr="008E6EA6" w:rsidRDefault="00BF1277" w:rsidP="00377BD9">
            <w:pPr>
              <w:spacing w:after="120" w:line="240" w:lineRule="auto"/>
              <w:rPr>
                <w:rFonts w:ascii="Times New Roman" w:hAnsi="Times New Roman"/>
                <w:sz w:val="18"/>
              </w:rPr>
            </w:pPr>
            <w:r w:rsidRPr="00D06C67">
              <w:rPr>
                <w:rFonts w:ascii="Times New Roman" w:hAnsi="Times New Roman"/>
                <w:sz w:val="18"/>
              </w:rPr>
              <w:t>Work with Member States to identify priority areas for technical assistance</w:t>
            </w:r>
            <w:r w:rsidR="0070055F">
              <w:rPr>
                <w:rFonts w:ascii="Times New Roman" w:hAnsi="Times New Roman"/>
                <w:sz w:val="18"/>
              </w:rPr>
              <w:t xml:space="preserve"> ongoing.</w:t>
            </w:r>
            <w:r w:rsidRPr="008E6EA6">
              <w:rPr>
                <w:rFonts w:ascii="Times New Roman" w:hAnsi="Times New Roman"/>
                <w:sz w:val="18"/>
              </w:rPr>
              <w:t xml:space="preserve">  </w:t>
            </w:r>
          </w:p>
        </w:tc>
      </w:tr>
      <w:tr w:rsidR="00BF1277" w:rsidRPr="00956D79" w:rsidTr="00377BD9">
        <w:trPr>
          <w:trHeight w:hRule="exact" w:val="875"/>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hideMark/>
          </w:tcPr>
          <w:p w:rsidR="00BF1277" w:rsidRPr="008E6EA6" w:rsidRDefault="003905D2" w:rsidP="00377BD9">
            <w:pPr>
              <w:spacing w:after="120" w:line="240" w:lineRule="auto"/>
              <w:rPr>
                <w:rFonts w:ascii="Times New Roman" w:hAnsi="Times New Roman"/>
                <w:b/>
                <w:sz w:val="18"/>
              </w:rPr>
            </w:pPr>
            <w:r>
              <w:rPr>
                <w:rFonts w:ascii="Times New Roman" w:hAnsi="Times New Roman"/>
                <w:b/>
                <w:sz w:val="18"/>
              </w:rPr>
              <w:t>F</w:t>
            </w:r>
            <w:r w:rsidR="00BF1277" w:rsidRPr="008E6EA6">
              <w:rPr>
                <w:rFonts w:ascii="Times New Roman" w:hAnsi="Times New Roman"/>
                <w:b/>
                <w:sz w:val="18"/>
              </w:rPr>
              <w:t>inancial stability</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BF1277" w:rsidRPr="001A2996" w:rsidRDefault="00BF1277" w:rsidP="00377BD9">
            <w:pPr>
              <w:spacing w:after="120" w:line="240" w:lineRule="auto"/>
              <w:rPr>
                <w:rFonts w:ascii="Times New Roman" w:hAnsi="Times New Roman"/>
                <w:sz w:val="18"/>
              </w:rPr>
            </w:pPr>
            <w:r w:rsidRPr="008E6EA6">
              <w:rPr>
                <w:rFonts w:ascii="Times New Roman" w:hAnsi="Times New Roman"/>
                <w:b/>
                <w:i/>
                <w:sz w:val="18"/>
              </w:rPr>
              <w:t xml:space="preserve">Review of the EU </w:t>
            </w:r>
            <w:r w:rsidR="00377BD9" w:rsidRPr="008E6EA6">
              <w:rPr>
                <w:rFonts w:ascii="Times New Roman" w:hAnsi="Times New Roman"/>
                <w:b/>
                <w:i/>
                <w:sz w:val="18"/>
              </w:rPr>
              <w:t>macro-prudential</w:t>
            </w:r>
            <w:r w:rsidRPr="008E6EA6">
              <w:rPr>
                <w:rFonts w:ascii="Times New Roman" w:hAnsi="Times New Roman"/>
                <w:b/>
                <w:i/>
                <w:sz w:val="18"/>
              </w:rPr>
              <w:t xml:space="preserve"> framework</w:t>
            </w:r>
            <w:r w:rsidR="0070055F">
              <w:rPr>
                <w:rFonts w:ascii="Times New Roman" w:hAnsi="Times New Roman"/>
                <w:b/>
                <w:i/>
                <w:sz w:val="18"/>
              </w:rPr>
              <w:t>.</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BF1277" w:rsidRPr="008E6EA6" w:rsidRDefault="00BF1277" w:rsidP="00870792">
            <w:pPr>
              <w:spacing w:after="120" w:line="240" w:lineRule="auto"/>
              <w:rPr>
                <w:rFonts w:ascii="Times New Roman" w:hAnsi="Times New Roman"/>
                <w:sz w:val="18"/>
              </w:rPr>
            </w:pPr>
            <w:r>
              <w:rPr>
                <w:rFonts w:ascii="Times New Roman" w:hAnsi="Times New Roman"/>
                <w:sz w:val="18"/>
              </w:rPr>
              <w:t xml:space="preserve">Public consultation launched </w:t>
            </w:r>
            <w:r w:rsidR="00377BD9">
              <w:rPr>
                <w:rFonts w:ascii="Times New Roman" w:hAnsi="Times New Roman"/>
                <w:sz w:val="18"/>
              </w:rPr>
              <w:t>o</w:t>
            </w:r>
            <w:r>
              <w:rPr>
                <w:rFonts w:ascii="Times New Roman" w:hAnsi="Times New Roman"/>
                <w:sz w:val="18"/>
              </w:rPr>
              <w:t xml:space="preserve">n </w:t>
            </w:r>
            <w:r w:rsidR="00377BD9">
              <w:rPr>
                <w:rFonts w:ascii="Times New Roman" w:hAnsi="Times New Roman"/>
                <w:sz w:val="18"/>
              </w:rPr>
              <w:t xml:space="preserve">1 </w:t>
            </w:r>
            <w:r>
              <w:rPr>
                <w:rFonts w:ascii="Times New Roman" w:hAnsi="Times New Roman"/>
                <w:sz w:val="18"/>
              </w:rPr>
              <w:t>August 2016</w:t>
            </w:r>
            <w:r w:rsidR="00870792">
              <w:rPr>
                <w:rFonts w:ascii="Times New Roman" w:hAnsi="Times New Roman"/>
                <w:sz w:val="18"/>
              </w:rPr>
              <w:t xml:space="preserve">; </w:t>
            </w:r>
            <w:r w:rsidR="0070055F">
              <w:rPr>
                <w:rFonts w:ascii="Times New Roman" w:hAnsi="Times New Roman"/>
                <w:sz w:val="18"/>
              </w:rPr>
              <w:t>results to be used as basis for legislative proposal.</w:t>
            </w:r>
          </w:p>
        </w:tc>
      </w:tr>
    </w:tbl>
    <w:p w:rsidR="00622B62" w:rsidRPr="009741A1" w:rsidRDefault="00622B62" w:rsidP="00CB772B">
      <w:pPr>
        <w:rPr>
          <w:rFonts w:ascii="Times New Roman" w:hAnsi="Times New Roman" w:cs="Times New Roman"/>
          <w:sz w:val="24"/>
          <w:szCs w:val="24"/>
        </w:rPr>
      </w:pPr>
    </w:p>
    <w:sectPr w:rsidR="00622B62" w:rsidRPr="009741A1" w:rsidSect="00131E6A">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EA1" w:rsidRDefault="00CE2EA1" w:rsidP="00E471DC">
      <w:pPr>
        <w:spacing w:after="0" w:line="240" w:lineRule="auto"/>
      </w:pPr>
      <w:r>
        <w:separator/>
      </w:r>
    </w:p>
  </w:endnote>
  <w:endnote w:type="continuationSeparator" w:id="0">
    <w:p w:rsidR="00CE2EA1" w:rsidRDefault="00CE2EA1" w:rsidP="00E471DC">
      <w:pPr>
        <w:spacing w:after="0" w:line="240" w:lineRule="auto"/>
      </w:pPr>
      <w:r>
        <w:continuationSeparator/>
      </w:r>
    </w:p>
  </w:endnote>
  <w:endnote w:type="continuationNotice" w:id="1">
    <w:p w:rsidR="00CE2EA1" w:rsidRDefault="00CE2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Pr="008A0F45" w:rsidRDefault="008A0F45" w:rsidP="008A0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Pr="008A0F45" w:rsidRDefault="008A0F45" w:rsidP="008A0F45">
    <w:pPr>
      <w:pStyle w:val="FooterCoverPage"/>
      <w:rPr>
        <w:rFonts w:ascii="Arial" w:hAnsi="Arial" w:cs="Arial"/>
        <w:b/>
        <w:sz w:val="48"/>
      </w:rPr>
    </w:pPr>
    <w:r w:rsidRPr="008A0F45">
      <w:rPr>
        <w:rFonts w:ascii="Arial" w:hAnsi="Arial" w:cs="Arial"/>
        <w:b/>
        <w:sz w:val="48"/>
      </w:rPr>
      <w:t>EN</w:t>
    </w:r>
    <w:r w:rsidRPr="008A0F45">
      <w:rPr>
        <w:rFonts w:ascii="Arial" w:hAnsi="Arial" w:cs="Arial"/>
        <w:b/>
        <w:sz w:val="48"/>
      </w:rPr>
      <w:tab/>
    </w:r>
    <w:r w:rsidRPr="008A0F45">
      <w:rPr>
        <w:rFonts w:ascii="Arial" w:hAnsi="Arial" w:cs="Arial"/>
        <w:b/>
        <w:sz w:val="48"/>
      </w:rPr>
      <w:tab/>
    </w:r>
    <w:fldSimple w:instr=" DOCVARIABLE &quot;LW_Confidence&quot; \* MERGEFORMAT ">
      <w:r>
        <w:t xml:space="preserve"> </w:t>
      </w:r>
    </w:fldSimple>
    <w:r w:rsidRPr="008A0F45">
      <w:tab/>
    </w:r>
    <w:r w:rsidRPr="008A0F4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Pr="008A0F45" w:rsidRDefault="008A0F45" w:rsidP="008A0F4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5F" w:rsidRDefault="007005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70826"/>
      <w:docPartObj>
        <w:docPartGallery w:val="Page Numbers (Bottom of Page)"/>
        <w:docPartUnique/>
      </w:docPartObj>
    </w:sdtPr>
    <w:sdtEndPr>
      <w:rPr>
        <w:rFonts w:ascii="Times New Roman" w:hAnsi="Times New Roman" w:cs="Times New Roman"/>
        <w:noProof/>
      </w:rPr>
    </w:sdtEndPr>
    <w:sdtContent>
      <w:p w:rsidR="0070055F" w:rsidRPr="00B66CD5" w:rsidRDefault="00EF5C24">
        <w:pPr>
          <w:pStyle w:val="Footer"/>
          <w:jc w:val="center"/>
          <w:rPr>
            <w:rFonts w:ascii="Times New Roman" w:hAnsi="Times New Roman" w:cs="Times New Roman"/>
          </w:rPr>
        </w:pPr>
        <w:r w:rsidRPr="00B66CD5">
          <w:rPr>
            <w:rFonts w:ascii="Times New Roman" w:hAnsi="Times New Roman" w:cs="Times New Roman"/>
          </w:rPr>
          <w:fldChar w:fldCharType="begin"/>
        </w:r>
        <w:r w:rsidR="0070055F" w:rsidRPr="00B66CD5">
          <w:rPr>
            <w:rFonts w:ascii="Times New Roman" w:hAnsi="Times New Roman" w:cs="Times New Roman"/>
          </w:rPr>
          <w:instrText xml:space="preserve"> PAGE   \* MERGEFORMAT </w:instrText>
        </w:r>
        <w:r w:rsidRPr="00B66CD5">
          <w:rPr>
            <w:rFonts w:ascii="Times New Roman" w:hAnsi="Times New Roman" w:cs="Times New Roman"/>
          </w:rPr>
          <w:fldChar w:fldCharType="separate"/>
        </w:r>
        <w:r w:rsidR="008A0F45">
          <w:rPr>
            <w:rFonts w:ascii="Times New Roman" w:hAnsi="Times New Roman" w:cs="Times New Roman"/>
            <w:noProof/>
          </w:rPr>
          <w:t>2</w:t>
        </w:r>
        <w:r w:rsidRPr="00B66CD5">
          <w:rPr>
            <w:rFonts w:ascii="Times New Roman" w:hAnsi="Times New Roman" w:cs="Times New Roman"/>
            <w:noProof/>
          </w:rPr>
          <w:fldChar w:fldCharType="end"/>
        </w:r>
      </w:p>
    </w:sdtContent>
  </w:sdt>
  <w:p w:rsidR="0070055F" w:rsidRDefault="0070055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5F" w:rsidRDefault="00700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EA1" w:rsidRDefault="00CE2EA1" w:rsidP="00E471DC">
      <w:pPr>
        <w:spacing w:after="0" w:line="240" w:lineRule="auto"/>
      </w:pPr>
      <w:r>
        <w:separator/>
      </w:r>
    </w:p>
  </w:footnote>
  <w:footnote w:type="continuationSeparator" w:id="0">
    <w:p w:rsidR="00CE2EA1" w:rsidRDefault="00CE2EA1" w:rsidP="00E471DC">
      <w:pPr>
        <w:spacing w:after="0" w:line="240" w:lineRule="auto"/>
      </w:pPr>
      <w:r>
        <w:continuationSeparator/>
      </w:r>
    </w:p>
  </w:footnote>
  <w:footnote w:type="continuationNotice" w:id="1">
    <w:p w:rsidR="00CE2EA1" w:rsidRDefault="00CE2EA1">
      <w:pPr>
        <w:spacing w:after="0" w:line="240" w:lineRule="auto"/>
      </w:pPr>
    </w:p>
  </w:footnote>
  <w:footnote w:id="2">
    <w:p w:rsidR="00B01E73" w:rsidRPr="00377BD9" w:rsidRDefault="00B01E73" w:rsidP="00167208">
      <w:pPr>
        <w:pStyle w:val="FootnoteText"/>
        <w:tabs>
          <w:tab w:val="left" w:pos="426"/>
        </w:tabs>
        <w:ind w:left="426" w:hanging="426"/>
        <w:jc w:val="both"/>
        <w:rPr>
          <w:rFonts w:ascii="Times New Roman" w:hAnsi="Times New Roman" w:cs="Times New Roman"/>
        </w:rPr>
      </w:pPr>
      <w:r w:rsidRPr="00377BD9">
        <w:rPr>
          <w:rStyle w:val="FootnoteReference"/>
          <w:rFonts w:ascii="Times New Roman" w:hAnsi="Times New Roman" w:cs="Times New Roman"/>
        </w:rPr>
        <w:footnoteRef/>
      </w:r>
      <w:r w:rsidRPr="00377BD9">
        <w:rPr>
          <w:rFonts w:ascii="Times New Roman" w:hAnsi="Times New Roman" w:cs="Times New Roman"/>
        </w:rPr>
        <w:t xml:space="preserve"> </w:t>
      </w:r>
      <w:r w:rsidR="00167208">
        <w:rPr>
          <w:rFonts w:ascii="Times New Roman" w:hAnsi="Times New Roman" w:cs="Times New Roman"/>
        </w:rPr>
        <w:tab/>
      </w:r>
      <w:r w:rsidRPr="00377BD9">
        <w:rPr>
          <w:rFonts w:ascii="Times New Roman" w:hAnsi="Times New Roman" w:cs="Times New Roman"/>
        </w:rPr>
        <w:t>Action Plan on Building a C</w:t>
      </w:r>
      <w:r w:rsidR="00D12B3F">
        <w:rPr>
          <w:rFonts w:ascii="Times New Roman" w:hAnsi="Times New Roman" w:cs="Times New Roman"/>
        </w:rPr>
        <w:t>apital Markets Union, COM(2015)468 final,</w:t>
      </w:r>
      <w:r w:rsidRPr="00377BD9">
        <w:rPr>
          <w:rFonts w:ascii="Times New Roman" w:hAnsi="Times New Roman" w:cs="Times New Roman"/>
        </w:rPr>
        <w:t xml:space="preserve"> 30.9.2015</w:t>
      </w:r>
      <w:r w:rsidR="00D21FF4">
        <w:rPr>
          <w:rFonts w:ascii="Times New Roman" w:hAnsi="Times New Roman" w:cs="Times New Roman"/>
        </w:rPr>
        <w:t xml:space="preserve"> </w:t>
      </w:r>
    </w:p>
  </w:footnote>
  <w:footnote w:id="3">
    <w:p w:rsidR="0070055F" w:rsidRPr="00CB772B" w:rsidRDefault="0070055F" w:rsidP="00167208">
      <w:pPr>
        <w:pStyle w:val="FootnoteText"/>
        <w:tabs>
          <w:tab w:val="left" w:pos="426"/>
        </w:tabs>
        <w:ind w:left="426" w:hanging="426"/>
        <w:jc w:val="both"/>
        <w:rPr>
          <w:rFonts w:ascii="Times New Roman" w:hAnsi="Times New Roman"/>
        </w:rPr>
      </w:pPr>
      <w:r w:rsidRPr="00CB772B">
        <w:rPr>
          <w:rStyle w:val="FootnoteReference"/>
          <w:rFonts w:ascii="Times New Roman" w:hAnsi="Times New Roman"/>
        </w:rPr>
        <w:footnoteRef/>
      </w:r>
      <w:r w:rsidRPr="00CB772B">
        <w:rPr>
          <w:rFonts w:ascii="Times New Roman" w:hAnsi="Times New Roman"/>
        </w:rPr>
        <w:t xml:space="preserve"> </w:t>
      </w:r>
      <w:r w:rsidR="00167208">
        <w:rPr>
          <w:rFonts w:ascii="Times New Roman" w:hAnsi="Times New Roman"/>
        </w:rPr>
        <w:tab/>
      </w:r>
      <w:r w:rsidRPr="00B01E73">
        <w:rPr>
          <w:rFonts w:ascii="Times New Roman" w:hAnsi="Times New Roman" w:cs="Times New Roman"/>
        </w:rPr>
        <w:t>Communication of 1 June 2016 on "Delivering the Single Market Agenda for Jobs, Growth and Investment", COM(2016)361</w:t>
      </w:r>
    </w:p>
  </w:footnote>
  <w:footnote w:id="4">
    <w:p w:rsidR="00B01E73" w:rsidRPr="00B01E73" w:rsidRDefault="00B01E73" w:rsidP="00167208">
      <w:pPr>
        <w:pStyle w:val="FootnoteText"/>
        <w:tabs>
          <w:tab w:val="left" w:pos="426"/>
        </w:tabs>
        <w:ind w:left="426" w:hanging="426"/>
        <w:jc w:val="both"/>
      </w:pPr>
      <w:r>
        <w:rPr>
          <w:rStyle w:val="FootnoteReference"/>
        </w:rPr>
        <w:footnoteRef/>
      </w:r>
      <w:r>
        <w:t xml:space="preserve"> </w:t>
      </w:r>
      <w:r w:rsidR="00167208">
        <w:tab/>
      </w:r>
      <w:r w:rsidRPr="00377BD9">
        <w:rPr>
          <w:rFonts w:ascii="Times New Roman" w:hAnsi="Times New Roman" w:cs="Times New Roman"/>
        </w:rPr>
        <w:t>European Council Conclusions, EUCO 26/16, 28 June 2016</w:t>
      </w:r>
    </w:p>
  </w:footnote>
  <w:footnote w:id="5">
    <w:p w:rsidR="00B01E73" w:rsidRPr="00B01E73" w:rsidRDefault="00B01E73" w:rsidP="00167208">
      <w:pPr>
        <w:pStyle w:val="FootnoteText"/>
        <w:tabs>
          <w:tab w:val="left" w:pos="426"/>
        </w:tabs>
        <w:ind w:left="426" w:hanging="426"/>
        <w:jc w:val="both"/>
      </w:pPr>
      <w:r>
        <w:rPr>
          <w:rStyle w:val="FootnoteReference"/>
        </w:rPr>
        <w:footnoteRef/>
      </w:r>
      <w:r>
        <w:t xml:space="preserve"> </w:t>
      </w:r>
      <w:r w:rsidR="00167208">
        <w:tab/>
      </w:r>
      <w:r w:rsidRPr="00377BD9">
        <w:rPr>
          <w:rFonts w:ascii="Times New Roman" w:hAnsi="Times New Roman" w:cs="Times New Roman"/>
        </w:rPr>
        <w:t>Proposal for a for a Regulation laying down common rules on securitisation and creating a European framework for simple, transparent and s</w:t>
      </w:r>
      <w:r w:rsidR="00D12B3F">
        <w:rPr>
          <w:rFonts w:ascii="Times New Roman" w:hAnsi="Times New Roman" w:cs="Times New Roman"/>
        </w:rPr>
        <w:t>tandardised securitisation, COM(2015)</w:t>
      </w:r>
      <w:r w:rsidRPr="00377BD9">
        <w:rPr>
          <w:rFonts w:ascii="Times New Roman" w:hAnsi="Times New Roman" w:cs="Times New Roman"/>
        </w:rPr>
        <w:t>472 final, 30.9.2015</w:t>
      </w:r>
      <w:r>
        <w:rPr>
          <w:rFonts w:ascii="Times New Roman" w:hAnsi="Times New Roman" w:cs="Times New Roman"/>
        </w:rPr>
        <w:t xml:space="preserve">; </w:t>
      </w:r>
      <w:r w:rsidRPr="00B01E73">
        <w:rPr>
          <w:rFonts w:ascii="Times New Roman" w:hAnsi="Times New Roman" w:cs="Times New Roman"/>
        </w:rPr>
        <w:t xml:space="preserve">Proposal for a Regulation amending Regulation (EU) No 575/2013 on prudential requirements for credit institutions </w:t>
      </w:r>
      <w:r w:rsidR="00D12B3F">
        <w:rPr>
          <w:rFonts w:ascii="Times New Roman" w:hAnsi="Times New Roman" w:cs="Times New Roman"/>
        </w:rPr>
        <w:t>and investment firms, COM(2015)</w:t>
      </w:r>
      <w:r w:rsidRPr="00B01E73">
        <w:rPr>
          <w:rFonts w:ascii="Times New Roman" w:hAnsi="Times New Roman" w:cs="Times New Roman"/>
        </w:rPr>
        <w:t>473 final, 30.09.2015</w:t>
      </w:r>
    </w:p>
  </w:footnote>
  <w:footnote w:id="6">
    <w:p w:rsidR="00B01E73" w:rsidRPr="00B01E73" w:rsidRDefault="00B01E73" w:rsidP="00817766">
      <w:pPr>
        <w:pStyle w:val="FootnoteText"/>
        <w:tabs>
          <w:tab w:val="left" w:pos="426"/>
        </w:tabs>
        <w:ind w:left="426" w:hanging="426"/>
        <w:jc w:val="both"/>
      </w:pPr>
      <w:r>
        <w:rPr>
          <w:rStyle w:val="FootnoteReference"/>
        </w:rPr>
        <w:footnoteRef/>
      </w:r>
      <w:r>
        <w:t xml:space="preserve"> </w:t>
      </w:r>
      <w:r w:rsidR="00817766">
        <w:tab/>
      </w:r>
      <w:r w:rsidRPr="00377BD9">
        <w:rPr>
          <w:rFonts w:ascii="Times New Roman" w:hAnsi="Times New Roman" w:cs="Times New Roman"/>
        </w:rPr>
        <w:t xml:space="preserve">Proposal for a Regulation on the prospectus to be published when securities are offered to the public or admitted to </w:t>
      </w:r>
      <w:r w:rsidR="00D12B3F">
        <w:rPr>
          <w:rFonts w:ascii="Times New Roman" w:hAnsi="Times New Roman" w:cs="Times New Roman"/>
        </w:rPr>
        <w:t>trading, COM(2015)</w:t>
      </w:r>
      <w:r w:rsidRPr="00377BD9">
        <w:rPr>
          <w:rFonts w:ascii="Times New Roman" w:hAnsi="Times New Roman" w:cs="Times New Roman"/>
        </w:rPr>
        <w:t>583 final, 30.11.2015</w:t>
      </w:r>
    </w:p>
  </w:footnote>
  <w:footnote w:id="7">
    <w:p w:rsidR="00B01E73" w:rsidRPr="00B01E73" w:rsidRDefault="00B01E73" w:rsidP="00817766">
      <w:pPr>
        <w:pStyle w:val="FootnoteText"/>
        <w:tabs>
          <w:tab w:val="left" w:pos="426"/>
        </w:tabs>
        <w:ind w:left="426" w:hanging="426"/>
        <w:jc w:val="both"/>
      </w:pPr>
      <w:r w:rsidRPr="00377BD9">
        <w:rPr>
          <w:rStyle w:val="FootnoteReference"/>
          <w:rFonts w:ascii="Times New Roman" w:hAnsi="Times New Roman" w:cs="Times New Roman"/>
        </w:rPr>
        <w:footnoteRef/>
      </w:r>
      <w:r w:rsidRPr="00377BD9">
        <w:rPr>
          <w:rFonts w:ascii="Times New Roman" w:hAnsi="Times New Roman" w:cs="Times New Roman"/>
        </w:rPr>
        <w:t xml:space="preserve"> </w:t>
      </w:r>
      <w:r w:rsidR="00817766">
        <w:rPr>
          <w:rFonts w:ascii="Times New Roman" w:hAnsi="Times New Roman" w:cs="Times New Roman"/>
        </w:rPr>
        <w:tab/>
      </w:r>
      <w:r w:rsidRPr="00377BD9">
        <w:rPr>
          <w:rFonts w:ascii="Times New Roman" w:hAnsi="Times New Roman" w:cs="Times New Roman"/>
        </w:rPr>
        <w:t>Proposal for a Regulation on the establishment of the Structural Reform Support Programme for the</w:t>
      </w:r>
      <w:r w:rsidR="00D12B3F">
        <w:rPr>
          <w:rFonts w:ascii="Times New Roman" w:hAnsi="Times New Roman" w:cs="Times New Roman"/>
        </w:rPr>
        <w:t xml:space="preserve"> period 2017 to 2020, COM(2015)</w:t>
      </w:r>
      <w:r w:rsidRPr="00377BD9">
        <w:rPr>
          <w:rFonts w:ascii="Times New Roman" w:hAnsi="Times New Roman" w:cs="Times New Roman"/>
        </w:rPr>
        <w:t>701 final, 26.11.2015</w:t>
      </w:r>
    </w:p>
  </w:footnote>
  <w:footnote w:id="8">
    <w:p w:rsidR="0070055F" w:rsidRPr="00377BD9" w:rsidRDefault="0070055F" w:rsidP="008E5E1B">
      <w:pPr>
        <w:pStyle w:val="FootnoteText"/>
        <w:tabs>
          <w:tab w:val="left" w:pos="426"/>
        </w:tabs>
        <w:ind w:left="426" w:hanging="426"/>
        <w:jc w:val="both"/>
        <w:rPr>
          <w:rFonts w:ascii="Times New Roman" w:hAnsi="Times New Roman" w:cs="Times New Roman"/>
        </w:rPr>
      </w:pPr>
      <w:r w:rsidRPr="00377BD9">
        <w:rPr>
          <w:rStyle w:val="FootnoteReference"/>
          <w:rFonts w:ascii="Times New Roman" w:hAnsi="Times New Roman" w:cs="Times New Roman"/>
        </w:rPr>
        <w:footnoteRef/>
      </w:r>
      <w:r w:rsidRPr="00377BD9">
        <w:rPr>
          <w:rFonts w:ascii="Times New Roman" w:hAnsi="Times New Roman" w:cs="Times New Roman"/>
        </w:rPr>
        <w:t xml:space="preserve"> </w:t>
      </w:r>
      <w:r w:rsidR="008E5E1B">
        <w:rPr>
          <w:rFonts w:ascii="Times New Roman" w:hAnsi="Times New Roman" w:cs="Times New Roman"/>
        </w:rPr>
        <w:tab/>
      </w:r>
      <w:r w:rsidRPr="00377BD9">
        <w:rPr>
          <w:rFonts w:ascii="Times New Roman" w:hAnsi="Times New Roman" w:cs="Times New Roman"/>
        </w:rPr>
        <w:t xml:space="preserve">The proposal for the Common Corporate Tax Base will foster convergence in the definition of national tax bases. This will be accompanied by a separate proposal (CCCTB) to establish a common approach to the "consolidation" of corporate tax owed by firms operating across </w:t>
      </w:r>
      <w:r w:rsidR="00CA5149">
        <w:rPr>
          <w:rFonts w:ascii="Times New Roman" w:hAnsi="Times New Roman" w:cs="Times New Roman"/>
        </w:rPr>
        <w:t xml:space="preserve">two </w:t>
      </w:r>
      <w:r w:rsidRPr="00377BD9">
        <w:rPr>
          <w:rFonts w:ascii="Times New Roman" w:hAnsi="Times New Roman" w:cs="Times New Roman"/>
        </w:rPr>
        <w:t>or more Member States.</w:t>
      </w:r>
    </w:p>
  </w:footnote>
  <w:footnote w:id="9">
    <w:p w:rsidR="0070055F" w:rsidRPr="00B01E73" w:rsidRDefault="0070055F" w:rsidP="008E5E1B">
      <w:pPr>
        <w:pStyle w:val="FootnoteText"/>
        <w:tabs>
          <w:tab w:val="left" w:pos="426"/>
        </w:tabs>
        <w:ind w:left="426" w:hanging="426"/>
        <w:jc w:val="both"/>
        <w:rPr>
          <w:rFonts w:ascii="Times New Roman" w:hAnsi="Times New Roman" w:cs="Times New Roman"/>
        </w:rPr>
      </w:pPr>
      <w:r w:rsidRPr="00CB772B">
        <w:rPr>
          <w:rStyle w:val="FootnoteReference"/>
          <w:rFonts w:ascii="Times New Roman" w:hAnsi="Times New Roman"/>
        </w:rPr>
        <w:footnoteRef/>
      </w:r>
      <w:r w:rsidRPr="00CB772B">
        <w:rPr>
          <w:rFonts w:ascii="Times New Roman" w:hAnsi="Times New Roman"/>
        </w:rPr>
        <w:t xml:space="preserve"> </w:t>
      </w:r>
      <w:r w:rsidR="008E5E1B">
        <w:rPr>
          <w:rFonts w:ascii="Times New Roman" w:hAnsi="Times New Roman"/>
        </w:rPr>
        <w:tab/>
      </w:r>
      <w:r w:rsidRPr="00B01E73">
        <w:rPr>
          <w:rFonts w:ascii="Times New Roman" w:hAnsi="Times New Roman" w:cs="Times New Roman"/>
        </w:rPr>
        <w:t>Personal pension products are individual retirement related savings products which are complementary to, but separate from</w:t>
      </w:r>
      <w:r w:rsidR="00CA5149">
        <w:rPr>
          <w:rFonts w:ascii="Times New Roman" w:hAnsi="Times New Roman" w:cs="Times New Roman"/>
        </w:rPr>
        <w:t xml:space="preserve">, </w:t>
      </w:r>
      <w:r w:rsidRPr="00B01E73">
        <w:rPr>
          <w:rFonts w:ascii="Times New Roman" w:hAnsi="Times New Roman" w:cs="Times New Roman"/>
        </w:rPr>
        <w:t>state or occupational pension schemes. Efforts to develop these markets will complement pension provision through state or occupational pension schemes.</w:t>
      </w:r>
    </w:p>
  </w:footnote>
  <w:footnote w:id="10">
    <w:p w:rsidR="00B01E73" w:rsidRPr="00B01E73" w:rsidRDefault="00B01E73" w:rsidP="008E5E1B">
      <w:pPr>
        <w:pStyle w:val="FootnoteText"/>
        <w:tabs>
          <w:tab w:val="left" w:pos="426"/>
        </w:tabs>
        <w:ind w:left="426" w:hanging="426"/>
        <w:jc w:val="both"/>
      </w:pPr>
      <w:r>
        <w:rPr>
          <w:rStyle w:val="FootnoteReference"/>
        </w:rPr>
        <w:footnoteRef/>
      </w:r>
      <w:r>
        <w:t xml:space="preserve"> </w:t>
      </w:r>
      <w:r w:rsidR="008E5E1B">
        <w:tab/>
      </w:r>
      <w:r w:rsidRPr="00377BD9">
        <w:rPr>
          <w:rFonts w:ascii="Times New Roman" w:hAnsi="Times New Roman" w:cs="Times New Roman"/>
        </w:rPr>
        <w:t xml:space="preserve">Consultation on Capital Markets Union: Action on a potential EU personal pension framework, 27.7.2016 </w:t>
      </w:r>
    </w:p>
  </w:footnote>
  <w:footnote w:id="11">
    <w:p w:rsidR="0070055F" w:rsidRPr="00377BD9" w:rsidRDefault="0070055F" w:rsidP="00E46CAB">
      <w:pPr>
        <w:pStyle w:val="FootnoteText"/>
        <w:tabs>
          <w:tab w:val="left" w:pos="426"/>
        </w:tabs>
        <w:ind w:left="426" w:hanging="426"/>
        <w:jc w:val="both"/>
        <w:rPr>
          <w:rFonts w:ascii="Times New Roman" w:hAnsi="Times New Roman" w:cs="Times New Roman"/>
        </w:rPr>
      </w:pPr>
      <w:r w:rsidRPr="00377BD9">
        <w:rPr>
          <w:rStyle w:val="FootnoteReference"/>
          <w:rFonts w:ascii="Times New Roman" w:hAnsi="Times New Roman" w:cs="Times New Roman"/>
        </w:rPr>
        <w:footnoteRef/>
      </w:r>
      <w:r w:rsidRPr="00377BD9">
        <w:rPr>
          <w:rFonts w:ascii="Times New Roman" w:hAnsi="Times New Roman" w:cs="Times New Roman"/>
        </w:rPr>
        <w:t xml:space="preserve"> </w:t>
      </w:r>
      <w:r w:rsidR="00E46CAB">
        <w:rPr>
          <w:rFonts w:ascii="Times New Roman" w:hAnsi="Times New Roman" w:cs="Times New Roman"/>
        </w:rPr>
        <w:tab/>
      </w:r>
      <w:r w:rsidRPr="00377BD9">
        <w:rPr>
          <w:rFonts w:ascii="Times New Roman" w:hAnsi="Times New Roman" w:cs="Times New Roman"/>
        </w:rPr>
        <w:t>Along with EU commitments under the 2030 Agenda for Sustainable Development, the EU 2020 and 2030 climate and energy targets</w:t>
      </w:r>
    </w:p>
  </w:footnote>
  <w:footnote w:id="12">
    <w:p w:rsidR="00B01E73" w:rsidRPr="00377BD9" w:rsidRDefault="00B01E73" w:rsidP="00E46CAB">
      <w:pPr>
        <w:pStyle w:val="FootnoteText"/>
        <w:tabs>
          <w:tab w:val="left" w:pos="426"/>
        </w:tabs>
        <w:ind w:left="426" w:hanging="426"/>
        <w:jc w:val="both"/>
        <w:rPr>
          <w:rFonts w:ascii="Times New Roman" w:hAnsi="Times New Roman" w:cs="Times New Roman"/>
        </w:rPr>
      </w:pPr>
      <w:r w:rsidRPr="00377BD9">
        <w:rPr>
          <w:rStyle w:val="FootnoteReference"/>
          <w:rFonts w:ascii="Times New Roman" w:hAnsi="Times New Roman" w:cs="Times New Roman"/>
        </w:rPr>
        <w:footnoteRef/>
      </w:r>
      <w:r w:rsidRPr="00377BD9">
        <w:rPr>
          <w:rFonts w:ascii="Times New Roman" w:hAnsi="Times New Roman" w:cs="Times New Roman"/>
        </w:rPr>
        <w:t xml:space="preserve"> </w:t>
      </w:r>
      <w:r w:rsidR="00E46CAB">
        <w:rPr>
          <w:rFonts w:ascii="Times New Roman" w:hAnsi="Times New Roman" w:cs="Times New Roman"/>
        </w:rPr>
        <w:tab/>
      </w:r>
      <w:r w:rsidRPr="00377BD9">
        <w:rPr>
          <w:rFonts w:ascii="Times New Roman" w:hAnsi="Times New Roman" w:cs="Times New Roman"/>
        </w:rPr>
        <w:t>Communication on Closing the loop - An EU action pla</w:t>
      </w:r>
      <w:r w:rsidR="00D12B3F">
        <w:rPr>
          <w:rFonts w:ascii="Times New Roman" w:hAnsi="Times New Roman" w:cs="Times New Roman"/>
        </w:rPr>
        <w:t>n for the Circular Economy, COM(2015)</w:t>
      </w:r>
      <w:r w:rsidRPr="00377BD9">
        <w:rPr>
          <w:rFonts w:ascii="Times New Roman" w:hAnsi="Times New Roman" w:cs="Times New Roman"/>
        </w:rPr>
        <w:t>614 final, 2.12.2015</w:t>
      </w:r>
    </w:p>
  </w:footnote>
  <w:footnote w:id="13">
    <w:p w:rsidR="00C1122B" w:rsidRDefault="00C1122B" w:rsidP="00C1122B">
      <w:pPr>
        <w:tabs>
          <w:tab w:val="left" w:pos="426"/>
        </w:tabs>
        <w:spacing w:after="0" w:line="240" w:lineRule="auto"/>
        <w:ind w:left="426" w:hanging="426"/>
        <w:jc w:val="both"/>
        <w:rPr>
          <w:i/>
          <w:iCs/>
          <w:color w:val="1F497D"/>
        </w:rPr>
      </w:pPr>
      <w:r>
        <w:rPr>
          <w:rStyle w:val="FootnoteReference"/>
        </w:rPr>
        <w:footnoteRef/>
      </w:r>
      <w:r>
        <w:t xml:space="preserve"> </w:t>
      </w:r>
      <w:r>
        <w:tab/>
      </w:r>
      <w:r w:rsidRPr="008A112F">
        <w:rPr>
          <w:rFonts w:ascii="Times New Roman" w:hAnsi="Times New Roman" w:cs="Times New Roman"/>
          <w:sz w:val="20"/>
          <w:szCs w:val="20"/>
        </w:rPr>
        <w:t>The G20 Summit Communiqué from the Hangzhou summit (04/05 September) welcomes the G20 Climate Finance Study Group report on "Promoting Efficient and Transparent Provision and Mobilization of Climate Finance to Enhance Ambition of Mitigation and Adaptation Actions".</w:t>
      </w:r>
    </w:p>
    <w:p w:rsidR="00C1122B" w:rsidRDefault="00C1122B" w:rsidP="00C1122B">
      <w:pPr>
        <w:pStyle w:val="FootnoteText"/>
      </w:pPr>
    </w:p>
  </w:footnote>
  <w:footnote w:id="14">
    <w:p w:rsidR="00D12B3F" w:rsidRPr="00377BD9" w:rsidRDefault="00B01E73" w:rsidP="00D40F1C">
      <w:pPr>
        <w:pStyle w:val="FootnoteText"/>
        <w:tabs>
          <w:tab w:val="left" w:pos="426"/>
        </w:tabs>
        <w:ind w:left="426" w:hanging="426"/>
        <w:jc w:val="both"/>
        <w:rPr>
          <w:rFonts w:ascii="Times New Roman" w:hAnsi="Times New Roman" w:cs="Times New Roman"/>
        </w:rPr>
      </w:pPr>
      <w:r>
        <w:rPr>
          <w:rStyle w:val="FootnoteReference"/>
        </w:rPr>
        <w:footnoteRef/>
      </w:r>
      <w:r>
        <w:t xml:space="preserve"> </w:t>
      </w:r>
      <w:r w:rsidR="00D40F1C">
        <w:tab/>
      </w:r>
      <w:r w:rsidRPr="00377BD9">
        <w:rPr>
          <w:rFonts w:ascii="Times New Roman" w:hAnsi="Times New Roman" w:cs="Times New Roman"/>
        </w:rPr>
        <w:t xml:space="preserve">Consultation on CMU </w:t>
      </w:r>
      <w:r w:rsidR="002B4854">
        <w:rPr>
          <w:rFonts w:ascii="Times New Roman" w:hAnsi="Times New Roman" w:cs="Times New Roman"/>
        </w:rPr>
        <w:t>a</w:t>
      </w:r>
      <w:r w:rsidRPr="00377BD9">
        <w:rPr>
          <w:rFonts w:ascii="Times New Roman" w:hAnsi="Times New Roman" w:cs="Times New Roman"/>
        </w:rPr>
        <w:t>ction</w:t>
      </w:r>
      <w:r w:rsidR="002B4854">
        <w:rPr>
          <w:rFonts w:ascii="Times New Roman" w:hAnsi="Times New Roman" w:cs="Times New Roman"/>
        </w:rPr>
        <w:t xml:space="preserve"> on </w:t>
      </w:r>
      <w:r w:rsidRPr="00377BD9">
        <w:rPr>
          <w:rFonts w:ascii="Times New Roman" w:hAnsi="Times New Roman" w:cs="Times New Roman"/>
        </w:rPr>
        <w:t>cross-border distributi</w:t>
      </w:r>
      <w:r w:rsidRPr="00B01E73">
        <w:rPr>
          <w:rFonts w:ascii="Times New Roman" w:hAnsi="Times New Roman" w:cs="Times New Roman"/>
        </w:rPr>
        <w:t xml:space="preserve">on of funds (UCITS, </w:t>
      </w:r>
      <w:r w:rsidRPr="00377BD9">
        <w:rPr>
          <w:rFonts w:ascii="Times New Roman" w:hAnsi="Times New Roman" w:cs="Times New Roman"/>
        </w:rPr>
        <w:t>AIF, ELTIF, E</w:t>
      </w:r>
      <w:r w:rsidR="002B4854">
        <w:rPr>
          <w:rFonts w:ascii="Times New Roman" w:hAnsi="Times New Roman" w:cs="Times New Roman"/>
        </w:rPr>
        <w:t>u</w:t>
      </w:r>
      <w:r w:rsidRPr="00377BD9">
        <w:rPr>
          <w:rFonts w:ascii="Times New Roman" w:hAnsi="Times New Roman" w:cs="Times New Roman"/>
        </w:rPr>
        <w:t xml:space="preserve">VECA </w:t>
      </w:r>
      <w:r w:rsidR="002B4854">
        <w:rPr>
          <w:rFonts w:ascii="Times New Roman" w:hAnsi="Times New Roman" w:cs="Times New Roman"/>
        </w:rPr>
        <w:t>and EuSEF) across the EU, 2.6.2016</w:t>
      </w:r>
    </w:p>
  </w:footnote>
  <w:footnote w:id="15">
    <w:p w:rsidR="0070055F" w:rsidRPr="00CB772B" w:rsidRDefault="0070055F" w:rsidP="00D40F1C">
      <w:pPr>
        <w:pStyle w:val="FootnoteText"/>
        <w:tabs>
          <w:tab w:val="left" w:pos="426"/>
        </w:tabs>
        <w:ind w:left="426" w:hanging="426"/>
        <w:jc w:val="both"/>
        <w:rPr>
          <w:rFonts w:ascii="Times New Roman" w:hAnsi="Times New Roman"/>
        </w:rPr>
      </w:pPr>
      <w:r w:rsidRPr="00CB772B">
        <w:rPr>
          <w:rStyle w:val="FootnoteReference"/>
          <w:rFonts w:ascii="Times New Roman" w:hAnsi="Times New Roman"/>
        </w:rPr>
        <w:footnoteRef/>
      </w:r>
      <w:r w:rsidRPr="00CB772B">
        <w:rPr>
          <w:rFonts w:ascii="Times New Roman" w:hAnsi="Times New Roman"/>
        </w:rPr>
        <w:t xml:space="preserve"> </w:t>
      </w:r>
      <w:r w:rsidR="00D40F1C">
        <w:rPr>
          <w:rFonts w:ascii="Times New Roman" w:hAnsi="Times New Roman"/>
        </w:rPr>
        <w:tab/>
      </w:r>
      <w:r w:rsidRPr="00B01E73">
        <w:rPr>
          <w:rFonts w:ascii="Times New Roman" w:hAnsi="Times New Roman" w:cs="Times New Roman"/>
        </w:rPr>
        <w:t>The First Report of the Giovannini Group (2001): "Cross-border clearing and settlement arrangements in the European Union" identified 15 barriers that were preventing efficient cross-border clearing and settlement of securities in the EU.</w:t>
      </w:r>
    </w:p>
  </w:footnote>
  <w:footnote w:id="16">
    <w:p w:rsidR="00B01E73" w:rsidRPr="00377BD9" w:rsidRDefault="00B01E73" w:rsidP="00D40F1C">
      <w:pPr>
        <w:pStyle w:val="FootnoteText"/>
        <w:tabs>
          <w:tab w:val="left" w:pos="426"/>
        </w:tabs>
        <w:ind w:left="426" w:hanging="426"/>
        <w:rPr>
          <w:rFonts w:ascii="Times New Roman" w:hAnsi="Times New Roman" w:cs="Times New Roman"/>
        </w:rPr>
      </w:pPr>
      <w:r w:rsidRPr="00377BD9">
        <w:rPr>
          <w:rStyle w:val="FootnoteReference"/>
          <w:rFonts w:ascii="Times New Roman" w:hAnsi="Times New Roman" w:cs="Times New Roman"/>
        </w:rPr>
        <w:footnoteRef/>
      </w:r>
      <w:r w:rsidRPr="00377BD9">
        <w:rPr>
          <w:rFonts w:ascii="Times New Roman" w:hAnsi="Times New Roman" w:cs="Times New Roman"/>
        </w:rPr>
        <w:t xml:space="preserve"> </w:t>
      </w:r>
      <w:r w:rsidR="00D40F1C">
        <w:rPr>
          <w:rFonts w:ascii="Times New Roman" w:hAnsi="Times New Roman" w:cs="Times New Roman"/>
        </w:rPr>
        <w:tab/>
      </w:r>
      <w:r w:rsidRPr="00377BD9">
        <w:rPr>
          <w:rFonts w:ascii="Times New Roman" w:hAnsi="Times New Roman" w:cs="Times New Roman"/>
        </w:rPr>
        <w:t xml:space="preserve">ESMA Supervisory Convergence Work Programme 2016, ESMA/2016/203, 11.02.2016  </w:t>
      </w:r>
    </w:p>
  </w:footnote>
  <w:footnote w:id="17">
    <w:p w:rsidR="002B3F40" w:rsidRDefault="002B3F40" w:rsidP="004B3924">
      <w:pPr>
        <w:pStyle w:val="FootnoteText"/>
        <w:tabs>
          <w:tab w:val="left" w:pos="426"/>
        </w:tabs>
        <w:ind w:left="426" w:hanging="426"/>
        <w:rPr>
          <w:rFonts w:ascii="Times New Roman" w:hAnsi="Times New Roman" w:cs="Times New Roman"/>
        </w:rPr>
      </w:pPr>
      <w:r w:rsidRPr="00377BD9">
        <w:rPr>
          <w:rStyle w:val="FootnoteReference"/>
          <w:rFonts w:ascii="Times New Roman" w:hAnsi="Times New Roman" w:cs="Times New Roman"/>
        </w:rPr>
        <w:footnoteRef/>
      </w:r>
      <w:r w:rsidRPr="00377BD9">
        <w:rPr>
          <w:rFonts w:ascii="Times New Roman" w:hAnsi="Times New Roman" w:cs="Times New Roman"/>
        </w:rPr>
        <w:t xml:space="preserve"> </w:t>
      </w:r>
      <w:r w:rsidR="004B3924">
        <w:rPr>
          <w:rFonts w:ascii="Times New Roman" w:hAnsi="Times New Roman" w:cs="Times New Roman"/>
        </w:rPr>
        <w:tab/>
      </w:r>
      <w:r w:rsidRPr="00377BD9">
        <w:rPr>
          <w:rFonts w:ascii="Times New Roman" w:hAnsi="Times New Roman" w:cs="Times New Roman"/>
        </w:rPr>
        <w:t xml:space="preserve">Consultation </w:t>
      </w:r>
      <w:r w:rsidR="004B3924">
        <w:rPr>
          <w:rFonts w:ascii="Times New Roman" w:hAnsi="Times New Roman" w:cs="Times New Roman"/>
        </w:rPr>
        <w:t>on the r</w:t>
      </w:r>
      <w:r w:rsidRPr="00377BD9">
        <w:rPr>
          <w:rFonts w:ascii="Times New Roman" w:hAnsi="Times New Roman" w:cs="Times New Roman"/>
        </w:rPr>
        <w:t>eview of the EU macro-pruden</w:t>
      </w:r>
      <w:r w:rsidR="004B3924">
        <w:rPr>
          <w:rFonts w:ascii="Times New Roman" w:hAnsi="Times New Roman" w:cs="Times New Roman"/>
        </w:rPr>
        <w:t>tial policy framework, 1.8.2016</w:t>
      </w:r>
      <w:r w:rsidRPr="00377BD9">
        <w:rPr>
          <w:rFonts w:ascii="Times New Roman" w:hAnsi="Times New Roman" w:cs="Times New Roman"/>
        </w:rPr>
        <w:t xml:space="preserve"> </w:t>
      </w:r>
    </w:p>
    <w:p w:rsidR="00D12B3F" w:rsidRPr="00377BD9" w:rsidRDefault="00D12B3F">
      <w:pPr>
        <w:pStyle w:val="FootnoteText"/>
        <w:rPr>
          <w:rFonts w:ascii="Times New Roman" w:hAnsi="Times New Roman" w:cs="Times New Roman"/>
        </w:rPr>
      </w:pPr>
    </w:p>
  </w:footnote>
  <w:footnote w:id="18">
    <w:p w:rsidR="003905D2" w:rsidRDefault="003905D2" w:rsidP="003F2307">
      <w:pPr>
        <w:pStyle w:val="FootnoteText"/>
        <w:tabs>
          <w:tab w:val="left" w:pos="426"/>
        </w:tabs>
        <w:ind w:left="426" w:hanging="426"/>
        <w:rPr>
          <w:rFonts w:ascii="Times New Roman" w:hAnsi="Times New Roman" w:cs="Times New Roman"/>
        </w:rPr>
      </w:pPr>
      <w:r w:rsidRPr="00377BD9">
        <w:rPr>
          <w:rStyle w:val="FootnoteReference"/>
          <w:rFonts w:ascii="Times New Roman" w:hAnsi="Times New Roman" w:cs="Times New Roman"/>
        </w:rPr>
        <w:footnoteRef/>
      </w:r>
      <w:r w:rsidRPr="00377BD9">
        <w:rPr>
          <w:rFonts w:ascii="Times New Roman" w:hAnsi="Times New Roman" w:cs="Times New Roman"/>
        </w:rPr>
        <w:t xml:space="preserve"> </w:t>
      </w:r>
      <w:r w:rsidRPr="00377BD9">
        <w:rPr>
          <w:rFonts w:ascii="Times New Roman" w:hAnsi="Times New Roman" w:cs="Times New Roman"/>
        </w:rPr>
        <w:tab/>
      </w:r>
      <w:r w:rsidR="003F2307">
        <w:rPr>
          <w:rFonts w:ascii="Times New Roman" w:hAnsi="Times New Roman" w:cs="Times New Roman"/>
        </w:rPr>
        <w:t>Commission Staff Working Document "</w:t>
      </w:r>
      <w:r w:rsidR="003F2307" w:rsidRPr="003F2307">
        <w:rPr>
          <w:rFonts w:ascii="Times New Roman" w:hAnsi="Times New Roman" w:cs="Times New Roman"/>
        </w:rPr>
        <w:t>Capital Markets Union: First Status Report</w:t>
      </w:r>
      <w:r w:rsidR="003F2307">
        <w:rPr>
          <w:rFonts w:ascii="Times New Roman" w:hAnsi="Times New Roman" w:cs="Times New Roman"/>
        </w:rPr>
        <w:t xml:space="preserve">", </w:t>
      </w:r>
      <w:r w:rsidR="008F304E">
        <w:rPr>
          <w:rFonts w:ascii="Times New Roman" w:hAnsi="Times New Roman" w:cs="Times New Roman"/>
        </w:rPr>
        <w:t>SWD(2016)147 final</w:t>
      </w:r>
      <w:r w:rsidR="003F2307">
        <w:rPr>
          <w:rFonts w:ascii="Times New Roman" w:hAnsi="Times New Roman" w:cs="Times New Roman"/>
        </w:rPr>
        <w:t xml:space="preserve">, </w:t>
      </w:r>
      <w:r w:rsidR="003F2307" w:rsidRPr="003F2307">
        <w:rPr>
          <w:rFonts w:ascii="Times New Roman" w:hAnsi="Times New Roman" w:cs="Times New Roman"/>
        </w:rPr>
        <w:t>25.4.2016</w:t>
      </w:r>
      <w:r w:rsidR="003F2307">
        <w:rPr>
          <w:rFonts w:ascii="Times New Roman" w:hAnsi="Times New Roman" w:cs="Times New Roman"/>
        </w:rPr>
        <w:t xml:space="preserve">, available at </w:t>
      </w:r>
      <w:hyperlink r:id="rId1" w:history="1">
        <w:r w:rsidR="00D12B3F" w:rsidRPr="002B3770">
          <w:rPr>
            <w:rStyle w:val="Hyperlink"/>
            <w:rFonts w:ascii="Times New Roman" w:hAnsi="Times New Roman" w:cs="Times New Roman"/>
          </w:rPr>
          <w:t>http://ec.europa.eu/finance/capital-markets-union/docs/cmu-first-status-report_en.pdf</w:t>
        </w:r>
      </w:hyperlink>
    </w:p>
    <w:p w:rsidR="00D12B3F" w:rsidRPr="00377BD9" w:rsidRDefault="00D12B3F">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Pr="008A0F45" w:rsidRDefault="008A0F45" w:rsidP="008A0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Pr="008A0F45" w:rsidRDefault="008A0F45" w:rsidP="008A0F4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Pr="008A0F45" w:rsidRDefault="008A0F45" w:rsidP="008A0F4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5F" w:rsidRDefault="007005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5F" w:rsidRDefault="007005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5F" w:rsidRDefault="00700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4D1A"/>
    <w:multiLevelType w:val="hybridMultilevel"/>
    <w:tmpl w:val="452AE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A7DEAF3517845A0962D79A6AE937029"/>
    <w:docVar w:name="LW_CROSSREFERENCE" w:val="&lt;UNUSED&gt;"/>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6) 601 final"/>
    <w:docVar w:name="LW_REF.INTERNE" w:val="&lt;UNUSED&gt;"/>
    <w:docVar w:name="LW_SOUS.TITRE.OBJ.CP" w:val="&lt;UNUSED&gt;"/>
    <w:docVar w:name="LW_SUPERTITRE" w:val="&lt;UNUSED&gt;"/>
    <w:docVar w:name="LW_TITRE.OBJ.CP" w:val="Capital Markets Union - Accelerating Reform"/>
    <w:docVar w:name="LW_TYPE.DOC.CP" w:val="COMMUNICATION FROM THE COMMISSION"/>
    <w:docVar w:name="LW_TYPE.DOC.CP.USERTEXT" w:val="TO THE EUROPEAN PARLIAMENT, THE COUNCIL, THE EUROPEAN CENTRAL BANK, THE EUROPEAN ECONOMIC AND SOCIAL COMMITTEE AND THE COMMITTEE OF THE REGIONS"/>
  </w:docVars>
  <w:rsids>
    <w:rsidRoot w:val="006F3162"/>
    <w:rsid w:val="00005A3D"/>
    <w:rsid w:val="00005DAC"/>
    <w:rsid w:val="00006E4C"/>
    <w:rsid w:val="0001210E"/>
    <w:rsid w:val="000134A4"/>
    <w:rsid w:val="000135EB"/>
    <w:rsid w:val="00021E58"/>
    <w:rsid w:val="00023FCD"/>
    <w:rsid w:val="00024969"/>
    <w:rsid w:val="00030B97"/>
    <w:rsid w:val="000417AC"/>
    <w:rsid w:val="00041BEA"/>
    <w:rsid w:val="00041C42"/>
    <w:rsid w:val="00047828"/>
    <w:rsid w:val="00050E85"/>
    <w:rsid w:val="000528B1"/>
    <w:rsid w:val="0005426E"/>
    <w:rsid w:val="00055118"/>
    <w:rsid w:val="000570C9"/>
    <w:rsid w:val="00063F5E"/>
    <w:rsid w:val="00070290"/>
    <w:rsid w:val="0007293F"/>
    <w:rsid w:val="00080FB7"/>
    <w:rsid w:val="00081B30"/>
    <w:rsid w:val="00085450"/>
    <w:rsid w:val="00085D71"/>
    <w:rsid w:val="00095F7B"/>
    <w:rsid w:val="000B0392"/>
    <w:rsid w:val="000B1239"/>
    <w:rsid w:val="000B1673"/>
    <w:rsid w:val="000D3DA7"/>
    <w:rsid w:val="000F0934"/>
    <w:rsid w:val="000F2D91"/>
    <w:rsid w:val="000F5DF3"/>
    <w:rsid w:val="000F73A2"/>
    <w:rsid w:val="000F75BC"/>
    <w:rsid w:val="00102EF6"/>
    <w:rsid w:val="001040B2"/>
    <w:rsid w:val="00112019"/>
    <w:rsid w:val="0012092D"/>
    <w:rsid w:val="00125506"/>
    <w:rsid w:val="00131E6A"/>
    <w:rsid w:val="001345B8"/>
    <w:rsid w:val="001422D5"/>
    <w:rsid w:val="001476C9"/>
    <w:rsid w:val="00156289"/>
    <w:rsid w:val="00162670"/>
    <w:rsid w:val="00167208"/>
    <w:rsid w:val="00174966"/>
    <w:rsid w:val="00177015"/>
    <w:rsid w:val="0019400F"/>
    <w:rsid w:val="00197521"/>
    <w:rsid w:val="001A07C5"/>
    <w:rsid w:val="001A2393"/>
    <w:rsid w:val="001A3288"/>
    <w:rsid w:val="001A4BF9"/>
    <w:rsid w:val="001B6B0B"/>
    <w:rsid w:val="001C1043"/>
    <w:rsid w:val="001D12DF"/>
    <w:rsid w:val="001D1B35"/>
    <w:rsid w:val="001E1D4F"/>
    <w:rsid w:val="001F1689"/>
    <w:rsid w:val="001F1C73"/>
    <w:rsid w:val="001F220F"/>
    <w:rsid w:val="001F6DE6"/>
    <w:rsid w:val="00200259"/>
    <w:rsid w:val="00202BD4"/>
    <w:rsid w:val="002066F7"/>
    <w:rsid w:val="00206892"/>
    <w:rsid w:val="00210CDE"/>
    <w:rsid w:val="002176D7"/>
    <w:rsid w:val="00222141"/>
    <w:rsid w:val="0022481D"/>
    <w:rsid w:val="00225290"/>
    <w:rsid w:val="00226AA3"/>
    <w:rsid w:val="00226DDC"/>
    <w:rsid w:val="00232629"/>
    <w:rsid w:val="00233270"/>
    <w:rsid w:val="00244513"/>
    <w:rsid w:val="00244817"/>
    <w:rsid w:val="00244BC7"/>
    <w:rsid w:val="00254B3A"/>
    <w:rsid w:val="002557D1"/>
    <w:rsid w:val="0026065E"/>
    <w:rsid w:val="00260B29"/>
    <w:rsid w:val="00266A37"/>
    <w:rsid w:val="00292A82"/>
    <w:rsid w:val="00294778"/>
    <w:rsid w:val="002A1488"/>
    <w:rsid w:val="002A180C"/>
    <w:rsid w:val="002A34A3"/>
    <w:rsid w:val="002A4470"/>
    <w:rsid w:val="002B1A38"/>
    <w:rsid w:val="002B3F40"/>
    <w:rsid w:val="002B43E5"/>
    <w:rsid w:val="002B4854"/>
    <w:rsid w:val="002C706A"/>
    <w:rsid w:val="002D1FBD"/>
    <w:rsid w:val="002D6FD6"/>
    <w:rsid w:val="002D7FDC"/>
    <w:rsid w:val="002E3A1C"/>
    <w:rsid w:val="002E4354"/>
    <w:rsid w:val="002F7FED"/>
    <w:rsid w:val="00302F2F"/>
    <w:rsid w:val="00305198"/>
    <w:rsid w:val="00312041"/>
    <w:rsid w:val="00312456"/>
    <w:rsid w:val="003155AD"/>
    <w:rsid w:val="0031613A"/>
    <w:rsid w:val="00320602"/>
    <w:rsid w:val="00331C02"/>
    <w:rsid w:val="003476EB"/>
    <w:rsid w:val="00347858"/>
    <w:rsid w:val="00347FD2"/>
    <w:rsid w:val="00353300"/>
    <w:rsid w:val="00377BD9"/>
    <w:rsid w:val="003829E2"/>
    <w:rsid w:val="00387202"/>
    <w:rsid w:val="003905D2"/>
    <w:rsid w:val="00392A91"/>
    <w:rsid w:val="00396D7F"/>
    <w:rsid w:val="00396FCA"/>
    <w:rsid w:val="003A4C2F"/>
    <w:rsid w:val="003A5B47"/>
    <w:rsid w:val="003B1507"/>
    <w:rsid w:val="003B6287"/>
    <w:rsid w:val="003C10E8"/>
    <w:rsid w:val="003C481A"/>
    <w:rsid w:val="003D1875"/>
    <w:rsid w:val="003E42EF"/>
    <w:rsid w:val="003F2307"/>
    <w:rsid w:val="003F3C00"/>
    <w:rsid w:val="003F6A49"/>
    <w:rsid w:val="004118C0"/>
    <w:rsid w:val="00412F75"/>
    <w:rsid w:val="00417C78"/>
    <w:rsid w:val="00421F2C"/>
    <w:rsid w:val="004250EC"/>
    <w:rsid w:val="00426AB5"/>
    <w:rsid w:val="00432A51"/>
    <w:rsid w:val="00434B61"/>
    <w:rsid w:val="00453E80"/>
    <w:rsid w:val="00453FD1"/>
    <w:rsid w:val="0046575B"/>
    <w:rsid w:val="00472091"/>
    <w:rsid w:val="00491643"/>
    <w:rsid w:val="00493CAF"/>
    <w:rsid w:val="00494C20"/>
    <w:rsid w:val="00495E73"/>
    <w:rsid w:val="004979C8"/>
    <w:rsid w:val="004B3924"/>
    <w:rsid w:val="004B5993"/>
    <w:rsid w:val="004B6425"/>
    <w:rsid w:val="004C0AB2"/>
    <w:rsid w:val="004C755D"/>
    <w:rsid w:val="004D4B71"/>
    <w:rsid w:val="004D5202"/>
    <w:rsid w:val="004D7C31"/>
    <w:rsid w:val="004E1BC7"/>
    <w:rsid w:val="004E2900"/>
    <w:rsid w:val="004F3F90"/>
    <w:rsid w:val="004F7575"/>
    <w:rsid w:val="00502683"/>
    <w:rsid w:val="005036CD"/>
    <w:rsid w:val="00516BEE"/>
    <w:rsid w:val="00517F19"/>
    <w:rsid w:val="0053054E"/>
    <w:rsid w:val="0053723D"/>
    <w:rsid w:val="005438DB"/>
    <w:rsid w:val="00547CF7"/>
    <w:rsid w:val="00550CE5"/>
    <w:rsid w:val="00561E04"/>
    <w:rsid w:val="005659C6"/>
    <w:rsid w:val="00567443"/>
    <w:rsid w:val="00570A9D"/>
    <w:rsid w:val="00575D7B"/>
    <w:rsid w:val="00580F8A"/>
    <w:rsid w:val="00584F9B"/>
    <w:rsid w:val="0059004D"/>
    <w:rsid w:val="00597856"/>
    <w:rsid w:val="005A244D"/>
    <w:rsid w:val="005A7C21"/>
    <w:rsid w:val="005B661C"/>
    <w:rsid w:val="005D092E"/>
    <w:rsid w:val="005E3B30"/>
    <w:rsid w:val="005E74D6"/>
    <w:rsid w:val="005E7EED"/>
    <w:rsid w:val="005F0B6C"/>
    <w:rsid w:val="005F69B8"/>
    <w:rsid w:val="00607266"/>
    <w:rsid w:val="0061571C"/>
    <w:rsid w:val="00622B62"/>
    <w:rsid w:val="00626AF6"/>
    <w:rsid w:val="00632761"/>
    <w:rsid w:val="00640F1F"/>
    <w:rsid w:val="0064510C"/>
    <w:rsid w:val="0065153D"/>
    <w:rsid w:val="00653308"/>
    <w:rsid w:val="00656E15"/>
    <w:rsid w:val="00657AA4"/>
    <w:rsid w:val="00664E4C"/>
    <w:rsid w:val="00666C16"/>
    <w:rsid w:val="0067006C"/>
    <w:rsid w:val="00673408"/>
    <w:rsid w:val="00674FC8"/>
    <w:rsid w:val="00675707"/>
    <w:rsid w:val="00681191"/>
    <w:rsid w:val="0068307F"/>
    <w:rsid w:val="0068500B"/>
    <w:rsid w:val="00686CD2"/>
    <w:rsid w:val="00690C59"/>
    <w:rsid w:val="00692EE1"/>
    <w:rsid w:val="00697C3A"/>
    <w:rsid w:val="006A0D51"/>
    <w:rsid w:val="006A2B11"/>
    <w:rsid w:val="006C2253"/>
    <w:rsid w:val="006C3873"/>
    <w:rsid w:val="006C4D4A"/>
    <w:rsid w:val="006D1E10"/>
    <w:rsid w:val="006D73A6"/>
    <w:rsid w:val="006E1E27"/>
    <w:rsid w:val="006E1E4C"/>
    <w:rsid w:val="006E2B64"/>
    <w:rsid w:val="006E6C12"/>
    <w:rsid w:val="006F3162"/>
    <w:rsid w:val="006F6562"/>
    <w:rsid w:val="0070055F"/>
    <w:rsid w:val="00703880"/>
    <w:rsid w:val="00705A13"/>
    <w:rsid w:val="00711E1E"/>
    <w:rsid w:val="00717DC4"/>
    <w:rsid w:val="00720095"/>
    <w:rsid w:val="007327D0"/>
    <w:rsid w:val="00732E79"/>
    <w:rsid w:val="00733A9C"/>
    <w:rsid w:val="0074095B"/>
    <w:rsid w:val="00740ED5"/>
    <w:rsid w:val="00742ACB"/>
    <w:rsid w:val="0074349E"/>
    <w:rsid w:val="00745844"/>
    <w:rsid w:val="007504EE"/>
    <w:rsid w:val="00750B72"/>
    <w:rsid w:val="007521B2"/>
    <w:rsid w:val="007539CD"/>
    <w:rsid w:val="00762ECC"/>
    <w:rsid w:val="00763664"/>
    <w:rsid w:val="00766762"/>
    <w:rsid w:val="007706EF"/>
    <w:rsid w:val="007755DD"/>
    <w:rsid w:val="00776F3B"/>
    <w:rsid w:val="00781BF6"/>
    <w:rsid w:val="007833BC"/>
    <w:rsid w:val="00796744"/>
    <w:rsid w:val="007978A5"/>
    <w:rsid w:val="007A02DD"/>
    <w:rsid w:val="007A2972"/>
    <w:rsid w:val="007A366D"/>
    <w:rsid w:val="007A4B19"/>
    <w:rsid w:val="007B50F4"/>
    <w:rsid w:val="007C299A"/>
    <w:rsid w:val="007D493C"/>
    <w:rsid w:val="007D7B79"/>
    <w:rsid w:val="007E01E0"/>
    <w:rsid w:val="007E65CB"/>
    <w:rsid w:val="007F32B9"/>
    <w:rsid w:val="007F358D"/>
    <w:rsid w:val="007F5226"/>
    <w:rsid w:val="007F55C5"/>
    <w:rsid w:val="007F55D5"/>
    <w:rsid w:val="008035C3"/>
    <w:rsid w:val="00817766"/>
    <w:rsid w:val="00825EA9"/>
    <w:rsid w:val="00830C37"/>
    <w:rsid w:val="00833F30"/>
    <w:rsid w:val="008376B4"/>
    <w:rsid w:val="008454CA"/>
    <w:rsid w:val="0085393E"/>
    <w:rsid w:val="00856C2D"/>
    <w:rsid w:val="00866C07"/>
    <w:rsid w:val="00870792"/>
    <w:rsid w:val="008708E7"/>
    <w:rsid w:val="0087487C"/>
    <w:rsid w:val="008754BB"/>
    <w:rsid w:val="0088306A"/>
    <w:rsid w:val="00887508"/>
    <w:rsid w:val="0089338A"/>
    <w:rsid w:val="00896A96"/>
    <w:rsid w:val="008A0F45"/>
    <w:rsid w:val="008C5A3E"/>
    <w:rsid w:val="008C6A6E"/>
    <w:rsid w:val="008D3E68"/>
    <w:rsid w:val="008D491F"/>
    <w:rsid w:val="008D4F71"/>
    <w:rsid w:val="008D6170"/>
    <w:rsid w:val="008E462C"/>
    <w:rsid w:val="008E55FE"/>
    <w:rsid w:val="008E5E1B"/>
    <w:rsid w:val="008E6368"/>
    <w:rsid w:val="008F304E"/>
    <w:rsid w:val="008F5E90"/>
    <w:rsid w:val="008F7571"/>
    <w:rsid w:val="00907140"/>
    <w:rsid w:val="00907362"/>
    <w:rsid w:val="00912BC0"/>
    <w:rsid w:val="00915E7D"/>
    <w:rsid w:val="009171AF"/>
    <w:rsid w:val="00923CAE"/>
    <w:rsid w:val="00933E0A"/>
    <w:rsid w:val="009368EA"/>
    <w:rsid w:val="0093735C"/>
    <w:rsid w:val="00944C77"/>
    <w:rsid w:val="00946080"/>
    <w:rsid w:val="009629AE"/>
    <w:rsid w:val="00963D04"/>
    <w:rsid w:val="009736D8"/>
    <w:rsid w:val="009741A1"/>
    <w:rsid w:val="009746D9"/>
    <w:rsid w:val="00981539"/>
    <w:rsid w:val="0099255C"/>
    <w:rsid w:val="0099422A"/>
    <w:rsid w:val="00995227"/>
    <w:rsid w:val="009A1DA5"/>
    <w:rsid w:val="009A757F"/>
    <w:rsid w:val="009B17F0"/>
    <w:rsid w:val="009B228E"/>
    <w:rsid w:val="009B5DF6"/>
    <w:rsid w:val="009B7F91"/>
    <w:rsid w:val="009C0861"/>
    <w:rsid w:val="009D3FB3"/>
    <w:rsid w:val="009D5DAD"/>
    <w:rsid w:val="009E0DD8"/>
    <w:rsid w:val="009E316A"/>
    <w:rsid w:val="009E6ADF"/>
    <w:rsid w:val="009E6EB6"/>
    <w:rsid w:val="009E72C1"/>
    <w:rsid w:val="009F2792"/>
    <w:rsid w:val="00A0098A"/>
    <w:rsid w:val="00A03BEE"/>
    <w:rsid w:val="00A05453"/>
    <w:rsid w:val="00A078EE"/>
    <w:rsid w:val="00A14466"/>
    <w:rsid w:val="00A21E8D"/>
    <w:rsid w:val="00A2571C"/>
    <w:rsid w:val="00A3402F"/>
    <w:rsid w:val="00A44905"/>
    <w:rsid w:val="00A45F9E"/>
    <w:rsid w:val="00A4728A"/>
    <w:rsid w:val="00A53FD4"/>
    <w:rsid w:val="00A62FFE"/>
    <w:rsid w:val="00A651E0"/>
    <w:rsid w:val="00A73272"/>
    <w:rsid w:val="00A742BF"/>
    <w:rsid w:val="00A812A5"/>
    <w:rsid w:val="00A9008E"/>
    <w:rsid w:val="00A96625"/>
    <w:rsid w:val="00AA3B0F"/>
    <w:rsid w:val="00AA3FA6"/>
    <w:rsid w:val="00AB40CD"/>
    <w:rsid w:val="00AB6714"/>
    <w:rsid w:val="00AB7F65"/>
    <w:rsid w:val="00AC1AF1"/>
    <w:rsid w:val="00AC72BC"/>
    <w:rsid w:val="00AD14F1"/>
    <w:rsid w:val="00AD71E3"/>
    <w:rsid w:val="00AD7EA6"/>
    <w:rsid w:val="00AE3D82"/>
    <w:rsid w:val="00AE5F24"/>
    <w:rsid w:val="00AE6C6B"/>
    <w:rsid w:val="00AF5264"/>
    <w:rsid w:val="00AF53BC"/>
    <w:rsid w:val="00AF6AA7"/>
    <w:rsid w:val="00B01E73"/>
    <w:rsid w:val="00B05C11"/>
    <w:rsid w:val="00B06BDE"/>
    <w:rsid w:val="00B06CCE"/>
    <w:rsid w:val="00B17A22"/>
    <w:rsid w:val="00B22BE1"/>
    <w:rsid w:val="00B30326"/>
    <w:rsid w:val="00B305BD"/>
    <w:rsid w:val="00B3357E"/>
    <w:rsid w:val="00B36F5C"/>
    <w:rsid w:val="00B412E3"/>
    <w:rsid w:val="00B465FB"/>
    <w:rsid w:val="00B53B43"/>
    <w:rsid w:val="00B55310"/>
    <w:rsid w:val="00B6412E"/>
    <w:rsid w:val="00B66CD5"/>
    <w:rsid w:val="00B731D9"/>
    <w:rsid w:val="00B74F58"/>
    <w:rsid w:val="00B85182"/>
    <w:rsid w:val="00BA3679"/>
    <w:rsid w:val="00BA7614"/>
    <w:rsid w:val="00BB0B84"/>
    <w:rsid w:val="00BC283C"/>
    <w:rsid w:val="00BD05A2"/>
    <w:rsid w:val="00BD4B44"/>
    <w:rsid w:val="00BE1106"/>
    <w:rsid w:val="00BE590F"/>
    <w:rsid w:val="00BF1277"/>
    <w:rsid w:val="00BF24EE"/>
    <w:rsid w:val="00BF2677"/>
    <w:rsid w:val="00BF645D"/>
    <w:rsid w:val="00BF7A18"/>
    <w:rsid w:val="00C05381"/>
    <w:rsid w:val="00C1122B"/>
    <w:rsid w:val="00C113EF"/>
    <w:rsid w:val="00C15B34"/>
    <w:rsid w:val="00C22C3D"/>
    <w:rsid w:val="00C24665"/>
    <w:rsid w:val="00C26F79"/>
    <w:rsid w:val="00C30371"/>
    <w:rsid w:val="00C34810"/>
    <w:rsid w:val="00C42E9B"/>
    <w:rsid w:val="00C431EB"/>
    <w:rsid w:val="00C60A03"/>
    <w:rsid w:val="00C62FFC"/>
    <w:rsid w:val="00C6365A"/>
    <w:rsid w:val="00C64CAD"/>
    <w:rsid w:val="00C72EC3"/>
    <w:rsid w:val="00C745CB"/>
    <w:rsid w:val="00C83357"/>
    <w:rsid w:val="00C916F3"/>
    <w:rsid w:val="00C92421"/>
    <w:rsid w:val="00C9716B"/>
    <w:rsid w:val="00CA5149"/>
    <w:rsid w:val="00CA5694"/>
    <w:rsid w:val="00CA66F5"/>
    <w:rsid w:val="00CB772B"/>
    <w:rsid w:val="00CB7DB0"/>
    <w:rsid w:val="00CC0B5A"/>
    <w:rsid w:val="00CD3194"/>
    <w:rsid w:val="00CD3634"/>
    <w:rsid w:val="00CD4240"/>
    <w:rsid w:val="00CD4A22"/>
    <w:rsid w:val="00CE0576"/>
    <w:rsid w:val="00CE2EA1"/>
    <w:rsid w:val="00CE42BE"/>
    <w:rsid w:val="00CE660A"/>
    <w:rsid w:val="00D042EE"/>
    <w:rsid w:val="00D12B3F"/>
    <w:rsid w:val="00D14D5B"/>
    <w:rsid w:val="00D165E9"/>
    <w:rsid w:val="00D21FF4"/>
    <w:rsid w:val="00D26155"/>
    <w:rsid w:val="00D31078"/>
    <w:rsid w:val="00D40F1C"/>
    <w:rsid w:val="00D41CD0"/>
    <w:rsid w:val="00D44B26"/>
    <w:rsid w:val="00D5186D"/>
    <w:rsid w:val="00D539A7"/>
    <w:rsid w:val="00D563ED"/>
    <w:rsid w:val="00D65D1A"/>
    <w:rsid w:val="00D671F1"/>
    <w:rsid w:val="00D676FB"/>
    <w:rsid w:val="00D83C14"/>
    <w:rsid w:val="00D83D9F"/>
    <w:rsid w:val="00D844F6"/>
    <w:rsid w:val="00D855F5"/>
    <w:rsid w:val="00D94E47"/>
    <w:rsid w:val="00DB0D02"/>
    <w:rsid w:val="00DB2F59"/>
    <w:rsid w:val="00DC19F7"/>
    <w:rsid w:val="00DC30B9"/>
    <w:rsid w:val="00DC32DB"/>
    <w:rsid w:val="00DC603A"/>
    <w:rsid w:val="00DD0CB6"/>
    <w:rsid w:val="00DD1FEE"/>
    <w:rsid w:val="00DD7CC4"/>
    <w:rsid w:val="00DE1D03"/>
    <w:rsid w:val="00DF0771"/>
    <w:rsid w:val="00DF2F12"/>
    <w:rsid w:val="00DF3A62"/>
    <w:rsid w:val="00E14558"/>
    <w:rsid w:val="00E15CA4"/>
    <w:rsid w:val="00E179ED"/>
    <w:rsid w:val="00E211A7"/>
    <w:rsid w:val="00E21704"/>
    <w:rsid w:val="00E33E88"/>
    <w:rsid w:val="00E35B5D"/>
    <w:rsid w:val="00E414C0"/>
    <w:rsid w:val="00E4157E"/>
    <w:rsid w:val="00E46CAB"/>
    <w:rsid w:val="00E471DC"/>
    <w:rsid w:val="00E4786B"/>
    <w:rsid w:val="00E47D77"/>
    <w:rsid w:val="00E52A65"/>
    <w:rsid w:val="00E53266"/>
    <w:rsid w:val="00E54C95"/>
    <w:rsid w:val="00E55AC0"/>
    <w:rsid w:val="00E56FF2"/>
    <w:rsid w:val="00E57B14"/>
    <w:rsid w:val="00E6269A"/>
    <w:rsid w:val="00E637F6"/>
    <w:rsid w:val="00E6535D"/>
    <w:rsid w:val="00E65F08"/>
    <w:rsid w:val="00E72A23"/>
    <w:rsid w:val="00E74C6C"/>
    <w:rsid w:val="00E75C35"/>
    <w:rsid w:val="00E811FD"/>
    <w:rsid w:val="00E8457E"/>
    <w:rsid w:val="00E90942"/>
    <w:rsid w:val="00E9172F"/>
    <w:rsid w:val="00EB51B2"/>
    <w:rsid w:val="00EC7BC5"/>
    <w:rsid w:val="00ED453E"/>
    <w:rsid w:val="00ED7D58"/>
    <w:rsid w:val="00EE5CD5"/>
    <w:rsid w:val="00EE5DB2"/>
    <w:rsid w:val="00EF5C24"/>
    <w:rsid w:val="00F0073E"/>
    <w:rsid w:val="00F04DE0"/>
    <w:rsid w:val="00F05EEA"/>
    <w:rsid w:val="00F10B33"/>
    <w:rsid w:val="00F1159A"/>
    <w:rsid w:val="00F24A3D"/>
    <w:rsid w:val="00F35463"/>
    <w:rsid w:val="00F35726"/>
    <w:rsid w:val="00F63E73"/>
    <w:rsid w:val="00F65D85"/>
    <w:rsid w:val="00F67C43"/>
    <w:rsid w:val="00F73F2D"/>
    <w:rsid w:val="00F81272"/>
    <w:rsid w:val="00F8129D"/>
    <w:rsid w:val="00F816B6"/>
    <w:rsid w:val="00F81B4D"/>
    <w:rsid w:val="00F848A4"/>
    <w:rsid w:val="00F867C1"/>
    <w:rsid w:val="00F90159"/>
    <w:rsid w:val="00F95B1B"/>
    <w:rsid w:val="00F970E1"/>
    <w:rsid w:val="00FA0369"/>
    <w:rsid w:val="00FA09D1"/>
    <w:rsid w:val="00FA5FDE"/>
    <w:rsid w:val="00FC4B97"/>
    <w:rsid w:val="00FC5C02"/>
    <w:rsid w:val="00FC690E"/>
    <w:rsid w:val="00FC6E72"/>
    <w:rsid w:val="00FD0933"/>
    <w:rsid w:val="00FD6297"/>
    <w:rsid w:val="00FE0DC7"/>
    <w:rsid w:val="00FE73A3"/>
    <w:rsid w:val="00FF44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1E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E58"/>
    <w:pPr>
      <w:ind w:left="720"/>
      <w:contextualSpacing/>
    </w:pPr>
  </w:style>
  <w:style w:type="paragraph" w:styleId="BalloonText">
    <w:name w:val="Balloon Text"/>
    <w:basedOn w:val="Normal"/>
    <w:link w:val="BalloonTextChar"/>
    <w:uiPriority w:val="99"/>
    <w:semiHidden/>
    <w:unhideWhenUsed/>
    <w:rsid w:val="00C60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03"/>
    <w:rPr>
      <w:rFonts w:ascii="Tahoma" w:hAnsi="Tahoma" w:cs="Tahoma"/>
      <w:sz w:val="16"/>
      <w:szCs w:val="16"/>
    </w:rPr>
  </w:style>
  <w:style w:type="paragraph" w:styleId="FootnoteText">
    <w:name w:val="footnote text"/>
    <w:basedOn w:val="Normal"/>
    <w:link w:val="FootnoteTextChar"/>
    <w:uiPriority w:val="99"/>
    <w:semiHidden/>
    <w:unhideWhenUsed/>
    <w:rsid w:val="00E471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1DC"/>
    <w:rPr>
      <w:sz w:val="20"/>
      <w:szCs w:val="20"/>
    </w:rPr>
  </w:style>
  <w:style w:type="character" w:styleId="FootnoteReference">
    <w:name w:val="footnote reference"/>
    <w:basedOn w:val="DefaultParagraphFont"/>
    <w:uiPriority w:val="99"/>
    <w:semiHidden/>
    <w:unhideWhenUsed/>
    <w:rsid w:val="00E471DC"/>
    <w:rPr>
      <w:vertAlign w:val="superscript"/>
    </w:rPr>
  </w:style>
  <w:style w:type="paragraph" w:styleId="Header">
    <w:name w:val="header"/>
    <w:basedOn w:val="Normal"/>
    <w:link w:val="HeaderChar"/>
    <w:uiPriority w:val="99"/>
    <w:unhideWhenUsed/>
    <w:rsid w:val="00775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5DD"/>
  </w:style>
  <w:style w:type="paragraph" w:styleId="Footer">
    <w:name w:val="footer"/>
    <w:basedOn w:val="Normal"/>
    <w:link w:val="FooterChar"/>
    <w:uiPriority w:val="99"/>
    <w:unhideWhenUsed/>
    <w:rsid w:val="00775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5DD"/>
  </w:style>
  <w:style w:type="character" w:styleId="CommentReference">
    <w:name w:val="annotation reference"/>
    <w:basedOn w:val="DefaultParagraphFont"/>
    <w:uiPriority w:val="99"/>
    <w:semiHidden/>
    <w:unhideWhenUsed/>
    <w:rsid w:val="00E811FD"/>
    <w:rPr>
      <w:sz w:val="16"/>
      <w:szCs w:val="16"/>
    </w:rPr>
  </w:style>
  <w:style w:type="paragraph" w:styleId="CommentText">
    <w:name w:val="annotation text"/>
    <w:basedOn w:val="Normal"/>
    <w:link w:val="CommentTextChar"/>
    <w:uiPriority w:val="99"/>
    <w:semiHidden/>
    <w:unhideWhenUsed/>
    <w:rsid w:val="00E811FD"/>
    <w:pPr>
      <w:spacing w:line="240" w:lineRule="auto"/>
    </w:pPr>
    <w:rPr>
      <w:sz w:val="20"/>
      <w:szCs w:val="20"/>
    </w:rPr>
  </w:style>
  <w:style w:type="character" w:customStyle="1" w:styleId="CommentTextChar">
    <w:name w:val="Comment Text Char"/>
    <w:basedOn w:val="DefaultParagraphFont"/>
    <w:link w:val="CommentText"/>
    <w:uiPriority w:val="99"/>
    <w:semiHidden/>
    <w:rsid w:val="00E811FD"/>
    <w:rPr>
      <w:sz w:val="20"/>
      <w:szCs w:val="20"/>
    </w:rPr>
  </w:style>
  <w:style w:type="paragraph" w:styleId="CommentSubject">
    <w:name w:val="annotation subject"/>
    <w:basedOn w:val="CommentText"/>
    <w:next w:val="CommentText"/>
    <w:link w:val="CommentSubjectChar"/>
    <w:uiPriority w:val="99"/>
    <w:semiHidden/>
    <w:unhideWhenUsed/>
    <w:rsid w:val="00E811FD"/>
    <w:rPr>
      <w:b/>
      <w:bCs/>
    </w:rPr>
  </w:style>
  <w:style w:type="character" w:customStyle="1" w:styleId="CommentSubjectChar">
    <w:name w:val="Comment Subject Char"/>
    <w:basedOn w:val="CommentTextChar"/>
    <w:link w:val="CommentSubject"/>
    <w:uiPriority w:val="99"/>
    <w:semiHidden/>
    <w:rsid w:val="00E811FD"/>
    <w:rPr>
      <w:b/>
      <w:bCs/>
      <w:sz w:val="20"/>
      <w:szCs w:val="20"/>
    </w:rPr>
  </w:style>
  <w:style w:type="paragraph" w:styleId="Revision">
    <w:name w:val="Revision"/>
    <w:hidden/>
    <w:uiPriority w:val="99"/>
    <w:semiHidden/>
    <w:rsid w:val="00417C78"/>
    <w:pPr>
      <w:spacing w:after="0" w:line="240" w:lineRule="auto"/>
    </w:pPr>
  </w:style>
  <w:style w:type="character" w:customStyle="1" w:styleId="Marker">
    <w:name w:val="Marker"/>
    <w:basedOn w:val="DefaultParagraphFont"/>
    <w:rsid w:val="005E3B30"/>
    <w:rPr>
      <w:color w:val="0000FF"/>
      <w:shd w:val="clear" w:color="auto" w:fill="auto"/>
    </w:rPr>
  </w:style>
  <w:style w:type="paragraph" w:customStyle="1" w:styleId="Pagedecouverture">
    <w:name w:val="Page de couverture"/>
    <w:basedOn w:val="Normal"/>
    <w:next w:val="Normal"/>
    <w:rsid w:val="005E3B3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5E3B30"/>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sid w:val="005E3B30"/>
    <w:rPr>
      <w:rFonts w:ascii="Times New Roman" w:hAnsi="Times New Roman" w:cs="Times New Roman"/>
      <w:sz w:val="24"/>
      <w:szCs w:val="24"/>
    </w:rPr>
  </w:style>
  <w:style w:type="paragraph" w:customStyle="1" w:styleId="HeaderCoverPage">
    <w:name w:val="Header Cover Page"/>
    <w:basedOn w:val="Normal"/>
    <w:link w:val="HeaderCoverPageChar"/>
    <w:rsid w:val="005E3B30"/>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sid w:val="005E3B30"/>
    <w:rPr>
      <w:rFonts w:ascii="Times New Roman" w:hAnsi="Times New Roman" w:cs="Times New Roman"/>
      <w:sz w:val="24"/>
      <w:szCs w:val="24"/>
    </w:rPr>
  </w:style>
  <w:style w:type="character" w:customStyle="1" w:styleId="Heading1Char">
    <w:name w:val="Heading 1 Char"/>
    <w:basedOn w:val="DefaultParagraphFont"/>
    <w:link w:val="Heading1"/>
    <w:uiPriority w:val="9"/>
    <w:rsid w:val="00131E6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2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1E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E58"/>
    <w:pPr>
      <w:ind w:left="720"/>
      <w:contextualSpacing/>
    </w:pPr>
  </w:style>
  <w:style w:type="paragraph" w:styleId="BalloonText">
    <w:name w:val="Balloon Text"/>
    <w:basedOn w:val="Normal"/>
    <w:link w:val="BalloonTextChar"/>
    <w:uiPriority w:val="99"/>
    <w:semiHidden/>
    <w:unhideWhenUsed/>
    <w:rsid w:val="00C60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03"/>
    <w:rPr>
      <w:rFonts w:ascii="Tahoma" w:hAnsi="Tahoma" w:cs="Tahoma"/>
      <w:sz w:val="16"/>
      <w:szCs w:val="16"/>
    </w:rPr>
  </w:style>
  <w:style w:type="paragraph" w:styleId="FootnoteText">
    <w:name w:val="footnote text"/>
    <w:basedOn w:val="Normal"/>
    <w:link w:val="FootnoteTextChar"/>
    <w:uiPriority w:val="99"/>
    <w:semiHidden/>
    <w:unhideWhenUsed/>
    <w:rsid w:val="00E471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1DC"/>
    <w:rPr>
      <w:sz w:val="20"/>
      <w:szCs w:val="20"/>
    </w:rPr>
  </w:style>
  <w:style w:type="character" w:styleId="FootnoteReference">
    <w:name w:val="footnote reference"/>
    <w:basedOn w:val="DefaultParagraphFont"/>
    <w:uiPriority w:val="99"/>
    <w:semiHidden/>
    <w:unhideWhenUsed/>
    <w:rsid w:val="00E471DC"/>
    <w:rPr>
      <w:vertAlign w:val="superscript"/>
    </w:rPr>
  </w:style>
  <w:style w:type="paragraph" w:styleId="Header">
    <w:name w:val="header"/>
    <w:basedOn w:val="Normal"/>
    <w:link w:val="HeaderChar"/>
    <w:uiPriority w:val="99"/>
    <w:unhideWhenUsed/>
    <w:rsid w:val="00775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5DD"/>
  </w:style>
  <w:style w:type="paragraph" w:styleId="Footer">
    <w:name w:val="footer"/>
    <w:basedOn w:val="Normal"/>
    <w:link w:val="FooterChar"/>
    <w:uiPriority w:val="99"/>
    <w:unhideWhenUsed/>
    <w:rsid w:val="00775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5DD"/>
  </w:style>
  <w:style w:type="character" w:styleId="CommentReference">
    <w:name w:val="annotation reference"/>
    <w:basedOn w:val="DefaultParagraphFont"/>
    <w:uiPriority w:val="99"/>
    <w:semiHidden/>
    <w:unhideWhenUsed/>
    <w:rsid w:val="00E811FD"/>
    <w:rPr>
      <w:sz w:val="16"/>
      <w:szCs w:val="16"/>
    </w:rPr>
  </w:style>
  <w:style w:type="paragraph" w:styleId="CommentText">
    <w:name w:val="annotation text"/>
    <w:basedOn w:val="Normal"/>
    <w:link w:val="CommentTextChar"/>
    <w:uiPriority w:val="99"/>
    <w:semiHidden/>
    <w:unhideWhenUsed/>
    <w:rsid w:val="00E811FD"/>
    <w:pPr>
      <w:spacing w:line="240" w:lineRule="auto"/>
    </w:pPr>
    <w:rPr>
      <w:sz w:val="20"/>
      <w:szCs w:val="20"/>
    </w:rPr>
  </w:style>
  <w:style w:type="character" w:customStyle="1" w:styleId="CommentTextChar">
    <w:name w:val="Comment Text Char"/>
    <w:basedOn w:val="DefaultParagraphFont"/>
    <w:link w:val="CommentText"/>
    <w:uiPriority w:val="99"/>
    <w:semiHidden/>
    <w:rsid w:val="00E811FD"/>
    <w:rPr>
      <w:sz w:val="20"/>
      <w:szCs w:val="20"/>
    </w:rPr>
  </w:style>
  <w:style w:type="paragraph" w:styleId="CommentSubject">
    <w:name w:val="annotation subject"/>
    <w:basedOn w:val="CommentText"/>
    <w:next w:val="CommentText"/>
    <w:link w:val="CommentSubjectChar"/>
    <w:uiPriority w:val="99"/>
    <w:semiHidden/>
    <w:unhideWhenUsed/>
    <w:rsid w:val="00E811FD"/>
    <w:rPr>
      <w:b/>
      <w:bCs/>
    </w:rPr>
  </w:style>
  <w:style w:type="character" w:customStyle="1" w:styleId="CommentSubjectChar">
    <w:name w:val="Comment Subject Char"/>
    <w:basedOn w:val="CommentTextChar"/>
    <w:link w:val="CommentSubject"/>
    <w:uiPriority w:val="99"/>
    <w:semiHidden/>
    <w:rsid w:val="00E811FD"/>
    <w:rPr>
      <w:b/>
      <w:bCs/>
      <w:sz w:val="20"/>
      <w:szCs w:val="20"/>
    </w:rPr>
  </w:style>
  <w:style w:type="paragraph" w:styleId="Revision">
    <w:name w:val="Revision"/>
    <w:hidden/>
    <w:uiPriority w:val="99"/>
    <w:semiHidden/>
    <w:rsid w:val="00417C78"/>
    <w:pPr>
      <w:spacing w:after="0" w:line="240" w:lineRule="auto"/>
    </w:pPr>
  </w:style>
  <w:style w:type="character" w:customStyle="1" w:styleId="Marker">
    <w:name w:val="Marker"/>
    <w:basedOn w:val="DefaultParagraphFont"/>
    <w:rsid w:val="005E3B30"/>
    <w:rPr>
      <w:color w:val="0000FF"/>
      <w:shd w:val="clear" w:color="auto" w:fill="auto"/>
    </w:rPr>
  </w:style>
  <w:style w:type="paragraph" w:customStyle="1" w:styleId="Pagedecouverture">
    <w:name w:val="Page de couverture"/>
    <w:basedOn w:val="Normal"/>
    <w:next w:val="Normal"/>
    <w:rsid w:val="005E3B3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5E3B30"/>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sid w:val="005E3B30"/>
    <w:rPr>
      <w:rFonts w:ascii="Times New Roman" w:hAnsi="Times New Roman" w:cs="Times New Roman"/>
      <w:sz w:val="24"/>
      <w:szCs w:val="24"/>
    </w:rPr>
  </w:style>
  <w:style w:type="paragraph" w:customStyle="1" w:styleId="HeaderCoverPage">
    <w:name w:val="Header Cover Page"/>
    <w:basedOn w:val="Normal"/>
    <w:link w:val="HeaderCoverPageChar"/>
    <w:rsid w:val="005E3B30"/>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sid w:val="005E3B30"/>
    <w:rPr>
      <w:rFonts w:ascii="Times New Roman" w:hAnsi="Times New Roman" w:cs="Times New Roman"/>
      <w:sz w:val="24"/>
      <w:szCs w:val="24"/>
    </w:rPr>
  </w:style>
  <w:style w:type="character" w:customStyle="1" w:styleId="Heading1Char">
    <w:name w:val="Heading 1 Char"/>
    <w:basedOn w:val="DefaultParagraphFont"/>
    <w:link w:val="Heading1"/>
    <w:uiPriority w:val="9"/>
    <w:rsid w:val="00131E6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2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71523">
      <w:bodyDiv w:val="1"/>
      <w:marLeft w:val="0"/>
      <w:marRight w:val="0"/>
      <w:marTop w:val="0"/>
      <w:marBottom w:val="0"/>
      <w:divBdr>
        <w:top w:val="none" w:sz="0" w:space="0" w:color="auto"/>
        <w:left w:val="none" w:sz="0" w:space="0" w:color="auto"/>
        <w:bottom w:val="none" w:sz="0" w:space="0" w:color="auto"/>
        <w:right w:val="none" w:sz="0" w:space="0" w:color="auto"/>
      </w:divBdr>
    </w:div>
    <w:div w:id="11064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nance/capital-markets-union/docs/cmu-first-status-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24901-61DD-490D-AAD9-CFD3A8A59D67}">
  <ds:schemaRefs>
    <ds:schemaRef ds:uri="http://schemas.openxmlformats.org/officeDocument/2006/bibliography"/>
  </ds:schemaRefs>
</ds:datastoreItem>
</file>

<file path=customXml/itemProps2.xml><?xml version="1.0" encoding="utf-8"?>
<ds:datastoreItem xmlns:ds="http://schemas.openxmlformats.org/officeDocument/2006/customXml" ds:itemID="{6CF61303-E3D1-4266-AC60-AECBB719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4013</Words>
  <Characters>22858</Characters>
  <Application>Microsoft Office Word</Application>
  <DocSecurity>0</DocSecurity>
  <Lines>542</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2016-09-12T07:53:00Z</dcterms:created>
  <dcterms:modified xsi:type="dcterms:W3CDTF">2016-09-14T06:27:00Z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