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085" w:rsidRDefault="00350CA5" w:rsidP="00350CA5">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67CFE39636E64E93935331F5C093122D" style="width:450.95pt;height:381.45pt">
            <v:imagedata r:id="rId12" o:title=""/>
          </v:shape>
        </w:pict>
      </w:r>
    </w:p>
    <w:bookmarkEnd w:id="0"/>
    <w:p w:rsidR="004C7085" w:rsidRDefault="004C7085">
      <w:pPr>
        <w:rPr>
          <w:noProof/>
        </w:rPr>
        <w:sectPr w:rsidR="004C7085" w:rsidSect="00350CA5">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1"/>
          <w:cols w:space="720"/>
          <w:docGrid w:linePitch="360"/>
        </w:sectPr>
      </w:pPr>
    </w:p>
    <w:p w:rsidR="004C7085" w:rsidRDefault="004C7085">
      <w:pPr>
        <w:rPr>
          <w:noProof/>
        </w:rPr>
      </w:pPr>
      <w:bookmarkStart w:id="1" w:name="_GoBack"/>
      <w:bookmarkEnd w:id="1"/>
    </w:p>
    <w:sdt>
      <w:sdtPr>
        <w:rPr>
          <w:rFonts w:ascii="Times New Roman" w:eastAsiaTheme="minorHAnsi" w:hAnsi="Times New Roman" w:cs="Times New Roman"/>
          <w:b w:val="0"/>
          <w:bCs w:val="0"/>
          <w:noProof/>
          <w:vanish/>
          <w:color w:val="auto"/>
          <w:sz w:val="22"/>
          <w:szCs w:val="22"/>
          <w:lang w:val="en-GB" w:eastAsia="en-US"/>
        </w:rPr>
        <w:id w:val="1094433621"/>
        <w:docPartObj>
          <w:docPartGallery w:val="Table of Contents"/>
          <w:docPartUnique/>
        </w:docPartObj>
      </w:sdtPr>
      <w:sdtEndPr/>
      <w:sdtContent>
        <w:p w:rsidR="004C7085" w:rsidRDefault="005163E3">
          <w:pPr>
            <w:pStyle w:val="TOCHeading"/>
            <w:spacing w:before="0" w:after="120" w:line="240" w:lineRule="auto"/>
            <w:jc w:val="both"/>
            <w:rPr>
              <w:rFonts w:ascii="Times New Roman" w:hAnsi="Times New Roman"/>
              <w:noProof/>
            </w:rPr>
          </w:pPr>
          <w:r>
            <w:rPr>
              <w:rFonts w:ascii="Times New Roman" w:hAnsi="Times New Roman"/>
              <w:noProof/>
            </w:rPr>
            <w:t>Table of Contents</w:t>
          </w:r>
        </w:p>
        <w:p w:rsidR="004C7085" w:rsidRDefault="005163E3">
          <w:pPr>
            <w:pStyle w:val="TOC1"/>
            <w:rPr>
              <w:rFonts w:asciiTheme="minorHAnsi" w:eastAsiaTheme="minorEastAsia" w:hAnsiTheme="minorHAnsi" w:cstheme="minorBidi"/>
              <w:b w:val="0"/>
              <w:noProof/>
              <w:sz w:val="22"/>
              <w:szCs w:val="22"/>
              <w:lang w:eastAsia="en-GB"/>
            </w:rPr>
          </w:pPr>
          <w:r>
            <w:rPr>
              <w:rFonts w:asciiTheme="minorHAnsi" w:hAnsiTheme="minorHAnsi"/>
              <w:noProof/>
              <w:sz w:val="24"/>
              <w:szCs w:val="24"/>
            </w:rPr>
            <w:fldChar w:fldCharType="begin"/>
          </w:r>
          <w:r>
            <w:rPr>
              <w:rFonts w:asciiTheme="minorHAnsi" w:hAnsiTheme="minorHAnsi"/>
              <w:noProof/>
              <w:sz w:val="24"/>
              <w:szCs w:val="24"/>
            </w:rPr>
            <w:instrText xml:space="preserve"> TOC \o "1-3" \h \z \u </w:instrText>
          </w:r>
          <w:r>
            <w:rPr>
              <w:rFonts w:asciiTheme="minorHAnsi" w:hAnsiTheme="minorHAnsi"/>
              <w:noProof/>
              <w:sz w:val="24"/>
              <w:szCs w:val="24"/>
            </w:rPr>
            <w:fldChar w:fldCharType="separate"/>
          </w:r>
          <w:hyperlink w:anchor="_Toc461050795" w:history="1">
            <w:r>
              <w:rPr>
                <w:rStyle w:val="Hyperlink"/>
                <w:rFonts w:ascii="Times New Roman" w:hAnsi="Times New Roman"/>
                <w:noProof/>
              </w:rPr>
              <w:t>1.</w:t>
            </w:r>
            <w:r>
              <w:rPr>
                <w:rFonts w:asciiTheme="minorHAnsi" w:eastAsiaTheme="minorEastAsia" w:hAnsiTheme="minorHAnsi" w:cstheme="minorBidi"/>
                <w:b w:val="0"/>
                <w:noProof/>
                <w:sz w:val="22"/>
                <w:szCs w:val="22"/>
                <w:lang w:eastAsia="en-GB"/>
              </w:rPr>
              <w:tab/>
            </w:r>
            <w:r>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_Toc461050795 \h </w:instrText>
            </w:r>
            <w:r>
              <w:rPr>
                <w:noProof/>
                <w:webHidden/>
              </w:rPr>
            </w:r>
            <w:r>
              <w:rPr>
                <w:noProof/>
                <w:webHidden/>
              </w:rPr>
              <w:fldChar w:fldCharType="separate"/>
            </w:r>
            <w:r w:rsidR="00350CA5">
              <w:rPr>
                <w:noProof/>
                <w:webHidden/>
              </w:rPr>
              <w:t>4</w:t>
            </w:r>
            <w:r>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796" w:history="1">
            <w:r w:rsidR="005163E3">
              <w:rPr>
                <w:rStyle w:val="Hyperlink"/>
                <w:rFonts w:ascii="Times New Roman" w:hAnsi="Times New Roman"/>
                <w:noProof/>
              </w:rPr>
              <w:t>1.1</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Growing demand for connectivity</w:t>
            </w:r>
            <w:r w:rsidR="005163E3">
              <w:rPr>
                <w:noProof/>
                <w:webHidden/>
              </w:rPr>
              <w:tab/>
            </w:r>
            <w:r w:rsidR="005163E3">
              <w:rPr>
                <w:noProof/>
                <w:webHidden/>
              </w:rPr>
              <w:fldChar w:fldCharType="begin"/>
            </w:r>
            <w:r w:rsidR="005163E3">
              <w:rPr>
                <w:noProof/>
                <w:webHidden/>
              </w:rPr>
              <w:instrText xml:space="preserve"> PAGEREF _Toc461050796 \h </w:instrText>
            </w:r>
            <w:r w:rsidR="005163E3">
              <w:rPr>
                <w:noProof/>
                <w:webHidden/>
              </w:rPr>
            </w:r>
            <w:r w:rsidR="005163E3">
              <w:rPr>
                <w:noProof/>
                <w:webHidden/>
              </w:rPr>
              <w:fldChar w:fldCharType="separate"/>
            </w:r>
            <w:r>
              <w:rPr>
                <w:noProof/>
                <w:webHidden/>
              </w:rPr>
              <w:t>4</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797" w:history="1">
            <w:r w:rsidR="005163E3">
              <w:rPr>
                <w:rStyle w:val="Hyperlink"/>
                <w:rFonts w:ascii="Times New Roman" w:hAnsi="Times New Roman"/>
                <w:noProof/>
              </w:rPr>
              <w:t>1.2</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The user's perspectives</w:t>
            </w:r>
            <w:r w:rsidR="005163E3">
              <w:rPr>
                <w:noProof/>
                <w:webHidden/>
              </w:rPr>
              <w:tab/>
            </w:r>
            <w:r w:rsidR="005163E3">
              <w:rPr>
                <w:noProof/>
                <w:webHidden/>
              </w:rPr>
              <w:fldChar w:fldCharType="begin"/>
            </w:r>
            <w:r w:rsidR="005163E3">
              <w:rPr>
                <w:noProof/>
                <w:webHidden/>
              </w:rPr>
              <w:instrText xml:space="preserve"> PAGEREF _Toc461050797 \h </w:instrText>
            </w:r>
            <w:r w:rsidR="005163E3">
              <w:rPr>
                <w:noProof/>
                <w:webHidden/>
              </w:rPr>
            </w:r>
            <w:r w:rsidR="005163E3">
              <w:rPr>
                <w:noProof/>
                <w:webHidden/>
              </w:rPr>
              <w:fldChar w:fldCharType="separate"/>
            </w:r>
            <w:r>
              <w:rPr>
                <w:noProof/>
                <w:webHidden/>
              </w:rPr>
              <w:t>5</w:t>
            </w:r>
            <w:r w:rsidR="005163E3">
              <w:rPr>
                <w:noProof/>
                <w:webHidden/>
              </w:rPr>
              <w:fldChar w:fldCharType="end"/>
            </w:r>
          </w:hyperlink>
        </w:p>
        <w:p w:rsidR="004C7085" w:rsidRDefault="00350CA5">
          <w:pPr>
            <w:pStyle w:val="TOC1"/>
            <w:rPr>
              <w:rFonts w:asciiTheme="minorHAnsi" w:eastAsiaTheme="minorEastAsia" w:hAnsiTheme="minorHAnsi" w:cstheme="minorBidi"/>
              <w:b w:val="0"/>
              <w:noProof/>
              <w:sz w:val="22"/>
              <w:szCs w:val="22"/>
              <w:lang w:eastAsia="en-GB"/>
            </w:rPr>
          </w:pPr>
          <w:hyperlink w:anchor="_Toc461050798" w:history="1">
            <w:r w:rsidR="005163E3">
              <w:rPr>
                <w:rStyle w:val="Hyperlink"/>
                <w:rFonts w:ascii="Times New Roman" w:hAnsi="Times New Roman"/>
                <w:noProof/>
              </w:rPr>
              <w:t>2.</w:t>
            </w:r>
            <w:r w:rsidR="005163E3">
              <w:rPr>
                <w:rFonts w:asciiTheme="minorHAnsi" w:eastAsiaTheme="minorEastAsia" w:hAnsiTheme="minorHAnsi" w:cstheme="minorBidi"/>
                <w:b w:val="0"/>
                <w:noProof/>
                <w:sz w:val="22"/>
                <w:szCs w:val="22"/>
                <w:lang w:eastAsia="en-GB"/>
              </w:rPr>
              <w:tab/>
            </w:r>
            <w:r w:rsidR="005163E3">
              <w:rPr>
                <w:rStyle w:val="Hyperlink"/>
                <w:rFonts w:ascii="Times New Roman" w:hAnsi="Times New Roman"/>
                <w:noProof/>
              </w:rPr>
              <w:t>State of play</w:t>
            </w:r>
            <w:r w:rsidR="005163E3">
              <w:rPr>
                <w:noProof/>
                <w:webHidden/>
              </w:rPr>
              <w:tab/>
            </w:r>
            <w:r w:rsidR="005163E3">
              <w:rPr>
                <w:noProof/>
                <w:webHidden/>
              </w:rPr>
              <w:fldChar w:fldCharType="begin"/>
            </w:r>
            <w:r w:rsidR="005163E3">
              <w:rPr>
                <w:noProof/>
                <w:webHidden/>
              </w:rPr>
              <w:instrText xml:space="preserve"> PAGEREF _Toc461050798 \h </w:instrText>
            </w:r>
            <w:r w:rsidR="005163E3">
              <w:rPr>
                <w:noProof/>
                <w:webHidden/>
              </w:rPr>
            </w:r>
            <w:r w:rsidR="005163E3">
              <w:rPr>
                <w:noProof/>
                <w:webHidden/>
              </w:rPr>
              <w:fldChar w:fldCharType="separate"/>
            </w:r>
            <w:r>
              <w:rPr>
                <w:noProof/>
                <w:webHidden/>
              </w:rPr>
              <w:t>7</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799" w:history="1">
            <w:r w:rsidR="005163E3">
              <w:rPr>
                <w:rStyle w:val="Hyperlink"/>
                <w:rFonts w:ascii="Times New Roman" w:hAnsi="Times New Roman"/>
                <w:noProof/>
              </w:rPr>
              <w:t>2.1</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Current state of connectivity in Europe</w:t>
            </w:r>
            <w:r w:rsidR="005163E3">
              <w:rPr>
                <w:noProof/>
                <w:webHidden/>
              </w:rPr>
              <w:tab/>
            </w:r>
            <w:r w:rsidR="005163E3">
              <w:rPr>
                <w:noProof/>
                <w:webHidden/>
              </w:rPr>
              <w:fldChar w:fldCharType="begin"/>
            </w:r>
            <w:r w:rsidR="005163E3">
              <w:rPr>
                <w:noProof/>
                <w:webHidden/>
              </w:rPr>
              <w:instrText xml:space="preserve"> PAGEREF _Toc461050799 \h </w:instrText>
            </w:r>
            <w:r w:rsidR="005163E3">
              <w:rPr>
                <w:noProof/>
                <w:webHidden/>
              </w:rPr>
            </w:r>
            <w:r w:rsidR="005163E3">
              <w:rPr>
                <w:noProof/>
                <w:webHidden/>
              </w:rPr>
              <w:fldChar w:fldCharType="separate"/>
            </w:r>
            <w:r>
              <w:rPr>
                <w:noProof/>
                <w:webHidden/>
              </w:rPr>
              <w:t>7</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00" w:history="1">
            <w:r w:rsidR="005163E3">
              <w:rPr>
                <w:rStyle w:val="Hyperlink"/>
                <w:rFonts w:ascii="Times New Roman" w:hAnsi="Times New Roman"/>
                <w:noProof/>
              </w:rPr>
              <w:t>2.2</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A growing need for connectivity</w:t>
            </w:r>
            <w:r w:rsidR="005163E3">
              <w:rPr>
                <w:noProof/>
                <w:webHidden/>
              </w:rPr>
              <w:tab/>
            </w:r>
            <w:r w:rsidR="005163E3">
              <w:rPr>
                <w:noProof/>
                <w:webHidden/>
              </w:rPr>
              <w:fldChar w:fldCharType="begin"/>
            </w:r>
            <w:r w:rsidR="005163E3">
              <w:rPr>
                <w:noProof/>
                <w:webHidden/>
              </w:rPr>
              <w:instrText xml:space="preserve"> PAGEREF _Toc461050800 \h </w:instrText>
            </w:r>
            <w:r w:rsidR="005163E3">
              <w:rPr>
                <w:noProof/>
                <w:webHidden/>
              </w:rPr>
            </w:r>
            <w:r w:rsidR="005163E3">
              <w:rPr>
                <w:noProof/>
                <w:webHidden/>
              </w:rPr>
              <w:fldChar w:fldCharType="separate"/>
            </w:r>
            <w:r>
              <w:rPr>
                <w:noProof/>
                <w:webHidden/>
              </w:rPr>
              <w:t>14</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01" w:history="1">
            <w:r w:rsidR="005163E3">
              <w:rPr>
                <w:rStyle w:val="Hyperlink"/>
                <w:rFonts w:ascii="Times New Roman" w:hAnsi="Times New Roman"/>
                <w:noProof/>
              </w:rPr>
              <w:t>2.3</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Baseline analysis: from today to 2020 and beyond</w:t>
            </w:r>
            <w:r w:rsidR="005163E3">
              <w:rPr>
                <w:noProof/>
                <w:webHidden/>
              </w:rPr>
              <w:tab/>
            </w:r>
            <w:r w:rsidR="005163E3">
              <w:rPr>
                <w:noProof/>
                <w:webHidden/>
              </w:rPr>
              <w:fldChar w:fldCharType="begin"/>
            </w:r>
            <w:r w:rsidR="005163E3">
              <w:rPr>
                <w:noProof/>
                <w:webHidden/>
              </w:rPr>
              <w:instrText xml:space="preserve"> PAGEREF _Toc461050801 \h </w:instrText>
            </w:r>
            <w:r w:rsidR="005163E3">
              <w:rPr>
                <w:noProof/>
                <w:webHidden/>
              </w:rPr>
            </w:r>
            <w:r w:rsidR="005163E3">
              <w:rPr>
                <w:noProof/>
                <w:webHidden/>
              </w:rPr>
              <w:fldChar w:fldCharType="separate"/>
            </w:r>
            <w:r>
              <w:rPr>
                <w:noProof/>
                <w:webHidden/>
              </w:rPr>
              <w:t>19</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02" w:history="1">
            <w:r w:rsidR="005163E3">
              <w:rPr>
                <w:rStyle w:val="Hyperlink"/>
                <w:rFonts w:ascii="Times New Roman" w:hAnsi="Times New Roman"/>
                <w:noProof/>
              </w:rPr>
              <w:t>2.4</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The gap between bandwidth demand and network capacity deployed</w:t>
            </w:r>
            <w:r w:rsidR="005163E3">
              <w:rPr>
                <w:noProof/>
                <w:webHidden/>
              </w:rPr>
              <w:tab/>
            </w:r>
            <w:r w:rsidR="005163E3">
              <w:rPr>
                <w:noProof/>
                <w:webHidden/>
              </w:rPr>
              <w:fldChar w:fldCharType="begin"/>
            </w:r>
            <w:r w:rsidR="005163E3">
              <w:rPr>
                <w:noProof/>
                <w:webHidden/>
              </w:rPr>
              <w:instrText xml:space="preserve"> PAGEREF _Toc461050802 \h </w:instrText>
            </w:r>
            <w:r w:rsidR="005163E3">
              <w:rPr>
                <w:noProof/>
                <w:webHidden/>
              </w:rPr>
            </w:r>
            <w:r w:rsidR="005163E3">
              <w:rPr>
                <w:noProof/>
                <w:webHidden/>
              </w:rPr>
              <w:fldChar w:fldCharType="separate"/>
            </w:r>
            <w:r>
              <w:rPr>
                <w:noProof/>
                <w:webHidden/>
              </w:rPr>
              <w:t>21</w:t>
            </w:r>
            <w:r w:rsidR="005163E3">
              <w:rPr>
                <w:noProof/>
                <w:webHidden/>
              </w:rPr>
              <w:fldChar w:fldCharType="end"/>
            </w:r>
          </w:hyperlink>
        </w:p>
        <w:p w:rsidR="004C7085" w:rsidRDefault="00350CA5">
          <w:pPr>
            <w:pStyle w:val="TOC1"/>
            <w:rPr>
              <w:rFonts w:asciiTheme="minorHAnsi" w:eastAsiaTheme="minorEastAsia" w:hAnsiTheme="minorHAnsi" w:cstheme="minorBidi"/>
              <w:b w:val="0"/>
              <w:noProof/>
              <w:sz w:val="22"/>
              <w:szCs w:val="22"/>
              <w:lang w:eastAsia="en-GB"/>
            </w:rPr>
          </w:pPr>
          <w:hyperlink w:anchor="_Toc461050803" w:history="1">
            <w:r w:rsidR="005163E3">
              <w:rPr>
                <w:rStyle w:val="Hyperlink"/>
                <w:rFonts w:ascii="Times New Roman" w:hAnsi="Times New Roman"/>
                <w:noProof/>
              </w:rPr>
              <w:t>3.</w:t>
            </w:r>
            <w:r w:rsidR="005163E3">
              <w:rPr>
                <w:rFonts w:asciiTheme="minorHAnsi" w:eastAsiaTheme="minorEastAsia" w:hAnsiTheme="minorHAnsi" w:cstheme="minorBidi"/>
                <w:b w:val="0"/>
                <w:noProof/>
                <w:sz w:val="22"/>
                <w:szCs w:val="22"/>
                <w:lang w:eastAsia="en-GB"/>
              </w:rPr>
              <w:tab/>
            </w:r>
            <w:r w:rsidR="005163E3">
              <w:rPr>
                <w:rStyle w:val="Hyperlink"/>
                <w:rFonts w:ascii="Times New Roman" w:hAnsi="Times New Roman"/>
                <w:noProof/>
              </w:rPr>
              <w:t>Cost and benefits of very high capacity connectivity</w:t>
            </w:r>
            <w:r w:rsidR="005163E3">
              <w:rPr>
                <w:noProof/>
                <w:webHidden/>
              </w:rPr>
              <w:tab/>
            </w:r>
            <w:r w:rsidR="005163E3">
              <w:rPr>
                <w:noProof/>
                <w:webHidden/>
              </w:rPr>
              <w:fldChar w:fldCharType="begin"/>
            </w:r>
            <w:r w:rsidR="005163E3">
              <w:rPr>
                <w:noProof/>
                <w:webHidden/>
              </w:rPr>
              <w:instrText xml:space="preserve"> PAGEREF _Toc461050803 \h </w:instrText>
            </w:r>
            <w:r w:rsidR="005163E3">
              <w:rPr>
                <w:noProof/>
                <w:webHidden/>
              </w:rPr>
            </w:r>
            <w:r w:rsidR="005163E3">
              <w:rPr>
                <w:noProof/>
                <w:webHidden/>
              </w:rPr>
              <w:fldChar w:fldCharType="separate"/>
            </w:r>
            <w:r>
              <w:rPr>
                <w:noProof/>
                <w:webHidden/>
              </w:rPr>
              <w:t>26</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04" w:history="1">
            <w:r w:rsidR="005163E3">
              <w:rPr>
                <w:rStyle w:val="Hyperlink"/>
                <w:rFonts w:ascii="Times New Roman" w:hAnsi="Times New Roman"/>
                <w:noProof/>
              </w:rPr>
              <w:t>3.1</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Costing the networks for a Gigabit Society</w:t>
            </w:r>
            <w:r w:rsidR="005163E3">
              <w:rPr>
                <w:noProof/>
                <w:webHidden/>
              </w:rPr>
              <w:tab/>
            </w:r>
            <w:r w:rsidR="005163E3">
              <w:rPr>
                <w:noProof/>
                <w:webHidden/>
              </w:rPr>
              <w:fldChar w:fldCharType="begin"/>
            </w:r>
            <w:r w:rsidR="005163E3">
              <w:rPr>
                <w:noProof/>
                <w:webHidden/>
              </w:rPr>
              <w:instrText xml:space="preserve"> PAGEREF _Toc461050804 \h </w:instrText>
            </w:r>
            <w:r w:rsidR="005163E3">
              <w:rPr>
                <w:noProof/>
                <w:webHidden/>
              </w:rPr>
            </w:r>
            <w:r w:rsidR="005163E3">
              <w:rPr>
                <w:noProof/>
                <w:webHidden/>
              </w:rPr>
              <w:fldChar w:fldCharType="separate"/>
            </w:r>
            <w:r>
              <w:rPr>
                <w:noProof/>
                <w:webHidden/>
              </w:rPr>
              <w:t>26</w:t>
            </w:r>
            <w:r w:rsidR="005163E3">
              <w:rPr>
                <w:noProof/>
                <w:webHidden/>
              </w:rPr>
              <w:fldChar w:fldCharType="end"/>
            </w:r>
          </w:hyperlink>
        </w:p>
        <w:p w:rsidR="004C7085" w:rsidRDefault="00350CA5">
          <w:pPr>
            <w:pStyle w:val="TOC3"/>
            <w:tabs>
              <w:tab w:val="left" w:pos="1985"/>
            </w:tabs>
            <w:rPr>
              <w:rFonts w:asciiTheme="minorHAnsi" w:eastAsiaTheme="minorEastAsia" w:hAnsiTheme="minorHAnsi" w:cstheme="minorBidi"/>
              <w:noProof/>
              <w:sz w:val="22"/>
              <w:szCs w:val="22"/>
              <w:lang w:eastAsia="en-GB"/>
            </w:rPr>
          </w:pPr>
          <w:hyperlink w:anchor="_Toc461050805" w:history="1">
            <w:r w:rsidR="005163E3">
              <w:rPr>
                <w:rStyle w:val="Hyperlink"/>
                <w:rFonts w:ascii="Times New Roman" w:hAnsi="Times New Roman"/>
                <w:noProof/>
              </w:rPr>
              <w:t>3.1.1</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Costing the gap and the financial endowment of current initiatives</w:t>
            </w:r>
            <w:r w:rsidR="005163E3">
              <w:rPr>
                <w:noProof/>
                <w:webHidden/>
              </w:rPr>
              <w:tab/>
            </w:r>
            <w:r w:rsidR="005163E3">
              <w:rPr>
                <w:noProof/>
                <w:webHidden/>
              </w:rPr>
              <w:fldChar w:fldCharType="begin"/>
            </w:r>
            <w:r w:rsidR="005163E3">
              <w:rPr>
                <w:noProof/>
                <w:webHidden/>
              </w:rPr>
              <w:instrText xml:space="preserve"> PAGEREF _Toc461050805 \h </w:instrText>
            </w:r>
            <w:r w:rsidR="005163E3">
              <w:rPr>
                <w:noProof/>
                <w:webHidden/>
              </w:rPr>
            </w:r>
            <w:r w:rsidR="005163E3">
              <w:rPr>
                <w:noProof/>
                <w:webHidden/>
              </w:rPr>
              <w:fldChar w:fldCharType="separate"/>
            </w:r>
            <w:r>
              <w:rPr>
                <w:noProof/>
                <w:webHidden/>
              </w:rPr>
              <w:t>26</w:t>
            </w:r>
            <w:r w:rsidR="005163E3">
              <w:rPr>
                <w:noProof/>
                <w:webHidden/>
              </w:rPr>
              <w:fldChar w:fldCharType="end"/>
            </w:r>
          </w:hyperlink>
        </w:p>
        <w:p w:rsidR="004C7085" w:rsidRDefault="00350CA5">
          <w:pPr>
            <w:pStyle w:val="TOC3"/>
            <w:tabs>
              <w:tab w:val="left" w:pos="1985"/>
            </w:tabs>
            <w:rPr>
              <w:rFonts w:asciiTheme="minorHAnsi" w:eastAsiaTheme="minorEastAsia" w:hAnsiTheme="minorHAnsi" w:cstheme="minorBidi"/>
              <w:noProof/>
              <w:sz w:val="22"/>
              <w:szCs w:val="22"/>
              <w:lang w:eastAsia="en-GB"/>
            </w:rPr>
          </w:pPr>
          <w:hyperlink w:anchor="_Toc461050806" w:history="1">
            <w:r w:rsidR="005163E3">
              <w:rPr>
                <w:rStyle w:val="Hyperlink"/>
                <w:rFonts w:ascii="Times New Roman" w:hAnsi="Times New Roman"/>
                <w:noProof/>
              </w:rPr>
              <w:t>3.1.2</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The trajectory of private infrastructure investments</w:t>
            </w:r>
            <w:r w:rsidR="005163E3">
              <w:rPr>
                <w:noProof/>
                <w:webHidden/>
              </w:rPr>
              <w:tab/>
            </w:r>
            <w:r w:rsidR="005163E3">
              <w:rPr>
                <w:noProof/>
                <w:webHidden/>
              </w:rPr>
              <w:fldChar w:fldCharType="begin"/>
            </w:r>
            <w:r w:rsidR="005163E3">
              <w:rPr>
                <w:noProof/>
                <w:webHidden/>
              </w:rPr>
              <w:instrText xml:space="preserve"> PAGEREF _Toc461050806 \h </w:instrText>
            </w:r>
            <w:r w:rsidR="005163E3">
              <w:rPr>
                <w:noProof/>
                <w:webHidden/>
              </w:rPr>
            </w:r>
            <w:r w:rsidR="005163E3">
              <w:rPr>
                <w:noProof/>
                <w:webHidden/>
              </w:rPr>
              <w:fldChar w:fldCharType="separate"/>
            </w:r>
            <w:r>
              <w:rPr>
                <w:noProof/>
                <w:webHidden/>
              </w:rPr>
              <w:t>30</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07" w:history="1">
            <w:r w:rsidR="005163E3">
              <w:rPr>
                <w:rStyle w:val="Hyperlink"/>
                <w:rFonts w:ascii="Times New Roman" w:hAnsi="Times New Roman"/>
                <w:noProof/>
              </w:rPr>
              <w:t>3.2</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The importance of defining objectives for broadband</w:t>
            </w:r>
            <w:r w:rsidR="005163E3">
              <w:rPr>
                <w:noProof/>
                <w:webHidden/>
              </w:rPr>
              <w:tab/>
            </w:r>
            <w:r w:rsidR="005163E3">
              <w:rPr>
                <w:noProof/>
                <w:webHidden/>
              </w:rPr>
              <w:fldChar w:fldCharType="begin"/>
            </w:r>
            <w:r w:rsidR="005163E3">
              <w:rPr>
                <w:noProof/>
                <w:webHidden/>
              </w:rPr>
              <w:instrText xml:space="preserve"> PAGEREF _Toc461050807 \h </w:instrText>
            </w:r>
            <w:r w:rsidR="005163E3">
              <w:rPr>
                <w:noProof/>
                <w:webHidden/>
              </w:rPr>
            </w:r>
            <w:r w:rsidR="005163E3">
              <w:rPr>
                <w:noProof/>
                <w:webHidden/>
              </w:rPr>
              <w:fldChar w:fldCharType="separate"/>
            </w:r>
            <w:r>
              <w:rPr>
                <w:noProof/>
                <w:webHidden/>
              </w:rPr>
              <w:t>30</w:t>
            </w:r>
            <w:r w:rsidR="005163E3">
              <w:rPr>
                <w:noProof/>
                <w:webHidden/>
              </w:rPr>
              <w:fldChar w:fldCharType="end"/>
            </w:r>
          </w:hyperlink>
        </w:p>
        <w:p w:rsidR="004C7085" w:rsidRDefault="00350CA5">
          <w:pPr>
            <w:pStyle w:val="TOC1"/>
            <w:rPr>
              <w:rFonts w:asciiTheme="minorHAnsi" w:eastAsiaTheme="minorEastAsia" w:hAnsiTheme="minorHAnsi" w:cstheme="minorBidi"/>
              <w:b w:val="0"/>
              <w:noProof/>
              <w:sz w:val="22"/>
              <w:szCs w:val="22"/>
              <w:lang w:eastAsia="en-GB"/>
            </w:rPr>
          </w:pPr>
          <w:hyperlink w:anchor="_Toc461050808" w:history="1">
            <w:r w:rsidR="005163E3">
              <w:rPr>
                <w:rStyle w:val="Hyperlink"/>
                <w:rFonts w:ascii="Times New Roman" w:hAnsi="Times New Roman"/>
                <w:noProof/>
              </w:rPr>
              <w:t>4.</w:t>
            </w:r>
            <w:r w:rsidR="005163E3">
              <w:rPr>
                <w:rFonts w:asciiTheme="minorHAnsi" w:eastAsiaTheme="minorEastAsia" w:hAnsiTheme="minorHAnsi" w:cstheme="minorBidi"/>
                <w:b w:val="0"/>
                <w:noProof/>
                <w:sz w:val="22"/>
                <w:szCs w:val="22"/>
                <w:lang w:eastAsia="en-GB"/>
              </w:rPr>
              <w:tab/>
            </w:r>
            <w:r w:rsidR="005163E3">
              <w:rPr>
                <w:rStyle w:val="Hyperlink"/>
                <w:rFonts w:ascii="Times New Roman" w:hAnsi="Times New Roman"/>
                <w:noProof/>
              </w:rPr>
              <w:t>Strategic objectives for 2025</w:t>
            </w:r>
            <w:r w:rsidR="005163E3">
              <w:rPr>
                <w:noProof/>
                <w:webHidden/>
              </w:rPr>
              <w:tab/>
            </w:r>
            <w:r w:rsidR="005163E3">
              <w:rPr>
                <w:noProof/>
                <w:webHidden/>
              </w:rPr>
              <w:fldChar w:fldCharType="begin"/>
            </w:r>
            <w:r w:rsidR="005163E3">
              <w:rPr>
                <w:noProof/>
                <w:webHidden/>
              </w:rPr>
              <w:instrText xml:space="preserve"> PAGEREF _Toc461050808 \h </w:instrText>
            </w:r>
            <w:r w:rsidR="005163E3">
              <w:rPr>
                <w:noProof/>
                <w:webHidden/>
              </w:rPr>
            </w:r>
            <w:r w:rsidR="005163E3">
              <w:rPr>
                <w:noProof/>
                <w:webHidden/>
              </w:rPr>
              <w:fldChar w:fldCharType="separate"/>
            </w:r>
            <w:r>
              <w:rPr>
                <w:noProof/>
                <w:webHidden/>
              </w:rPr>
              <w:t>35</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09" w:history="1">
            <w:r w:rsidR="005163E3">
              <w:rPr>
                <w:rStyle w:val="Hyperlink"/>
                <w:rFonts w:ascii="Times New Roman" w:hAnsi="Times New Roman"/>
                <w:noProof/>
              </w:rPr>
              <w:t>4.1</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The importance of setting realistic political guiding objectives</w:t>
            </w:r>
            <w:r w:rsidR="005163E3">
              <w:rPr>
                <w:noProof/>
                <w:webHidden/>
              </w:rPr>
              <w:tab/>
            </w:r>
            <w:r w:rsidR="005163E3">
              <w:rPr>
                <w:noProof/>
                <w:webHidden/>
              </w:rPr>
              <w:fldChar w:fldCharType="begin"/>
            </w:r>
            <w:r w:rsidR="005163E3">
              <w:rPr>
                <w:noProof/>
                <w:webHidden/>
              </w:rPr>
              <w:instrText xml:space="preserve"> PAGEREF _Toc461050809 \h </w:instrText>
            </w:r>
            <w:r w:rsidR="005163E3">
              <w:rPr>
                <w:noProof/>
                <w:webHidden/>
              </w:rPr>
            </w:r>
            <w:r w:rsidR="005163E3">
              <w:rPr>
                <w:noProof/>
                <w:webHidden/>
              </w:rPr>
              <w:fldChar w:fldCharType="separate"/>
            </w:r>
            <w:r>
              <w:rPr>
                <w:noProof/>
                <w:webHidden/>
              </w:rPr>
              <w:t>35</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10" w:history="1">
            <w:r w:rsidR="005163E3">
              <w:rPr>
                <w:rStyle w:val="Hyperlink"/>
                <w:rFonts w:ascii="Times New Roman" w:hAnsi="Times New Roman"/>
                <w:noProof/>
              </w:rPr>
              <w:t>4.2</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Leveraging mutually reinforcing objectives and existing infrastructures</w:t>
            </w:r>
            <w:r w:rsidR="005163E3">
              <w:rPr>
                <w:noProof/>
                <w:webHidden/>
              </w:rPr>
              <w:tab/>
            </w:r>
            <w:r w:rsidR="005163E3">
              <w:rPr>
                <w:noProof/>
                <w:webHidden/>
              </w:rPr>
              <w:fldChar w:fldCharType="begin"/>
            </w:r>
            <w:r w:rsidR="005163E3">
              <w:rPr>
                <w:noProof/>
                <w:webHidden/>
              </w:rPr>
              <w:instrText xml:space="preserve"> PAGEREF _Toc461050810 \h </w:instrText>
            </w:r>
            <w:r w:rsidR="005163E3">
              <w:rPr>
                <w:noProof/>
                <w:webHidden/>
              </w:rPr>
            </w:r>
            <w:r w:rsidR="005163E3">
              <w:rPr>
                <w:noProof/>
                <w:webHidden/>
              </w:rPr>
              <w:fldChar w:fldCharType="separate"/>
            </w:r>
            <w:r>
              <w:rPr>
                <w:noProof/>
                <w:webHidden/>
              </w:rPr>
              <w:t>36</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11" w:history="1">
            <w:r w:rsidR="005163E3">
              <w:rPr>
                <w:rStyle w:val="Hyperlink"/>
                <w:rFonts w:ascii="Times New Roman" w:hAnsi="Times New Roman"/>
                <w:noProof/>
              </w:rPr>
              <w:t>4.3</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Benefits of the strategic objectives for 2025</w:t>
            </w:r>
            <w:r w:rsidR="005163E3">
              <w:rPr>
                <w:noProof/>
                <w:webHidden/>
              </w:rPr>
              <w:tab/>
            </w:r>
            <w:r w:rsidR="005163E3">
              <w:rPr>
                <w:noProof/>
                <w:webHidden/>
              </w:rPr>
              <w:fldChar w:fldCharType="begin"/>
            </w:r>
            <w:r w:rsidR="005163E3">
              <w:rPr>
                <w:noProof/>
                <w:webHidden/>
              </w:rPr>
              <w:instrText xml:space="preserve"> PAGEREF _Toc461050811 \h </w:instrText>
            </w:r>
            <w:r w:rsidR="005163E3">
              <w:rPr>
                <w:noProof/>
                <w:webHidden/>
              </w:rPr>
            </w:r>
            <w:r w:rsidR="005163E3">
              <w:rPr>
                <w:noProof/>
                <w:webHidden/>
              </w:rPr>
              <w:fldChar w:fldCharType="separate"/>
            </w:r>
            <w:r>
              <w:rPr>
                <w:noProof/>
                <w:webHidden/>
              </w:rPr>
              <w:t>36</w:t>
            </w:r>
            <w:r w:rsidR="005163E3">
              <w:rPr>
                <w:noProof/>
                <w:webHidden/>
              </w:rPr>
              <w:fldChar w:fldCharType="end"/>
            </w:r>
          </w:hyperlink>
        </w:p>
        <w:p w:rsidR="004C7085" w:rsidRDefault="00350CA5">
          <w:pPr>
            <w:pStyle w:val="TOC3"/>
            <w:tabs>
              <w:tab w:val="left" w:pos="1985"/>
            </w:tabs>
            <w:rPr>
              <w:rFonts w:asciiTheme="minorHAnsi" w:eastAsiaTheme="minorEastAsia" w:hAnsiTheme="minorHAnsi" w:cstheme="minorBidi"/>
              <w:noProof/>
              <w:sz w:val="22"/>
              <w:szCs w:val="22"/>
              <w:lang w:eastAsia="en-GB"/>
            </w:rPr>
          </w:pPr>
          <w:hyperlink w:anchor="_Toc461050812" w:history="1">
            <w:r w:rsidR="005163E3">
              <w:rPr>
                <w:rStyle w:val="Hyperlink"/>
                <w:rFonts w:ascii="Times New Roman" w:hAnsi="Times New Roman"/>
                <w:noProof/>
              </w:rPr>
              <w:t>4.3.1</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Gigabit connectivity for all main socio-economic drivers such as schools, transport hubs and main providers of public services as well as digitally intensive enterprises</w:t>
            </w:r>
            <w:r w:rsidR="005163E3">
              <w:rPr>
                <w:noProof/>
                <w:webHidden/>
              </w:rPr>
              <w:tab/>
            </w:r>
            <w:r w:rsidR="005163E3">
              <w:rPr>
                <w:noProof/>
                <w:webHidden/>
              </w:rPr>
              <w:fldChar w:fldCharType="begin"/>
            </w:r>
            <w:r w:rsidR="005163E3">
              <w:rPr>
                <w:noProof/>
                <w:webHidden/>
              </w:rPr>
              <w:instrText xml:space="preserve"> PAGEREF _Toc461050812 \h </w:instrText>
            </w:r>
            <w:r w:rsidR="005163E3">
              <w:rPr>
                <w:noProof/>
                <w:webHidden/>
              </w:rPr>
            </w:r>
            <w:r w:rsidR="005163E3">
              <w:rPr>
                <w:noProof/>
                <w:webHidden/>
              </w:rPr>
              <w:fldChar w:fldCharType="separate"/>
            </w:r>
            <w:r>
              <w:rPr>
                <w:noProof/>
                <w:webHidden/>
              </w:rPr>
              <w:t>36</w:t>
            </w:r>
            <w:r w:rsidR="005163E3">
              <w:rPr>
                <w:noProof/>
                <w:webHidden/>
              </w:rPr>
              <w:fldChar w:fldCharType="end"/>
            </w:r>
          </w:hyperlink>
        </w:p>
        <w:p w:rsidR="004C7085" w:rsidRDefault="00350CA5">
          <w:pPr>
            <w:pStyle w:val="TOC3"/>
            <w:tabs>
              <w:tab w:val="left" w:pos="1985"/>
            </w:tabs>
            <w:rPr>
              <w:rFonts w:asciiTheme="minorHAnsi" w:eastAsiaTheme="minorEastAsia" w:hAnsiTheme="minorHAnsi" w:cstheme="minorBidi"/>
              <w:noProof/>
              <w:sz w:val="22"/>
              <w:szCs w:val="22"/>
              <w:lang w:eastAsia="en-GB"/>
            </w:rPr>
          </w:pPr>
          <w:hyperlink w:anchor="_Toc461050813" w:history="1">
            <w:r w:rsidR="005163E3">
              <w:rPr>
                <w:rStyle w:val="Hyperlink"/>
                <w:rFonts w:ascii="Times New Roman" w:hAnsi="Times New Roman"/>
                <w:noProof/>
              </w:rPr>
              <w:t>4.3.2</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High performance 5G connectivity: by 2020 a fully-fledged commercial service in at least one major city in each of the 28 Member States and by 2025 uninterrupted 5G coverage of all urban areas and major terrestrial transport paths</w:t>
            </w:r>
            <w:r w:rsidR="005163E3">
              <w:rPr>
                <w:noProof/>
                <w:webHidden/>
              </w:rPr>
              <w:tab/>
            </w:r>
            <w:r w:rsidR="005163E3">
              <w:rPr>
                <w:noProof/>
                <w:webHidden/>
              </w:rPr>
              <w:fldChar w:fldCharType="begin"/>
            </w:r>
            <w:r w:rsidR="005163E3">
              <w:rPr>
                <w:noProof/>
                <w:webHidden/>
              </w:rPr>
              <w:instrText xml:space="preserve"> PAGEREF _Toc461050813 \h </w:instrText>
            </w:r>
            <w:r w:rsidR="005163E3">
              <w:rPr>
                <w:noProof/>
                <w:webHidden/>
              </w:rPr>
            </w:r>
            <w:r w:rsidR="005163E3">
              <w:rPr>
                <w:noProof/>
                <w:webHidden/>
              </w:rPr>
              <w:fldChar w:fldCharType="separate"/>
            </w:r>
            <w:r>
              <w:rPr>
                <w:noProof/>
                <w:webHidden/>
              </w:rPr>
              <w:t>38</w:t>
            </w:r>
            <w:r w:rsidR="005163E3">
              <w:rPr>
                <w:noProof/>
                <w:webHidden/>
              </w:rPr>
              <w:fldChar w:fldCharType="end"/>
            </w:r>
          </w:hyperlink>
        </w:p>
        <w:p w:rsidR="004C7085" w:rsidRDefault="00350CA5">
          <w:pPr>
            <w:pStyle w:val="TOC3"/>
            <w:tabs>
              <w:tab w:val="left" w:pos="1985"/>
            </w:tabs>
            <w:rPr>
              <w:rFonts w:asciiTheme="minorHAnsi" w:eastAsiaTheme="minorEastAsia" w:hAnsiTheme="minorHAnsi" w:cstheme="minorBidi"/>
              <w:noProof/>
              <w:sz w:val="22"/>
              <w:szCs w:val="22"/>
              <w:lang w:eastAsia="en-GB"/>
            </w:rPr>
          </w:pPr>
          <w:hyperlink w:anchor="_Toc461050814" w:history="1">
            <w:r w:rsidR="005163E3">
              <w:rPr>
                <w:rStyle w:val="Hyperlink"/>
                <w:rFonts w:ascii="Times New Roman" w:hAnsi="Times New Roman"/>
                <w:noProof/>
              </w:rPr>
              <w:t>4.3.3</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All European households, rural or urban, to have access to Internet connectivity offering a download speed of at least 100 Mbps, upgradable to Gigabit speed.</w:t>
            </w:r>
            <w:r w:rsidR="005163E3">
              <w:rPr>
                <w:noProof/>
                <w:webHidden/>
              </w:rPr>
              <w:tab/>
            </w:r>
            <w:r w:rsidR="005163E3">
              <w:rPr>
                <w:noProof/>
                <w:webHidden/>
              </w:rPr>
              <w:fldChar w:fldCharType="begin"/>
            </w:r>
            <w:r w:rsidR="005163E3">
              <w:rPr>
                <w:noProof/>
                <w:webHidden/>
              </w:rPr>
              <w:instrText xml:space="preserve"> PAGEREF _Toc461050814 \h </w:instrText>
            </w:r>
            <w:r w:rsidR="005163E3">
              <w:rPr>
                <w:noProof/>
                <w:webHidden/>
              </w:rPr>
            </w:r>
            <w:r w:rsidR="005163E3">
              <w:rPr>
                <w:noProof/>
                <w:webHidden/>
              </w:rPr>
              <w:fldChar w:fldCharType="separate"/>
            </w:r>
            <w:r>
              <w:rPr>
                <w:noProof/>
                <w:webHidden/>
              </w:rPr>
              <w:t>39</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15" w:history="1">
            <w:r w:rsidR="005163E3">
              <w:rPr>
                <w:rStyle w:val="Hyperlink"/>
                <w:rFonts w:ascii="Times New Roman" w:hAnsi="Times New Roman"/>
                <w:noProof/>
              </w:rPr>
              <w:t>4.4</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The need to prioritise investments</w:t>
            </w:r>
            <w:r w:rsidR="005163E3">
              <w:rPr>
                <w:noProof/>
                <w:webHidden/>
              </w:rPr>
              <w:tab/>
            </w:r>
            <w:r w:rsidR="005163E3">
              <w:rPr>
                <w:noProof/>
                <w:webHidden/>
              </w:rPr>
              <w:fldChar w:fldCharType="begin"/>
            </w:r>
            <w:r w:rsidR="005163E3">
              <w:rPr>
                <w:noProof/>
                <w:webHidden/>
              </w:rPr>
              <w:instrText xml:space="preserve"> PAGEREF _Toc461050815 \h </w:instrText>
            </w:r>
            <w:r w:rsidR="005163E3">
              <w:rPr>
                <w:noProof/>
                <w:webHidden/>
              </w:rPr>
            </w:r>
            <w:r w:rsidR="005163E3">
              <w:rPr>
                <w:noProof/>
                <w:webHidden/>
              </w:rPr>
              <w:fldChar w:fldCharType="separate"/>
            </w:r>
            <w:r>
              <w:rPr>
                <w:noProof/>
                <w:webHidden/>
              </w:rPr>
              <w:t>41</w:t>
            </w:r>
            <w:r w:rsidR="005163E3">
              <w:rPr>
                <w:noProof/>
                <w:webHidden/>
              </w:rPr>
              <w:fldChar w:fldCharType="end"/>
            </w:r>
          </w:hyperlink>
        </w:p>
        <w:p w:rsidR="004C7085" w:rsidRDefault="005163E3">
          <w:pPr>
            <w:pStyle w:val="TOC2"/>
            <w:rPr>
              <w:rStyle w:val="Hyperlink"/>
              <w:noProof/>
            </w:rPr>
          </w:pPr>
          <w:r>
            <w:rPr>
              <w:rFonts w:ascii="Times New Roman" w:hAnsi="Times New Roman"/>
              <w:b/>
              <w:noProof/>
            </w:rPr>
            <w:t>Annex: Technological developments</w:t>
          </w:r>
        </w:p>
        <w:p w:rsidR="004C7085" w:rsidRDefault="00350CA5">
          <w:pPr>
            <w:pStyle w:val="TOC2"/>
            <w:rPr>
              <w:rFonts w:asciiTheme="minorHAnsi" w:eastAsiaTheme="minorEastAsia" w:hAnsiTheme="minorHAnsi" w:cstheme="minorBidi"/>
              <w:noProof/>
              <w:sz w:val="22"/>
              <w:szCs w:val="22"/>
              <w:lang w:eastAsia="en-GB"/>
            </w:rPr>
          </w:pPr>
          <w:hyperlink w:anchor="_Toc461050816" w:history="1">
            <w:r w:rsidR="005163E3">
              <w:rPr>
                <w:rStyle w:val="Hyperlink"/>
                <w:rFonts w:ascii="Times New Roman" w:hAnsi="Times New Roman"/>
                <w:noProof/>
              </w:rPr>
              <w:t>I.</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Which technology?</w:t>
            </w:r>
            <w:r w:rsidR="005163E3">
              <w:rPr>
                <w:noProof/>
                <w:webHidden/>
              </w:rPr>
              <w:tab/>
            </w:r>
            <w:r w:rsidR="005163E3">
              <w:rPr>
                <w:noProof/>
                <w:webHidden/>
              </w:rPr>
              <w:fldChar w:fldCharType="begin"/>
            </w:r>
            <w:r w:rsidR="005163E3">
              <w:rPr>
                <w:noProof/>
                <w:webHidden/>
              </w:rPr>
              <w:instrText xml:space="preserve"> PAGEREF _Toc461050816 \h </w:instrText>
            </w:r>
            <w:r w:rsidR="005163E3">
              <w:rPr>
                <w:noProof/>
                <w:webHidden/>
              </w:rPr>
            </w:r>
            <w:r w:rsidR="005163E3">
              <w:rPr>
                <w:noProof/>
                <w:webHidden/>
              </w:rPr>
              <w:fldChar w:fldCharType="separate"/>
            </w:r>
            <w:r>
              <w:rPr>
                <w:noProof/>
                <w:webHidden/>
              </w:rPr>
              <w:t>43</w:t>
            </w:r>
            <w:r w:rsidR="005163E3">
              <w:rPr>
                <w:noProof/>
                <w:webHidden/>
              </w:rPr>
              <w:fldChar w:fldCharType="end"/>
            </w:r>
          </w:hyperlink>
        </w:p>
        <w:p w:rsidR="004C7085" w:rsidRDefault="00350CA5">
          <w:pPr>
            <w:pStyle w:val="TOC2"/>
            <w:tabs>
              <w:tab w:val="left" w:pos="709"/>
            </w:tabs>
            <w:rPr>
              <w:rFonts w:asciiTheme="minorHAnsi" w:eastAsiaTheme="minorEastAsia" w:hAnsiTheme="minorHAnsi" w:cstheme="minorBidi"/>
              <w:noProof/>
              <w:sz w:val="22"/>
              <w:szCs w:val="22"/>
              <w:lang w:eastAsia="en-GB"/>
            </w:rPr>
          </w:pPr>
          <w:hyperlink w:anchor="_Toc461050817" w:history="1">
            <w:r w:rsidR="005163E3">
              <w:rPr>
                <w:rStyle w:val="Hyperlink"/>
                <w:rFonts w:ascii="Times New Roman" w:hAnsi="Times New Roman"/>
                <w:noProof/>
              </w:rPr>
              <w:t>II.</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What will technology deliver</w:t>
            </w:r>
            <w:r w:rsidR="005163E3">
              <w:rPr>
                <w:noProof/>
                <w:webHidden/>
              </w:rPr>
              <w:tab/>
            </w:r>
            <w:r w:rsidR="005163E3">
              <w:rPr>
                <w:noProof/>
                <w:webHidden/>
              </w:rPr>
              <w:fldChar w:fldCharType="begin"/>
            </w:r>
            <w:r w:rsidR="005163E3">
              <w:rPr>
                <w:noProof/>
                <w:webHidden/>
              </w:rPr>
              <w:instrText xml:space="preserve"> PAGEREF _Toc461050817 \h </w:instrText>
            </w:r>
            <w:r w:rsidR="005163E3">
              <w:rPr>
                <w:noProof/>
                <w:webHidden/>
              </w:rPr>
            </w:r>
            <w:r w:rsidR="005163E3">
              <w:rPr>
                <w:noProof/>
                <w:webHidden/>
              </w:rPr>
              <w:fldChar w:fldCharType="separate"/>
            </w:r>
            <w:r>
              <w:rPr>
                <w:noProof/>
                <w:webHidden/>
              </w:rPr>
              <w:t>44</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18" w:history="1">
            <w:r w:rsidR="005163E3">
              <w:rPr>
                <w:rStyle w:val="Hyperlink"/>
                <w:rFonts w:ascii="Times New Roman" w:hAnsi="Times New Roman"/>
                <w:noProof/>
              </w:rPr>
              <w:t>III.</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Copper based technologies</w:t>
            </w:r>
            <w:r w:rsidR="005163E3">
              <w:rPr>
                <w:noProof/>
                <w:webHidden/>
              </w:rPr>
              <w:tab/>
            </w:r>
            <w:r w:rsidR="005163E3">
              <w:rPr>
                <w:noProof/>
                <w:webHidden/>
              </w:rPr>
              <w:fldChar w:fldCharType="begin"/>
            </w:r>
            <w:r w:rsidR="005163E3">
              <w:rPr>
                <w:noProof/>
                <w:webHidden/>
              </w:rPr>
              <w:instrText xml:space="preserve"> PAGEREF _Toc461050818 \h </w:instrText>
            </w:r>
            <w:r w:rsidR="005163E3">
              <w:rPr>
                <w:noProof/>
                <w:webHidden/>
              </w:rPr>
            </w:r>
            <w:r w:rsidR="005163E3">
              <w:rPr>
                <w:noProof/>
                <w:webHidden/>
              </w:rPr>
              <w:fldChar w:fldCharType="separate"/>
            </w:r>
            <w:r>
              <w:rPr>
                <w:noProof/>
                <w:webHidden/>
              </w:rPr>
              <w:t>45</w:t>
            </w:r>
            <w:r w:rsidR="005163E3">
              <w:rPr>
                <w:noProof/>
                <w:webHidden/>
              </w:rPr>
              <w:fldChar w:fldCharType="end"/>
            </w:r>
          </w:hyperlink>
        </w:p>
        <w:p w:rsidR="004C7085" w:rsidRDefault="00350CA5">
          <w:pPr>
            <w:pStyle w:val="TOC2"/>
            <w:tabs>
              <w:tab w:val="left" w:pos="1276"/>
            </w:tabs>
            <w:rPr>
              <w:rFonts w:asciiTheme="minorHAnsi" w:eastAsiaTheme="minorEastAsia" w:hAnsiTheme="minorHAnsi" w:cstheme="minorBidi"/>
              <w:noProof/>
              <w:sz w:val="22"/>
              <w:szCs w:val="22"/>
              <w:lang w:eastAsia="en-GB"/>
            </w:rPr>
          </w:pPr>
          <w:hyperlink w:anchor="_Toc461050819" w:history="1">
            <w:r w:rsidR="005163E3">
              <w:rPr>
                <w:rStyle w:val="Hyperlink"/>
                <w:rFonts w:ascii="Times New Roman" w:hAnsi="Times New Roman"/>
                <w:noProof/>
              </w:rPr>
              <w:t>IV.</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Optical fibre – a new generation of networks</w:t>
            </w:r>
            <w:r w:rsidR="005163E3">
              <w:rPr>
                <w:noProof/>
                <w:webHidden/>
              </w:rPr>
              <w:tab/>
            </w:r>
            <w:r w:rsidR="005163E3">
              <w:rPr>
                <w:noProof/>
                <w:webHidden/>
              </w:rPr>
              <w:fldChar w:fldCharType="begin"/>
            </w:r>
            <w:r w:rsidR="005163E3">
              <w:rPr>
                <w:noProof/>
                <w:webHidden/>
              </w:rPr>
              <w:instrText xml:space="preserve"> PAGEREF _Toc461050819 \h </w:instrText>
            </w:r>
            <w:r w:rsidR="005163E3">
              <w:rPr>
                <w:noProof/>
                <w:webHidden/>
              </w:rPr>
            </w:r>
            <w:r w:rsidR="005163E3">
              <w:rPr>
                <w:noProof/>
                <w:webHidden/>
              </w:rPr>
              <w:fldChar w:fldCharType="separate"/>
            </w:r>
            <w:r>
              <w:rPr>
                <w:noProof/>
                <w:webHidden/>
              </w:rPr>
              <w:t>48</w:t>
            </w:r>
            <w:r w:rsidR="005163E3">
              <w:rPr>
                <w:noProof/>
                <w:webHidden/>
              </w:rPr>
              <w:fldChar w:fldCharType="end"/>
            </w:r>
          </w:hyperlink>
        </w:p>
        <w:p w:rsidR="004C7085" w:rsidRDefault="00350CA5">
          <w:pPr>
            <w:pStyle w:val="TOC2"/>
            <w:rPr>
              <w:rFonts w:asciiTheme="minorHAnsi" w:eastAsiaTheme="minorEastAsia" w:hAnsiTheme="minorHAnsi" w:cstheme="minorBidi"/>
              <w:noProof/>
              <w:sz w:val="22"/>
              <w:szCs w:val="22"/>
              <w:lang w:eastAsia="en-GB"/>
            </w:rPr>
          </w:pPr>
          <w:hyperlink w:anchor="_Toc461050820" w:history="1">
            <w:r w:rsidR="005163E3">
              <w:rPr>
                <w:rStyle w:val="Hyperlink"/>
                <w:rFonts w:ascii="Times New Roman" w:hAnsi="Times New Roman"/>
                <w:noProof/>
              </w:rPr>
              <w:t>a.</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Fibre-to-the-Business</w:t>
            </w:r>
            <w:r w:rsidR="005163E3">
              <w:rPr>
                <w:noProof/>
                <w:webHidden/>
              </w:rPr>
              <w:tab/>
            </w:r>
            <w:r w:rsidR="005163E3">
              <w:rPr>
                <w:noProof/>
                <w:webHidden/>
              </w:rPr>
              <w:fldChar w:fldCharType="begin"/>
            </w:r>
            <w:r w:rsidR="005163E3">
              <w:rPr>
                <w:noProof/>
                <w:webHidden/>
              </w:rPr>
              <w:instrText xml:space="preserve"> PAGEREF _Toc461050820 \h </w:instrText>
            </w:r>
            <w:r w:rsidR="005163E3">
              <w:rPr>
                <w:noProof/>
                <w:webHidden/>
              </w:rPr>
            </w:r>
            <w:r w:rsidR="005163E3">
              <w:rPr>
                <w:noProof/>
                <w:webHidden/>
              </w:rPr>
              <w:fldChar w:fldCharType="separate"/>
            </w:r>
            <w:r>
              <w:rPr>
                <w:noProof/>
                <w:webHidden/>
              </w:rPr>
              <w:t>49</w:t>
            </w:r>
            <w:r w:rsidR="005163E3">
              <w:rPr>
                <w:noProof/>
                <w:webHidden/>
              </w:rPr>
              <w:fldChar w:fldCharType="end"/>
            </w:r>
          </w:hyperlink>
        </w:p>
        <w:p w:rsidR="004C7085" w:rsidRDefault="00350CA5">
          <w:pPr>
            <w:pStyle w:val="TOC2"/>
            <w:tabs>
              <w:tab w:val="left" w:pos="709"/>
            </w:tabs>
            <w:rPr>
              <w:rFonts w:asciiTheme="minorHAnsi" w:eastAsiaTheme="minorEastAsia" w:hAnsiTheme="minorHAnsi" w:cstheme="minorBidi"/>
              <w:noProof/>
              <w:sz w:val="22"/>
              <w:szCs w:val="22"/>
              <w:lang w:eastAsia="en-GB"/>
            </w:rPr>
          </w:pPr>
          <w:hyperlink w:anchor="_Toc461050821" w:history="1">
            <w:r w:rsidR="005163E3">
              <w:rPr>
                <w:rStyle w:val="Hyperlink"/>
                <w:rFonts w:ascii="Times New Roman" w:hAnsi="Times New Roman"/>
                <w:noProof/>
              </w:rPr>
              <w:t>b.</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Fibre-to-the-Home</w:t>
            </w:r>
            <w:r w:rsidR="005163E3">
              <w:rPr>
                <w:noProof/>
                <w:webHidden/>
              </w:rPr>
              <w:tab/>
            </w:r>
            <w:r w:rsidR="005163E3">
              <w:rPr>
                <w:noProof/>
                <w:webHidden/>
              </w:rPr>
              <w:fldChar w:fldCharType="begin"/>
            </w:r>
            <w:r w:rsidR="005163E3">
              <w:rPr>
                <w:noProof/>
                <w:webHidden/>
              </w:rPr>
              <w:instrText xml:space="preserve"> PAGEREF _Toc461050821 \h </w:instrText>
            </w:r>
            <w:r w:rsidR="005163E3">
              <w:rPr>
                <w:noProof/>
                <w:webHidden/>
              </w:rPr>
            </w:r>
            <w:r w:rsidR="005163E3">
              <w:rPr>
                <w:noProof/>
                <w:webHidden/>
              </w:rPr>
              <w:fldChar w:fldCharType="separate"/>
            </w:r>
            <w:r>
              <w:rPr>
                <w:noProof/>
                <w:webHidden/>
              </w:rPr>
              <w:t>49</w:t>
            </w:r>
            <w:r w:rsidR="005163E3">
              <w:rPr>
                <w:noProof/>
                <w:webHidden/>
              </w:rPr>
              <w:fldChar w:fldCharType="end"/>
            </w:r>
          </w:hyperlink>
        </w:p>
        <w:p w:rsidR="004C7085" w:rsidRDefault="00350CA5">
          <w:pPr>
            <w:pStyle w:val="TOC2"/>
            <w:rPr>
              <w:rFonts w:asciiTheme="minorHAnsi" w:eastAsiaTheme="minorEastAsia" w:hAnsiTheme="minorHAnsi" w:cstheme="minorBidi"/>
              <w:noProof/>
              <w:sz w:val="22"/>
              <w:szCs w:val="22"/>
              <w:lang w:eastAsia="en-GB"/>
            </w:rPr>
          </w:pPr>
          <w:hyperlink w:anchor="_Toc461050822" w:history="1">
            <w:r w:rsidR="005163E3">
              <w:rPr>
                <w:rStyle w:val="Hyperlink"/>
                <w:rFonts w:ascii="Times New Roman" w:hAnsi="Times New Roman"/>
                <w:noProof/>
              </w:rPr>
              <w:t>c.</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Outlook for the 2025 horizon</w:t>
            </w:r>
            <w:r w:rsidR="005163E3">
              <w:rPr>
                <w:noProof/>
                <w:webHidden/>
              </w:rPr>
              <w:tab/>
            </w:r>
            <w:r w:rsidR="005163E3">
              <w:rPr>
                <w:noProof/>
                <w:webHidden/>
              </w:rPr>
              <w:fldChar w:fldCharType="begin"/>
            </w:r>
            <w:r w:rsidR="005163E3">
              <w:rPr>
                <w:noProof/>
                <w:webHidden/>
              </w:rPr>
              <w:instrText xml:space="preserve"> PAGEREF _Toc461050822 \h </w:instrText>
            </w:r>
            <w:r w:rsidR="005163E3">
              <w:rPr>
                <w:noProof/>
                <w:webHidden/>
              </w:rPr>
            </w:r>
            <w:r w:rsidR="005163E3">
              <w:rPr>
                <w:noProof/>
                <w:webHidden/>
              </w:rPr>
              <w:fldChar w:fldCharType="separate"/>
            </w:r>
            <w:r>
              <w:rPr>
                <w:noProof/>
                <w:webHidden/>
              </w:rPr>
              <w:t>50</w:t>
            </w:r>
            <w:r w:rsidR="005163E3">
              <w:rPr>
                <w:noProof/>
                <w:webHidden/>
              </w:rPr>
              <w:fldChar w:fldCharType="end"/>
            </w:r>
          </w:hyperlink>
        </w:p>
        <w:p w:rsidR="004C7085" w:rsidRDefault="00350CA5">
          <w:pPr>
            <w:pStyle w:val="TOC2"/>
            <w:tabs>
              <w:tab w:val="left" w:pos="709"/>
            </w:tabs>
            <w:rPr>
              <w:rFonts w:asciiTheme="minorHAnsi" w:eastAsiaTheme="minorEastAsia" w:hAnsiTheme="minorHAnsi" w:cstheme="minorBidi"/>
              <w:noProof/>
              <w:sz w:val="22"/>
              <w:szCs w:val="22"/>
              <w:lang w:eastAsia="en-GB"/>
            </w:rPr>
          </w:pPr>
          <w:hyperlink w:anchor="_Toc461050823" w:history="1">
            <w:r w:rsidR="005163E3">
              <w:rPr>
                <w:rStyle w:val="Hyperlink"/>
                <w:rFonts w:ascii="Times New Roman" w:hAnsi="Times New Roman"/>
                <w:noProof/>
              </w:rPr>
              <w:t>d.</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Investing in FTTH</w:t>
            </w:r>
            <w:r w:rsidR="005163E3">
              <w:rPr>
                <w:noProof/>
                <w:webHidden/>
              </w:rPr>
              <w:tab/>
            </w:r>
            <w:r w:rsidR="005163E3">
              <w:rPr>
                <w:noProof/>
                <w:webHidden/>
              </w:rPr>
              <w:fldChar w:fldCharType="begin"/>
            </w:r>
            <w:r w:rsidR="005163E3">
              <w:rPr>
                <w:noProof/>
                <w:webHidden/>
              </w:rPr>
              <w:instrText xml:space="preserve"> PAGEREF _Toc461050823 \h </w:instrText>
            </w:r>
            <w:r w:rsidR="005163E3">
              <w:rPr>
                <w:noProof/>
                <w:webHidden/>
              </w:rPr>
            </w:r>
            <w:r w:rsidR="005163E3">
              <w:rPr>
                <w:noProof/>
                <w:webHidden/>
              </w:rPr>
              <w:fldChar w:fldCharType="separate"/>
            </w:r>
            <w:r>
              <w:rPr>
                <w:noProof/>
                <w:webHidden/>
              </w:rPr>
              <w:t>50</w:t>
            </w:r>
            <w:r w:rsidR="005163E3">
              <w:rPr>
                <w:noProof/>
                <w:webHidden/>
              </w:rPr>
              <w:fldChar w:fldCharType="end"/>
            </w:r>
          </w:hyperlink>
        </w:p>
        <w:p w:rsidR="004C7085" w:rsidRDefault="00350CA5">
          <w:pPr>
            <w:pStyle w:val="TOC2"/>
            <w:rPr>
              <w:rFonts w:asciiTheme="minorHAnsi" w:eastAsiaTheme="minorEastAsia" w:hAnsiTheme="minorHAnsi" w:cstheme="minorBidi"/>
              <w:noProof/>
              <w:sz w:val="22"/>
              <w:szCs w:val="22"/>
              <w:lang w:eastAsia="en-GB"/>
            </w:rPr>
          </w:pPr>
          <w:hyperlink w:anchor="_Toc461050824" w:history="1">
            <w:r w:rsidR="005163E3">
              <w:rPr>
                <w:rStyle w:val="Hyperlink"/>
                <w:rFonts w:ascii="Times New Roman" w:hAnsi="Times New Roman"/>
                <w:noProof/>
              </w:rPr>
              <w:t>e.</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Will fibre-based technologies be able to meet growing demand?</w:t>
            </w:r>
            <w:r w:rsidR="005163E3">
              <w:rPr>
                <w:noProof/>
                <w:webHidden/>
              </w:rPr>
              <w:tab/>
            </w:r>
            <w:r w:rsidR="005163E3">
              <w:rPr>
                <w:noProof/>
                <w:webHidden/>
              </w:rPr>
              <w:fldChar w:fldCharType="begin"/>
            </w:r>
            <w:r w:rsidR="005163E3">
              <w:rPr>
                <w:noProof/>
                <w:webHidden/>
              </w:rPr>
              <w:instrText xml:space="preserve"> PAGEREF _Toc461050824 \h </w:instrText>
            </w:r>
            <w:r w:rsidR="005163E3">
              <w:rPr>
                <w:noProof/>
                <w:webHidden/>
              </w:rPr>
            </w:r>
            <w:r w:rsidR="005163E3">
              <w:rPr>
                <w:noProof/>
                <w:webHidden/>
              </w:rPr>
              <w:fldChar w:fldCharType="separate"/>
            </w:r>
            <w:r>
              <w:rPr>
                <w:noProof/>
                <w:webHidden/>
              </w:rPr>
              <w:t>51</w:t>
            </w:r>
            <w:r w:rsidR="005163E3">
              <w:rPr>
                <w:noProof/>
                <w:webHidden/>
              </w:rPr>
              <w:fldChar w:fldCharType="end"/>
            </w:r>
          </w:hyperlink>
        </w:p>
        <w:p w:rsidR="004C7085" w:rsidRDefault="00350CA5">
          <w:pPr>
            <w:pStyle w:val="TOC2"/>
            <w:tabs>
              <w:tab w:val="left" w:pos="709"/>
            </w:tabs>
            <w:rPr>
              <w:rFonts w:asciiTheme="minorHAnsi" w:eastAsiaTheme="minorEastAsia" w:hAnsiTheme="minorHAnsi" w:cstheme="minorBidi"/>
              <w:noProof/>
              <w:sz w:val="22"/>
              <w:szCs w:val="22"/>
              <w:lang w:eastAsia="en-GB"/>
            </w:rPr>
          </w:pPr>
          <w:hyperlink w:anchor="_Toc461050825" w:history="1">
            <w:r w:rsidR="005163E3">
              <w:rPr>
                <w:rStyle w:val="Hyperlink"/>
                <w:rFonts w:ascii="Times New Roman" w:hAnsi="Times New Roman"/>
                <w:noProof/>
              </w:rPr>
              <w:t>V.</w:t>
            </w:r>
            <w:r w:rsidR="005163E3">
              <w:rPr>
                <w:rFonts w:asciiTheme="minorHAnsi" w:eastAsiaTheme="minorEastAsia" w:hAnsiTheme="minorHAnsi" w:cstheme="minorBidi"/>
                <w:noProof/>
                <w:sz w:val="22"/>
                <w:szCs w:val="22"/>
                <w:lang w:eastAsia="en-GB"/>
              </w:rPr>
              <w:tab/>
            </w:r>
            <w:r w:rsidR="005163E3">
              <w:rPr>
                <w:rStyle w:val="Hyperlink"/>
                <w:rFonts w:ascii="Times New Roman" w:hAnsi="Times New Roman"/>
                <w:noProof/>
              </w:rPr>
              <w:t>Wireless technological developments</w:t>
            </w:r>
            <w:r w:rsidR="005163E3">
              <w:rPr>
                <w:noProof/>
                <w:webHidden/>
              </w:rPr>
              <w:tab/>
            </w:r>
            <w:r w:rsidR="005163E3">
              <w:rPr>
                <w:noProof/>
                <w:webHidden/>
              </w:rPr>
              <w:fldChar w:fldCharType="begin"/>
            </w:r>
            <w:r w:rsidR="005163E3">
              <w:rPr>
                <w:noProof/>
                <w:webHidden/>
              </w:rPr>
              <w:instrText xml:space="preserve"> PAGEREF _Toc461050825 \h </w:instrText>
            </w:r>
            <w:r w:rsidR="005163E3">
              <w:rPr>
                <w:noProof/>
                <w:webHidden/>
              </w:rPr>
            </w:r>
            <w:r w:rsidR="005163E3">
              <w:rPr>
                <w:noProof/>
                <w:webHidden/>
              </w:rPr>
              <w:fldChar w:fldCharType="separate"/>
            </w:r>
            <w:r>
              <w:rPr>
                <w:noProof/>
                <w:webHidden/>
              </w:rPr>
              <w:t>52</w:t>
            </w:r>
            <w:r w:rsidR="005163E3">
              <w:rPr>
                <w:noProof/>
                <w:webHidden/>
              </w:rPr>
              <w:fldChar w:fldCharType="end"/>
            </w:r>
          </w:hyperlink>
        </w:p>
        <w:p w:rsidR="004C7085" w:rsidRDefault="005163E3">
          <w:pPr>
            <w:spacing w:after="240" w:line="240" w:lineRule="auto"/>
            <w:jc w:val="both"/>
            <w:rPr>
              <w:rFonts w:ascii="Times New Roman" w:hAnsi="Times New Roman"/>
              <w:noProof/>
            </w:rPr>
          </w:pPr>
          <w:r>
            <w:rPr>
              <w:b/>
              <w:noProof/>
              <w:sz w:val="24"/>
              <w:szCs w:val="24"/>
            </w:rPr>
            <w:fldChar w:fldCharType="end"/>
          </w:r>
        </w:p>
      </w:sdtContent>
    </w:sdt>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4C7085" w:rsidRDefault="005163E3">
      <w:p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4C7085" w:rsidRDefault="005163E3">
      <w:pPr>
        <w:pStyle w:val="Heading1"/>
        <w:numPr>
          <w:ilvl w:val="0"/>
          <w:numId w:val="13"/>
        </w:numPr>
        <w:spacing w:before="0" w:after="120" w:line="240" w:lineRule="auto"/>
        <w:rPr>
          <w:rFonts w:ascii="Times New Roman" w:hAnsi="Times New Roman"/>
          <w:noProof/>
          <w:u w:val="single"/>
        </w:rPr>
      </w:pPr>
      <w:bookmarkStart w:id="2" w:name="_Toc458161123"/>
      <w:bookmarkStart w:id="3" w:name="_Toc458188064"/>
      <w:bookmarkStart w:id="4" w:name="_Toc458188223"/>
      <w:bookmarkStart w:id="5" w:name="_Toc458450288"/>
      <w:bookmarkStart w:id="6" w:name="_Toc458461560"/>
      <w:bookmarkStart w:id="7" w:name="_Toc458467523"/>
      <w:bookmarkStart w:id="8" w:name="_Toc458257412"/>
      <w:bookmarkStart w:id="9" w:name="_Toc461050795"/>
      <w:r>
        <w:rPr>
          <w:rFonts w:ascii="Times New Roman" w:hAnsi="Times New Roman"/>
          <w:noProof/>
          <w:u w:val="single"/>
        </w:rPr>
        <w:lastRenderedPageBreak/>
        <w:t>Introduction</w:t>
      </w:r>
      <w:bookmarkEnd w:id="2"/>
      <w:bookmarkEnd w:id="3"/>
      <w:bookmarkEnd w:id="4"/>
      <w:bookmarkEnd w:id="5"/>
      <w:bookmarkEnd w:id="6"/>
      <w:bookmarkEnd w:id="7"/>
      <w:bookmarkEnd w:id="8"/>
      <w:bookmarkEnd w:id="9"/>
    </w:p>
    <w:p w:rsidR="004C7085" w:rsidRDefault="004C7085">
      <w:pPr>
        <w:spacing w:after="120" w:line="240" w:lineRule="auto"/>
        <w:jc w:val="both"/>
        <w:rPr>
          <w:rFonts w:ascii="Times New Roman" w:hAnsi="Times New Roman" w:cs="Times New Roman"/>
          <w:noProof/>
          <w:sz w:val="24"/>
          <w:szCs w:val="24"/>
        </w:rPr>
      </w:pP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Staff Working Document accompanies the Communication "Connectivity for a Competitive Digital Single Market – Towards a European Gigabit Society". The purpose of this document is to provide the background information which underpins the Commission's choice of new proposed long term strategic objectives for 2025 to focus on Europe's connectivity needs beyond 2020. </w:t>
      </w:r>
    </w:p>
    <w:p w:rsidR="004C7085" w:rsidRDefault="004C7085">
      <w:pPr>
        <w:spacing w:after="120" w:line="240" w:lineRule="auto"/>
        <w:jc w:val="both"/>
        <w:rPr>
          <w:rFonts w:ascii="Times New Roman" w:hAnsi="Times New Roman" w:cs="Times New Roman"/>
          <w:noProof/>
          <w:sz w:val="24"/>
          <w:szCs w:val="24"/>
        </w:rPr>
      </w:pPr>
    </w:p>
    <w:p w:rsidR="004C7085" w:rsidRDefault="005163E3">
      <w:pPr>
        <w:pStyle w:val="Heading2"/>
        <w:spacing w:before="0" w:after="120" w:line="240" w:lineRule="auto"/>
        <w:jc w:val="both"/>
        <w:rPr>
          <w:rFonts w:ascii="Times New Roman" w:hAnsi="Times New Roman" w:cs="Times New Roman"/>
          <w:noProof/>
          <w:sz w:val="24"/>
        </w:rPr>
      </w:pPr>
      <w:bookmarkStart w:id="10" w:name="_Toc458188065"/>
      <w:bookmarkStart w:id="11" w:name="_Toc458188224"/>
      <w:bookmarkStart w:id="12" w:name="_Toc458450289"/>
      <w:bookmarkStart w:id="13" w:name="_Toc458461561"/>
      <w:bookmarkStart w:id="14" w:name="_Toc458467524"/>
      <w:bookmarkStart w:id="15" w:name="_Toc458257413"/>
      <w:bookmarkStart w:id="16" w:name="_Toc461050796"/>
      <w:r>
        <w:rPr>
          <w:rFonts w:ascii="Times New Roman" w:hAnsi="Times New Roman" w:cs="Times New Roman"/>
          <w:noProof/>
          <w:sz w:val="24"/>
          <w:szCs w:val="24"/>
        </w:rPr>
        <w:t>G</w:t>
      </w:r>
      <w:r>
        <w:rPr>
          <w:rFonts w:ascii="Times New Roman" w:hAnsi="Times New Roman" w:cs="Times New Roman"/>
          <w:noProof/>
          <w:sz w:val="24"/>
        </w:rPr>
        <w:t>rowing demand for connectivity</w:t>
      </w:r>
      <w:bookmarkEnd w:id="10"/>
      <w:bookmarkEnd w:id="11"/>
      <w:bookmarkEnd w:id="12"/>
      <w:bookmarkEnd w:id="13"/>
      <w:bookmarkEnd w:id="14"/>
      <w:bookmarkEnd w:id="15"/>
      <w:bookmarkEnd w:id="16"/>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creation of a connected Digital Single Market is one of the top priorities of the European Commission. One of the three pillars of the European Commission's Digital Single Market Strategy of May 2015 aims to create the right environment and conditions for the deployment of very high-capacity networks. Both the European Parliament</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and the European Council</w:t>
      </w:r>
      <w:r>
        <w:rPr>
          <w:rStyle w:val="FootnoteReference"/>
          <w:rFonts w:ascii="Times New Roman" w:hAnsi="Times New Roman" w:cs="Times New Roman"/>
          <w:noProof/>
          <w:sz w:val="24"/>
          <w:szCs w:val="24"/>
          <w:lang w:eastAsia="zh-TW"/>
        </w:rPr>
        <w:footnoteReference w:id="3"/>
      </w:r>
      <w:r>
        <w:rPr>
          <w:rFonts w:ascii="Times New Roman" w:hAnsi="Times New Roman" w:cs="Times New Roman"/>
          <w:noProof/>
          <w:sz w:val="24"/>
          <w:szCs w:val="24"/>
        </w:rPr>
        <w:t xml:space="preserve"> have recently emphasized the need for more Internet connectivity. </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prerequisite to achieve a fully functional </w:t>
      </w:r>
      <w:r>
        <w:rPr>
          <w:rFonts w:ascii="Times New Roman" w:hAnsi="Times New Roman" w:cs="Times New Roman"/>
          <w:noProof/>
          <w:sz w:val="24"/>
          <w:szCs w:val="24"/>
        </w:rPr>
        <w:t xml:space="preserve">Digital Single Market </w:t>
      </w:r>
      <w:r>
        <w:rPr>
          <w:rFonts w:ascii="Times New Roman" w:hAnsi="Times New Roman" w:cs="Times New Roman"/>
          <w:noProof/>
          <w:sz w:val="24"/>
        </w:rPr>
        <w:t>is to ensure access to ubiquitous, very</w:t>
      </w:r>
      <w:r>
        <w:rPr>
          <w:rFonts w:ascii="Times New Roman" w:hAnsi="Times New Roman" w:cs="Times New Roman"/>
          <w:noProof/>
          <w:sz w:val="24"/>
          <w:szCs w:val="24"/>
        </w:rPr>
        <w:t xml:space="preserve"> </w:t>
      </w:r>
      <w:r>
        <w:rPr>
          <w:rFonts w:ascii="Times New Roman" w:hAnsi="Times New Roman" w:cs="Times New Roman"/>
          <w:noProof/>
          <w:sz w:val="24"/>
        </w:rPr>
        <w:t xml:space="preserve">high-capacity fixed and mobile infrastructures. The increase in data consumption and usages (see section 2.2) and the process of aggregation and convergence between wireless and fixed networks will require the provision of </w:t>
      </w:r>
      <w:r>
        <w:rPr>
          <w:rFonts w:ascii="Times New Roman" w:hAnsi="Times New Roman" w:cs="Times New Roman"/>
          <w:noProof/>
          <w:sz w:val="24"/>
          <w:szCs w:val="24"/>
        </w:rPr>
        <w:t>very high-capacity (VHC) networks</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w:t>
      </w:r>
      <w:r>
        <w:rPr>
          <w:rFonts w:ascii="Times New Roman" w:hAnsi="Times New Roman" w:cs="Times New Roman"/>
          <w:noProof/>
          <w:sz w:val="24"/>
        </w:rPr>
        <w:t xml:space="preserve">ever closer to the end-user. </w:t>
      </w:r>
    </w:p>
    <w:p w:rsidR="004C7085" w:rsidRDefault="005163E3">
      <w:pPr>
        <w:spacing w:after="120" w:line="240" w:lineRule="auto"/>
        <w:jc w:val="both"/>
        <w:rPr>
          <w:rFonts w:ascii="Times New Roman" w:hAnsi="Times New Roman" w:cs="Times New Roman"/>
          <w:i/>
          <w:noProof/>
          <w:sz w:val="24"/>
          <w:u w:val="single"/>
        </w:rPr>
      </w:pPr>
      <w:r>
        <w:rPr>
          <w:rFonts w:ascii="Times New Roman" w:hAnsi="Times New Roman" w:cs="Times New Roman"/>
          <w:noProof/>
          <w:sz w:val="24"/>
        </w:rPr>
        <w:t>This is particularly relevant in view of Europe's competitive position in the Global Digital Economy. Gigabit connectivity is already a reality in countries such as Japan and South Korea, and is translating into increasing usage of video and high bandwidth applications. Bandwidth usage in Korea has historically been considerably higher than in Europe. It now also seems that Japan, which initially had limited bandwidth usage despite high fibre coverage, is starting to take off and would overtake Europe according to forecasts from IDATE</w:t>
      </w:r>
      <w:r>
        <w:rPr>
          <w:rFonts w:ascii="Times New Roman" w:hAnsi="Times New Roman"/>
          <w:noProof/>
          <w:sz w:val="24"/>
          <w:vertAlign w:val="superscript"/>
        </w:rPr>
        <w:footnoteReference w:id="5"/>
      </w:r>
      <w:r>
        <w:rPr>
          <w:rFonts w:ascii="Times New Roman" w:hAnsi="Times New Roman" w:cs="Times New Roman"/>
          <w:noProof/>
          <w:sz w:val="24"/>
        </w:rPr>
        <w:t>. In mid-2015, VHC networks represented around 70% of total fixed broadband in Japan and South Korea. Comparing the dynamics of investment into high capacity networks it can be concluded that South Korea and Japan have already entered into the Gigabit era, and China and Russia are also pursuing network rollout at a similar level of ambition. In comparison, by mid-2015, in the EU NGA networks represented 9% of the total fixed broadband subscriptions and e.g. Fibre to the Premises (FTTP) coverage was 20</w:t>
      </w:r>
      <w:r>
        <w:rPr>
          <w:rFonts w:ascii="Times New Roman" w:hAnsi="Times New Roman" w:cs="Times New Roman"/>
          <w:noProof/>
          <w:sz w:val="24"/>
          <w:szCs w:val="24"/>
        </w:rPr>
        <w:t>.8</w:t>
      </w:r>
      <w:r>
        <w:rPr>
          <w:rFonts w:ascii="Times New Roman" w:hAnsi="Times New Roman" w:cs="Times New Roman"/>
          <w:noProof/>
          <w:sz w:val="24"/>
        </w:rPr>
        <w:t xml:space="preserve">%, although in some Member States, such as Estonia, Portugal, Spain and Sweden, deployment was taking place at a much more significant scale. </w:t>
      </w:r>
    </w:p>
    <w:p w:rsidR="004C7085" w:rsidRDefault="005163E3">
      <w:pPr>
        <w:pStyle w:val="Heading4"/>
        <w:keepNext/>
        <w:rPr>
          <w:noProof/>
        </w:rPr>
      </w:pPr>
      <w:r>
        <w:rPr>
          <w:noProof/>
        </w:rPr>
        <w:lastRenderedPageBreak/>
        <w:t xml:space="preserve">Figure 1: </w:t>
      </w:r>
      <w:r>
        <w:rPr>
          <w:noProof/>
          <w:color w:val="000000"/>
        </w:rPr>
        <w:t>VHC coverage in the European Union, June 2015</w:t>
      </w:r>
    </w:p>
    <w:p w:rsidR="004C7085" w:rsidRDefault="005163E3">
      <w:pPr>
        <w:spacing w:after="120" w:line="240" w:lineRule="auto"/>
        <w:jc w:val="both"/>
        <w:rPr>
          <w:rFonts w:ascii="Times New Roman" w:hAnsi="Times New Roman"/>
          <w:noProof/>
        </w:rPr>
      </w:pPr>
      <w:r>
        <w:rPr>
          <w:rFonts w:ascii="Times New Roman" w:hAnsi="Times New Roman"/>
          <w:noProof/>
          <w:lang w:eastAsia="en-GB"/>
        </w:rPr>
        <w:drawing>
          <wp:inline distT="0" distB="0" distL="0" distR="0" wp14:anchorId="6D4DA560" wp14:editId="56CE4730">
            <wp:extent cx="5657351" cy="1809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3949" cy="1808662"/>
                    </a:xfrm>
                    <a:prstGeom prst="rect">
                      <a:avLst/>
                    </a:prstGeom>
                    <a:noFill/>
                  </pic:spPr>
                </pic:pic>
              </a:graphicData>
            </a:graphic>
          </wp:inline>
        </w:drawing>
      </w:r>
    </w:p>
    <w:p w:rsidR="004C7085" w:rsidRDefault="004C7085">
      <w:pPr>
        <w:spacing w:after="120" w:line="240" w:lineRule="auto"/>
        <w:jc w:val="both"/>
        <w:rPr>
          <w:rFonts w:ascii="Times New Roman" w:hAnsi="Times New Roman"/>
          <w:noProof/>
        </w:rPr>
      </w:pPr>
    </w:p>
    <w:p w:rsidR="004C7085" w:rsidRDefault="005163E3">
      <w:pPr>
        <w:spacing w:after="120" w:line="240" w:lineRule="auto"/>
        <w:jc w:val="both"/>
        <w:rPr>
          <w:rFonts w:ascii="Times New Roman" w:hAnsi="Times New Roman" w:cs="Times New Roman"/>
          <w:noProof/>
          <w:sz w:val="24"/>
          <w:szCs w:val="24"/>
        </w:rPr>
      </w:pPr>
      <w:r>
        <w:rPr>
          <w:rStyle w:val="Corpsdutexte"/>
          <w:rFonts w:ascii="Times New Roman" w:eastAsia="Times New Roman" w:hAnsi="Times New Roman" w:cs="Times New Roman"/>
          <w:noProof/>
          <w:color w:val="000000"/>
          <w:sz w:val="24"/>
          <w:szCs w:val="24"/>
          <w:lang w:val="en-US"/>
        </w:rPr>
        <w:t xml:space="preserve">When considering the growing capacity needs in terms of network infrastructures, there is a need to take into account how new devices are enabling the development of new applications </w:t>
      </w:r>
      <w:r>
        <w:rPr>
          <w:rStyle w:val="Corpsdutexte"/>
          <w:rFonts w:ascii="Times New Roman" w:eastAsia="Times New Roman" w:hAnsi="Times New Roman" w:cs="Times New Roman"/>
          <w:noProof/>
          <w:color w:val="000000"/>
          <w:sz w:val="24"/>
          <w:szCs w:val="24"/>
        </w:rPr>
        <w:t>(e.g.</w:t>
      </w:r>
      <w:r>
        <w:rPr>
          <w:rStyle w:val="Corpsdutexte"/>
          <w:rFonts w:ascii="Times New Roman" w:eastAsia="Times New Roman" w:hAnsi="Times New Roman" w:cs="Times New Roman"/>
          <w:noProof/>
          <w:color w:val="000000"/>
          <w:sz w:val="24"/>
          <w:szCs w:val="24"/>
          <w:lang w:val="en-US"/>
        </w:rPr>
        <w:t xml:space="preserve"> smartphones) and affecting customer bandwidth requirements (e.g. larger screens and higher resolution). In addition, </w:t>
      </w:r>
      <w:r>
        <w:rPr>
          <w:rFonts w:ascii="Times New Roman" w:hAnsi="Times New Roman"/>
          <w:noProof/>
          <w:sz w:val="24"/>
        </w:rPr>
        <w:t>a single connection/subscription often serves simultaneously multiple users, in particular for households with children, SMEs and organisations like schools and libraries, further increasing the need to ensure speed and quality of experience.</w:t>
      </w:r>
      <w:r>
        <w:rPr>
          <w:rFonts w:ascii="Times New Roman" w:hAnsi="Times New Roman" w:cs="Times New Roman"/>
          <w:noProof/>
          <w:sz w:val="24"/>
          <w:szCs w:val="24"/>
        </w:rPr>
        <w:t xml:space="preserve">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widespread adoption of cloud services</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the number of connected devices (IoT) and the booming Machine-to-Machine (M2M) industry</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is also contributing to further increase the traffic load on communications networks, including mobile networks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szCs w:val="24"/>
        </w:rPr>
        <w:t xml:space="preserve">In particular the growing use of smartphones and tablets increases the traffic per wireless access point (Wi-Fi and/or 4G/LTE base stations) and will require increasingly smaller cells to deliver the planned 5G connectivity performance. The volume of data that will transit through future 5G </w:t>
      </w:r>
      <w:r>
        <w:rPr>
          <w:rFonts w:ascii="Times New Roman" w:hAnsi="Times New Roman" w:cs="Times New Roman"/>
          <w:noProof/>
          <w:sz w:val="24"/>
        </w:rPr>
        <w:t xml:space="preserve">small cells will reach several gigabits per second (Gbps) and be further aggregated into multi-Gbps traffic streams.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rPr>
        <w:t>This requires appropriate high capacity backhaul communications, which will mostly be fibre-based links, making 5G a complement but not a replacement to fixed VHC networks in areas with such a dense concentration of connected devices and users. In addition, developments in 5G are likely to lead to massively improved fixed wireless (as opposed to cellular wireless) solutions.</w:t>
      </w:r>
    </w:p>
    <w:p w:rsidR="004C7085" w:rsidRDefault="004C7085">
      <w:pPr>
        <w:spacing w:after="120" w:line="240" w:lineRule="auto"/>
        <w:jc w:val="both"/>
        <w:rPr>
          <w:rFonts w:ascii="Times New Roman" w:hAnsi="Times New Roman" w:cs="Times New Roman"/>
          <w:noProof/>
          <w:sz w:val="24"/>
          <w:szCs w:val="24"/>
        </w:rPr>
      </w:pPr>
    </w:p>
    <w:p w:rsidR="004C7085" w:rsidRDefault="005163E3">
      <w:pPr>
        <w:pStyle w:val="Heading2"/>
        <w:spacing w:before="0" w:after="120" w:line="240" w:lineRule="auto"/>
        <w:jc w:val="both"/>
        <w:rPr>
          <w:rFonts w:ascii="Times New Roman" w:hAnsi="Times New Roman" w:cs="Times New Roman"/>
          <w:noProof/>
          <w:sz w:val="24"/>
        </w:rPr>
      </w:pPr>
      <w:bookmarkStart w:id="17" w:name="_Toc458161124"/>
      <w:bookmarkStart w:id="18" w:name="_Toc458188066"/>
      <w:bookmarkStart w:id="19" w:name="_Toc458188225"/>
      <w:bookmarkStart w:id="20" w:name="_Toc458450290"/>
      <w:bookmarkStart w:id="21" w:name="_Toc458461562"/>
      <w:bookmarkStart w:id="22" w:name="_Toc458467525"/>
      <w:bookmarkStart w:id="23" w:name="_Toc458257414"/>
      <w:bookmarkStart w:id="24" w:name="_Toc461050797"/>
      <w:r>
        <w:rPr>
          <w:rFonts w:ascii="Times New Roman" w:hAnsi="Times New Roman" w:cs="Times New Roman"/>
          <w:noProof/>
          <w:sz w:val="24"/>
        </w:rPr>
        <w:t>The</w:t>
      </w:r>
      <w:r>
        <w:rPr>
          <w:rFonts w:ascii="Times New Roman" w:hAnsi="Times New Roman" w:cs="Times New Roman"/>
          <w:noProof/>
          <w:sz w:val="24"/>
          <w:szCs w:val="24"/>
        </w:rPr>
        <w:t xml:space="preserve"> user's perspectives</w:t>
      </w:r>
      <w:bookmarkEnd w:id="17"/>
      <w:bookmarkEnd w:id="18"/>
      <w:bookmarkEnd w:id="19"/>
      <w:bookmarkEnd w:id="20"/>
      <w:bookmarkEnd w:id="21"/>
      <w:bookmarkEnd w:id="22"/>
      <w:bookmarkEnd w:id="23"/>
      <w:bookmarkEnd w:id="24"/>
    </w:p>
    <w:p w:rsidR="004C7085" w:rsidRDefault="005163E3">
      <w:pPr>
        <w:pStyle w:val="Corps"/>
        <w:spacing w:after="120"/>
        <w:rPr>
          <w:rFonts w:cs="Times New Roman"/>
          <w:noProof/>
          <w:lang w:val="en-GB"/>
        </w:rPr>
      </w:pPr>
      <w:r>
        <w:rPr>
          <w:rFonts w:cs="Times New Roman"/>
          <w:noProof/>
          <w:lang w:val="en-GB"/>
        </w:rPr>
        <w:t>The results</w:t>
      </w:r>
      <w:r>
        <w:rPr>
          <w:rStyle w:val="FootnoteReference"/>
          <w:rFonts w:cs="Times New Roman"/>
          <w:noProof/>
          <w:lang w:val="en-GB"/>
        </w:rPr>
        <w:footnoteReference w:id="9"/>
      </w:r>
      <w:r>
        <w:rPr>
          <w:rFonts w:cs="Times New Roman"/>
          <w:noProof/>
          <w:lang w:val="en-GB"/>
        </w:rPr>
        <w:t xml:space="preserve"> of the public consultation launched last year by the European Commission on the need for Internet speed and quality beyond 2020 show the perception of respondents – mostly individual and business users – that important improvement in connectivity features is needed </w:t>
      </w:r>
      <w:r>
        <w:rPr>
          <w:rFonts w:cs="Times New Roman"/>
          <w:noProof/>
          <w:lang w:val="en-GB"/>
        </w:rPr>
        <w:lastRenderedPageBreak/>
        <w:t>for the future. The public consultation was addressed to all types of users in all sectors. Some 1550 respondents from across Europe contributed to the public consultation, of which around 85% as individuals and 15% as (public or private) organisations. In particular, the results of the public consultation show the following main trends:</w:t>
      </w:r>
    </w:p>
    <w:p w:rsidR="004C7085" w:rsidRDefault="005163E3">
      <w:pPr>
        <w:pStyle w:val="Corps"/>
        <w:numPr>
          <w:ilvl w:val="0"/>
          <w:numId w:val="10"/>
        </w:numPr>
        <w:spacing w:after="120"/>
        <w:rPr>
          <w:rFonts w:cs="Times New Roman"/>
          <w:noProof/>
          <w:lang w:val="en-GB"/>
        </w:rPr>
      </w:pPr>
      <w:r>
        <w:rPr>
          <w:rFonts w:cs="Times New Roman"/>
          <w:noProof/>
          <w:lang w:val="en-GB"/>
        </w:rPr>
        <w:t>Good connectivity is seen as a</w:t>
      </w:r>
      <w:r>
        <w:rPr>
          <w:rFonts w:cs="Times New Roman"/>
          <w:b/>
          <w:noProof/>
          <w:lang w:val="en-GB"/>
        </w:rPr>
        <w:t xml:space="preserve"> necessary condition to achieve the Digital Single Market, for citizens, for the industry, for businesses</w:t>
      </w:r>
      <w:r>
        <w:rPr>
          <w:rFonts w:cs="Times New Roman"/>
          <w:noProof/>
          <w:lang w:val="en-GB"/>
        </w:rPr>
        <w:t xml:space="preserve"> (whatever their size and sector of the economy), </w:t>
      </w:r>
      <w:r>
        <w:rPr>
          <w:rFonts w:cs="Times New Roman"/>
          <w:b/>
          <w:noProof/>
          <w:lang w:val="en-GB"/>
        </w:rPr>
        <w:t>for schools, for research and innovation centres</w:t>
      </w:r>
      <w:r>
        <w:rPr>
          <w:rFonts w:cs="Times New Roman"/>
          <w:noProof/>
          <w:lang w:val="en-GB"/>
        </w:rPr>
        <w:t>, as well as – more generally - for competitiveness, jobs and growth. Inadequate connectivity is considered as a risk or a high risk for around three quarters of the respondents – affecting in particular employment, cohesion, education and learning, research and data driven activities, consumer welfare, and accessibility.</w:t>
      </w:r>
    </w:p>
    <w:p w:rsidR="004C7085" w:rsidRDefault="005163E3">
      <w:pPr>
        <w:pStyle w:val="Corps"/>
        <w:numPr>
          <w:ilvl w:val="0"/>
          <w:numId w:val="10"/>
        </w:numPr>
        <w:spacing w:after="120"/>
        <w:rPr>
          <w:rFonts w:cs="Times New Roman"/>
          <w:noProof/>
          <w:lang w:val="en-GB"/>
        </w:rPr>
      </w:pPr>
      <w:r>
        <w:rPr>
          <w:rFonts w:cs="Times New Roman"/>
          <w:noProof/>
          <w:lang w:val="en-GB"/>
        </w:rPr>
        <w:t xml:space="preserve">While </w:t>
      </w:r>
      <w:r>
        <w:rPr>
          <w:rFonts w:cs="Times New Roman"/>
          <w:b/>
          <w:noProof/>
          <w:lang w:val="en-GB"/>
        </w:rPr>
        <w:t>respondents pointed to download speed as the most important feature</w:t>
      </w:r>
      <w:r>
        <w:rPr>
          <w:rFonts w:cs="Times New Roman"/>
          <w:noProof/>
          <w:lang w:val="en-GB"/>
        </w:rPr>
        <w:t xml:space="preserve"> of fixed connectivity today, </w:t>
      </w:r>
      <w:r>
        <w:rPr>
          <w:rFonts w:cs="Times New Roman"/>
          <w:b/>
          <w:noProof/>
          <w:lang w:val="en-GB"/>
        </w:rPr>
        <w:t>other connectivity features will gain significant importance</w:t>
      </w:r>
      <w:r>
        <w:rPr>
          <w:rFonts w:cs="Times New Roman"/>
          <w:noProof/>
          <w:lang w:val="en-GB"/>
        </w:rPr>
        <w:t xml:space="preserve"> in the future - notably upload speed, reliability and uninterrupted access.</w:t>
      </w:r>
    </w:p>
    <w:p w:rsidR="004C7085" w:rsidRDefault="005163E3">
      <w:pPr>
        <w:pStyle w:val="Corps"/>
        <w:numPr>
          <w:ilvl w:val="0"/>
          <w:numId w:val="10"/>
        </w:numPr>
        <w:spacing w:after="120"/>
        <w:rPr>
          <w:rFonts w:cs="Times New Roman"/>
          <w:noProof/>
          <w:lang w:val="en-GB"/>
        </w:rPr>
      </w:pPr>
      <w:r>
        <w:rPr>
          <w:rFonts w:cs="Times New Roman"/>
          <w:noProof/>
          <w:lang w:val="en-GB"/>
        </w:rPr>
        <w:t xml:space="preserve">Contributors have a </w:t>
      </w:r>
      <w:r>
        <w:rPr>
          <w:rFonts w:cs="Times New Roman"/>
          <w:b/>
          <w:noProof/>
          <w:lang w:val="en-GB"/>
        </w:rPr>
        <w:t>low trust that future connectivity would spontaneously emerge</w:t>
      </w:r>
      <w:r>
        <w:rPr>
          <w:rFonts w:cs="Times New Roman"/>
          <w:noProof/>
          <w:lang w:val="en-GB"/>
        </w:rPr>
        <w:t xml:space="preserve"> at a level of quality and speed that would fulfil their needs: more than half declared themselves sceptical. </w:t>
      </w:r>
    </w:p>
    <w:p w:rsidR="004C7085" w:rsidRDefault="005163E3">
      <w:pPr>
        <w:pStyle w:val="Corps"/>
        <w:numPr>
          <w:ilvl w:val="0"/>
          <w:numId w:val="10"/>
        </w:numPr>
        <w:spacing w:after="120"/>
        <w:rPr>
          <w:rFonts w:cs="Times New Roman"/>
          <w:noProof/>
          <w:lang w:val="en-GB"/>
        </w:rPr>
      </w:pPr>
      <w:r>
        <w:rPr>
          <w:rFonts w:cs="Times New Roman"/>
          <w:noProof/>
          <w:lang w:val="en-GB"/>
        </w:rPr>
        <w:t>Among the respondents who are pessimistic or very pessimistic about the fulfilment of their future fixed and/or mobile connectivity needs in 2025, close to</w:t>
      </w:r>
      <w:r>
        <w:rPr>
          <w:rFonts w:cs="Times New Roman"/>
          <w:b/>
          <w:noProof/>
          <w:lang w:val="en-GB"/>
        </w:rPr>
        <w:t xml:space="preserve"> 90% think that measures by public authorities are needed to promote investment in and take-up of connectivity networks and services </w:t>
      </w:r>
      <w:r>
        <w:rPr>
          <w:rFonts w:cs="Times New Roman"/>
          <w:noProof/>
          <w:lang w:val="en-GB"/>
        </w:rPr>
        <w:t>in line with (or even beyond) identified future needs.</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The results of a representative Eurobarometer survey</w:t>
      </w:r>
      <w:r>
        <w:rPr>
          <w:rStyle w:val="FootnoteReference"/>
          <w:rFonts w:ascii="Times New Roman" w:hAnsi="Times New Roman" w:cs="Times New Roman"/>
          <w:noProof/>
          <w:sz w:val="24"/>
        </w:rPr>
        <w:footnoteReference w:id="10"/>
      </w:r>
      <w:r>
        <w:rPr>
          <w:rFonts w:ascii="Times New Roman" w:hAnsi="Times New Roman" w:cs="Times New Roman"/>
          <w:noProof/>
          <w:sz w:val="24"/>
        </w:rPr>
        <w:t xml:space="preserve">, carried out in the 28 Member States of the European Union between 17 and 26 October 2015, confirm that when subscribing to an Internet connection, respondents are increasingly likely to consider quality criteria. They are important criteria for 70% of customers, which makes them the second most important. In terms of trend, quality criteria are those that gained most in importance compared with 2014: e.g. +7 points for maximum download or upload speed, +6 points for maximum amount of data downloaded or uploaded. </w:t>
      </w:r>
    </w:p>
    <w:p w:rsidR="004C7085" w:rsidRDefault="005163E3">
      <w:pPr>
        <w:pStyle w:val="Corps"/>
        <w:spacing w:after="120"/>
        <w:rPr>
          <w:rFonts w:cs="Times New Roman"/>
          <w:noProof/>
          <w:lang w:val="en-GB"/>
        </w:rPr>
      </w:pPr>
      <w:r>
        <w:rPr>
          <w:rFonts w:cs="Times New Roman"/>
          <w:noProof/>
          <w:lang w:val="en-GB"/>
        </w:rPr>
        <w:t>Figure 2 summarises the main trends as far as households' Internet access is concerned.</w:t>
      </w:r>
    </w:p>
    <w:p w:rsidR="004C7085" w:rsidRDefault="005163E3">
      <w:pPr>
        <w:pStyle w:val="Heading4"/>
        <w:keepNext/>
        <w:rPr>
          <w:noProof/>
        </w:rPr>
      </w:pPr>
      <w:r>
        <w:rPr>
          <w:noProof/>
        </w:rPr>
        <w:lastRenderedPageBreak/>
        <w:t>Figure 2: Percentage of households with fixed and/or mobile Internet access in EU</w:t>
      </w:r>
    </w:p>
    <w:p w:rsidR="004C7085" w:rsidRDefault="004C7085">
      <w:pPr>
        <w:keepNext/>
        <w:autoSpaceDE w:val="0"/>
        <w:autoSpaceDN w:val="0"/>
        <w:adjustRightInd w:val="0"/>
        <w:spacing w:after="120" w:line="240" w:lineRule="auto"/>
        <w:jc w:val="both"/>
        <w:rPr>
          <w:rFonts w:ascii="Times New Roman" w:hAnsi="Times New Roman" w:cs="Times New Roman"/>
          <w:noProof/>
          <w:sz w:val="24"/>
        </w:rPr>
      </w:pPr>
    </w:p>
    <w:p w:rsidR="004C7085" w:rsidRDefault="005163E3">
      <w:pPr>
        <w:spacing w:after="120" w:line="240" w:lineRule="auto"/>
        <w:jc w:val="center"/>
        <w:rPr>
          <w:rFonts w:ascii="Times New Roman" w:hAnsi="Times New Roman" w:cs="Times New Roman"/>
          <w:noProof/>
        </w:rPr>
      </w:pPr>
      <w:r>
        <w:rPr>
          <w:rFonts w:ascii="Times New Roman" w:hAnsi="Times New Roman" w:cs="Times New Roman"/>
          <w:noProof/>
          <w:lang w:eastAsia="en-GB"/>
        </w:rPr>
        <w:drawing>
          <wp:inline distT="0" distB="0" distL="0" distR="0" wp14:anchorId="428DEB42" wp14:editId="59870F41">
            <wp:extent cx="3909722" cy="307969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0708" cy="3080475"/>
                    </a:xfrm>
                    <a:prstGeom prst="rect">
                      <a:avLst/>
                    </a:prstGeom>
                    <a:noFill/>
                    <a:ln>
                      <a:noFill/>
                    </a:ln>
                  </pic:spPr>
                </pic:pic>
              </a:graphicData>
            </a:graphic>
          </wp:inline>
        </w:drawing>
      </w:r>
    </w:p>
    <w:p w:rsidR="004C7085" w:rsidRDefault="005163E3">
      <w:pPr>
        <w:spacing w:after="120" w:line="240" w:lineRule="auto"/>
        <w:ind w:left="1440"/>
        <w:jc w:val="both"/>
        <w:rPr>
          <w:rStyle w:val="Corpsdutexte"/>
          <w:rFonts w:ascii="Times New Roman" w:eastAsia="Times New Roman" w:hAnsi="Times New Roman" w:cs="Times New Roman"/>
          <w:noProof/>
          <w:color w:val="000000"/>
          <w:sz w:val="24"/>
          <w:szCs w:val="24"/>
          <w:lang w:val="en-US"/>
        </w:rPr>
      </w:pPr>
      <w:r>
        <w:rPr>
          <w:rFonts w:ascii="Times New Roman" w:hAnsi="Times New Roman" w:cs="Times New Roman"/>
          <w:i/>
          <w:noProof/>
          <w:sz w:val="20"/>
        </w:rPr>
        <w:t xml:space="preserve">Base: All respondents (n = 27822) </w:t>
      </w:r>
    </w:p>
    <w:p w:rsidR="004C7085" w:rsidRDefault="004C7085">
      <w:pPr>
        <w:spacing w:after="120" w:line="240" w:lineRule="auto"/>
        <w:jc w:val="both"/>
        <w:rPr>
          <w:rFonts w:ascii="Times New Roman" w:hAnsi="Times New Roman" w:cs="Times New Roman"/>
          <w:noProof/>
        </w:rPr>
      </w:pPr>
    </w:p>
    <w:p w:rsidR="004C7085" w:rsidRDefault="005163E3">
      <w:pPr>
        <w:spacing w:after="120" w:line="240" w:lineRule="auto"/>
        <w:jc w:val="both"/>
        <w:rPr>
          <w:rStyle w:val="Corpsdutexte"/>
          <w:rFonts w:ascii="Times New Roman" w:hAnsi="Times New Roman"/>
          <w:noProof/>
          <w:color w:val="000000"/>
          <w:sz w:val="24"/>
          <w:lang w:val="en-US"/>
        </w:rPr>
      </w:pPr>
      <w:r>
        <w:rPr>
          <w:rFonts w:ascii="Times New Roman" w:hAnsi="Times New Roman" w:cs="Times New Roman"/>
          <w:noProof/>
          <w:sz w:val="24"/>
          <w:szCs w:val="24"/>
        </w:rPr>
        <w:t xml:space="preserve">These trends underline the growing needs for Internet connectivity for all the sectors of the European economy and show that expanding individual usage aggregates into quickly growing demand for VHC fixed and mobile broadband infrastructures that can underpin the Digital Single Market. </w:t>
      </w:r>
      <w:r>
        <w:rPr>
          <w:rFonts w:ascii="Times New Roman" w:hAnsi="Times New Roman" w:cs="Times New Roman"/>
          <w:noProof/>
          <w:sz w:val="24"/>
        </w:rPr>
        <w:t xml:space="preserve">When considering these trends in Europe, it should further be emphasised </w:t>
      </w:r>
      <w:r>
        <w:rPr>
          <w:rStyle w:val="Corpsdutexte"/>
          <w:rFonts w:ascii="Times New Roman" w:eastAsia="Times New Roman" w:hAnsi="Times New Roman" w:cs="Times New Roman"/>
          <w:noProof/>
          <w:color w:val="000000"/>
          <w:sz w:val="24"/>
          <w:szCs w:val="24"/>
          <w:lang w:val="en-US"/>
        </w:rPr>
        <w:t>that future needs should in particular take into account current practices of today's "digital natives" (below 25 years old)</w:t>
      </w:r>
      <w:r>
        <w:rPr>
          <w:rStyle w:val="Corpsdutexte"/>
          <w:rFonts w:ascii="Times New Roman" w:hAnsi="Times New Roman"/>
          <w:noProof/>
          <w:color w:val="000000"/>
          <w:sz w:val="24"/>
          <w:lang w:val="en-US"/>
        </w:rPr>
        <w:t xml:space="preserve"> </w:t>
      </w:r>
      <w:r>
        <w:rPr>
          <w:rStyle w:val="Corpsdutexte"/>
          <w:rFonts w:ascii="Times New Roman" w:eastAsia="Times New Roman" w:hAnsi="Times New Roman" w:cs="Times New Roman"/>
          <w:noProof/>
          <w:color w:val="000000"/>
          <w:sz w:val="24"/>
          <w:szCs w:val="24"/>
          <w:lang w:val="en-US"/>
        </w:rPr>
        <w:t xml:space="preserve">since they </w:t>
      </w:r>
      <w:r>
        <w:rPr>
          <w:rStyle w:val="Corpsdutexte"/>
          <w:rFonts w:ascii="Times New Roman" w:hAnsi="Times New Roman"/>
          <w:noProof/>
          <w:color w:val="000000"/>
          <w:sz w:val="24"/>
          <w:lang w:val="en-US"/>
        </w:rPr>
        <w:t xml:space="preserve">will increasingly influence mainstream </w:t>
      </w:r>
      <w:r>
        <w:rPr>
          <w:rStyle w:val="Corpsdutexte"/>
          <w:rFonts w:ascii="Times New Roman" w:eastAsia="Times New Roman" w:hAnsi="Times New Roman" w:cs="Times New Roman"/>
          <w:noProof/>
          <w:color w:val="000000"/>
          <w:sz w:val="24"/>
          <w:szCs w:val="24"/>
          <w:lang w:val="en-US"/>
        </w:rPr>
        <w:t>data consumption patterns as this generation grows in demographic terms and becomes part of tomorrow's workforce</w:t>
      </w:r>
      <w:r>
        <w:rPr>
          <w:rStyle w:val="Corpsdutexte"/>
          <w:rFonts w:ascii="Times New Roman" w:hAnsi="Times New Roman"/>
          <w:noProof/>
          <w:color w:val="000000"/>
          <w:sz w:val="24"/>
          <w:lang w:val="en-US"/>
        </w:rPr>
        <w:t xml:space="preserve">. </w:t>
      </w:r>
    </w:p>
    <w:p w:rsidR="004C7085" w:rsidRDefault="005163E3">
      <w:pPr>
        <w:spacing w:after="120" w:line="240" w:lineRule="auto"/>
        <w:jc w:val="both"/>
        <w:rPr>
          <w:rFonts w:ascii="Times New Roman" w:hAnsi="Times New Roman" w:cs="Times New Roman"/>
          <w:noProof/>
          <w:sz w:val="24"/>
          <w:szCs w:val="24"/>
        </w:rPr>
      </w:pPr>
      <w:r>
        <w:rPr>
          <w:rStyle w:val="Corpsdutexte"/>
          <w:rFonts w:ascii="Times New Roman" w:eastAsia="Times New Roman" w:hAnsi="Times New Roman" w:cs="Times New Roman"/>
          <w:noProof/>
          <w:color w:val="000000"/>
          <w:sz w:val="24"/>
          <w:szCs w:val="24"/>
          <w:lang w:val="en-US"/>
        </w:rPr>
        <w:t xml:space="preserve">In addition, the availability of higher capacity connectivity networks in itself drives the development of innovative and value-adding services: failing such </w:t>
      </w:r>
      <w:r>
        <w:rPr>
          <w:rStyle w:val="Corpsdutexte"/>
          <w:rFonts w:ascii="Times New Roman" w:eastAsia="Times New Roman" w:hAnsi="Times New Roman" w:cs="Times New Roman"/>
          <w:noProof/>
          <w:color w:val="000000"/>
          <w:sz w:val="24"/>
          <w:szCs w:val="24"/>
        </w:rPr>
        <w:t>favourable</w:t>
      </w:r>
      <w:r>
        <w:rPr>
          <w:rStyle w:val="Corpsdutexte"/>
          <w:rFonts w:ascii="Times New Roman" w:eastAsia="Times New Roman" w:hAnsi="Times New Roman" w:cs="Times New Roman"/>
          <w:noProof/>
          <w:color w:val="000000"/>
          <w:sz w:val="24"/>
          <w:szCs w:val="24"/>
          <w:lang w:val="en-US"/>
        </w:rPr>
        <w:t xml:space="preserve"> conditions, providers have to adapt their services or launch them elsewhere. </w:t>
      </w:r>
      <w:r>
        <w:rPr>
          <w:rFonts w:ascii="Times New Roman" w:hAnsi="Times New Roman" w:cs="Times New Roman"/>
          <w:noProof/>
          <w:sz w:val="24"/>
          <w:szCs w:val="24"/>
        </w:rPr>
        <w:t xml:space="preserve">Updating and enhancing existing network infrastructures to meet this anticipated growing demand for higher capacity will however require significant additional investments. </w:t>
      </w:r>
    </w:p>
    <w:p w:rsidR="004C7085" w:rsidRDefault="005163E3">
      <w:pPr>
        <w:pStyle w:val="Heading1"/>
        <w:ind w:left="431" w:hanging="431"/>
        <w:jc w:val="both"/>
        <w:rPr>
          <w:rFonts w:ascii="Times New Roman" w:hAnsi="Times New Roman"/>
          <w:noProof/>
          <w:u w:val="single"/>
        </w:rPr>
      </w:pPr>
      <w:bookmarkStart w:id="25" w:name="_Toc458188067"/>
      <w:bookmarkStart w:id="26" w:name="_Toc458188226"/>
      <w:bookmarkStart w:id="27" w:name="_Toc458450291"/>
      <w:bookmarkStart w:id="28" w:name="_Toc458461563"/>
      <w:bookmarkStart w:id="29" w:name="_Toc458467526"/>
      <w:bookmarkStart w:id="30" w:name="_Toc458257415"/>
      <w:bookmarkStart w:id="31" w:name="_Toc461050798"/>
      <w:bookmarkStart w:id="32" w:name="_Toc458161126"/>
      <w:r>
        <w:rPr>
          <w:rFonts w:ascii="Times New Roman" w:hAnsi="Times New Roman"/>
          <w:noProof/>
          <w:u w:val="single"/>
        </w:rPr>
        <w:t>State of play</w:t>
      </w:r>
      <w:bookmarkEnd w:id="25"/>
      <w:bookmarkEnd w:id="26"/>
      <w:bookmarkEnd w:id="27"/>
      <w:bookmarkEnd w:id="28"/>
      <w:bookmarkEnd w:id="29"/>
      <w:bookmarkEnd w:id="30"/>
      <w:bookmarkEnd w:id="31"/>
      <w:r>
        <w:rPr>
          <w:rFonts w:ascii="Times New Roman" w:hAnsi="Times New Roman"/>
          <w:noProof/>
          <w:u w:val="single"/>
        </w:rPr>
        <w:t xml:space="preserve"> </w:t>
      </w:r>
      <w:bookmarkEnd w:id="32"/>
    </w:p>
    <w:p w:rsidR="004C7085" w:rsidRDefault="004C7085">
      <w:pPr>
        <w:spacing w:after="120" w:line="240" w:lineRule="auto"/>
        <w:jc w:val="both"/>
        <w:rPr>
          <w:rFonts w:ascii="Times New Roman" w:hAnsi="Times New Roman" w:cs="Times New Roman"/>
          <w:i/>
          <w:noProof/>
          <w:sz w:val="24"/>
          <w:szCs w:val="24"/>
        </w:rPr>
      </w:pPr>
    </w:p>
    <w:p w:rsidR="004C7085" w:rsidRDefault="005163E3">
      <w:pPr>
        <w:pStyle w:val="Heading2"/>
        <w:spacing w:before="0" w:after="120" w:line="240" w:lineRule="auto"/>
        <w:jc w:val="both"/>
        <w:rPr>
          <w:rFonts w:ascii="Times New Roman" w:hAnsi="Times New Roman" w:cs="Times New Roman"/>
          <w:noProof/>
        </w:rPr>
      </w:pPr>
      <w:bookmarkStart w:id="33" w:name="_Toc458161127"/>
      <w:bookmarkStart w:id="34" w:name="_Toc458188068"/>
      <w:bookmarkStart w:id="35" w:name="_Toc458188227"/>
      <w:bookmarkStart w:id="36" w:name="_Toc458450292"/>
      <w:bookmarkStart w:id="37" w:name="_Toc458461564"/>
      <w:bookmarkStart w:id="38" w:name="_Toc458467527"/>
      <w:bookmarkStart w:id="39" w:name="_Toc458257416"/>
      <w:bookmarkStart w:id="40" w:name="_Toc461050799"/>
      <w:r>
        <w:rPr>
          <w:rFonts w:ascii="Times New Roman" w:hAnsi="Times New Roman" w:cs="Times New Roman"/>
          <w:noProof/>
        </w:rPr>
        <w:t>Current state of connectivity in Europe</w:t>
      </w:r>
      <w:bookmarkEnd w:id="33"/>
      <w:bookmarkEnd w:id="34"/>
      <w:bookmarkEnd w:id="35"/>
      <w:bookmarkEnd w:id="36"/>
      <w:bookmarkEnd w:id="37"/>
      <w:bookmarkEnd w:id="38"/>
      <w:bookmarkEnd w:id="39"/>
      <w:bookmarkEnd w:id="40"/>
    </w:p>
    <w:p w:rsidR="004C7085" w:rsidRDefault="005163E3">
      <w:pPr>
        <w:spacing w:after="120" w:line="240" w:lineRule="auto"/>
        <w:ind w:right="20"/>
        <w:jc w:val="both"/>
        <w:rPr>
          <w:rFonts w:ascii="Times New Roman" w:hAnsi="Times New Roman" w:cs="Times New Roman"/>
          <w:noProof/>
          <w:sz w:val="24"/>
        </w:rPr>
      </w:pPr>
      <w:r>
        <w:rPr>
          <w:rFonts w:ascii="Times New Roman" w:hAnsi="Times New Roman" w:cs="Times New Roman"/>
          <w:noProof/>
          <w:sz w:val="24"/>
        </w:rPr>
        <w:t>Today virtually all EU citizens have access to basic broadband networks</w:t>
      </w:r>
      <w:r>
        <w:rPr>
          <w:rStyle w:val="FootnoteReference"/>
          <w:rFonts w:ascii="Times New Roman" w:hAnsi="Times New Roman" w:cs="Times New Roman"/>
          <w:noProof/>
          <w:sz w:val="24"/>
        </w:rPr>
        <w:footnoteReference w:id="11"/>
      </w:r>
      <w:r>
        <w:rPr>
          <w:rFonts w:ascii="Times New Roman" w:hAnsi="Times New Roman" w:cs="Times New Roman"/>
          <w:noProof/>
          <w:sz w:val="24"/>
        </w:rPr>
        <w:t xml:space="preserve"> (97% have access to fixed broadband connections according to the DESI index 2016</w:t>
      </w:r>
      <w:r>
        <w:rPr>
          <w:rStyle w:val="FootnoteReference"/>
          <w:rFonts w:ascii="Times New Roman" w:hAnsi="Times New Roman" w:cs="Times New Roman"/>
          <w:noProof/>
          <w:sz w:val="24"/>
        </w:rPr>
        <w:footnoteReference w:id="12"/>
      </w:r>
      <w:r>
        <w:rPr>
          <w:rFonts w:ascii="Times New Roman" w:hAnsi="Times New Roman" w:cs="Times New Roman"/>
          <w:noProof/>
          <w:sz w:val="24"/>
        </w:rPr>
        <w:t xml:space="preserve">) and increasing numbers </w:t>
      </w:r>
      <w:r>
        <w:rPr>
          <w:rFonts w:ascii="Times New Roman" w:hAnsi="Times New Roman" w:cs="Times New Roman"/>
          <w:noProof/>
          <w:sz w:val="24"/>
        </w:rPr>
        <w:lastRenderedPageBreak/>
        <w:t>of citizens and businesses have access to networks allowing at least 30 Mbps download speed: 70.9% have general coverage at Next Generation Access (NGA) connectivity level</w:t>
      </w:r>
      <w:r>
        <w:rPr>
          <w:rStyle w:val="FootnoteReference"/>
          <w:rFonts w:ascii="Times New Roman" w:hAnsi="Times New Roman" w:cs="Times New Roman"/>
          <w:noProof/>
          <w:sz w:val="24"/>
        </w:rPr>
        <w:footnoteReference w:id="13"/>
      </w:r>
      <w:r>
        <w:rPr>
          <w:rFonts w:ascii="Times New Roman" w:hAnsi="Times New Roman" w:cs="Times New Roman"/>
          <w:noProof/>
          <w:sz w:val="24"/>
        </w:rPr>
        <w:t xml:space="preserve"> in the EU, according to DESI 2016</w:t>
      </w:r>
      <w:r>
        <w:rPr>
          <w:rFonts w:ascii="Times New Roman" w:hAnsi="Times New Roman" w:cs="Times New Roman"/>
          <w:noProof/>
        </w:rPr>
        <w:t>.</w:t>
      </w:r>
      <w:r>
        <w:rPr>
          <w:rFonts w:ascii="Times New Roman" w:hAnsi="Times New Roman" w:cs="Times New Roman"/>
          <w:noProof/>
          <w:sz w:val="24"/>
        </w:rPr>
        <w:t xml:space="preserve"> </w:t>
      </w:r>
    </w:p>
    <w:p w:rsidR="004C7085" w:rsidRDefault="005163E3">
      <w:pPr>
        <w:spacing w:after="120" w:line="240" w:lineRule="auto"/>
        <w:ind w:right="20"/>
        <w:jc w:val="both"/>
        <w:rPr>
          <w:rFonts w:ascii="Times New Roman" w:hAnsi="Times New Roman" w:cs="Times New Roman"/>
          <w:noProof/>
          <w:sz w:val="24"/>
        </w:rPr>
      </w:pPr>
      <w:r>
        <w:rPr>
          <w:rFonts w:ascii="Times New Roman" w:hAnsi="Times New Roman" w:cs="Times New Roman"/>
          <w:noProof/>
          <w:sz w:val="24"/>
        </w:rPr>
        <w:t>However, only some countries, such as Malta, Lithuania, Belgium and the Netherlands, already enjoy nearly comprehensive coverage of NGA networks; in most of those cases, this is probably due to the competitive impulse provided by cable networks, which can be upgraded at relatively low cost to NGA levels of connectivity</w:t>
      </w:r>
      <w:r>
        <w:rPr>
          <w:rStyle w:val="FootnoteReference"/>
          <w:rFonts w:ascii="Times New Roman" w:hAnsi="Times New Roman" w:cs="Times New Roman"/>
          <w:noProof/>
          <w:sz w:val="24"/>
        </w:rPr>
        <w:footnoteReference w:id="14"/>
      </w:r>
      <w:r>
        <w:rPr>
          <w:rFonts w:ascii="Times New Roman" w:hAnsi="Times New Roman" w:cs="Times New Roman"/>
          <w:noProof/>
          <w:sz w:val="24"/>
        </w:rPr>
        <w:t xml:space="preserve">. Elsewhere, NGA coverage has been slow to develop – notably in countries that lacked extensive cable in their legacy networks (Italy or Greece being examples). </w:t>
      </w:r>
    </w:p>
    <w:p w:rsidR="004C7085" w:rsidRDefault="005163E3">
      <w:pPr>
        <w:spacing w:after="120" w:line="240" w:lineRule="auto"/>
        <w:ind w:right="20"/>
        <w:jc w:val="both"/>
        <w:rPr>
          <w:rFonts w:ascii="Times New Roman" w:hAnsi="Times New Roman" w:cs="Times New Roman"/>
          <w:noProof/>
          <w:sz w:val="24"/>
        </w:rPr>
      </w:pPr>
      <w:r>
        <w:rPr>
          <w:rFonts w:ascii="Times New Roman" w:hAnsi="Times New Roman"/>
          <w:noProof/>
          <w:sz w:val="24"/>
        </w:rPr>
        <w:t>However, the roll-out of NGA networks has improved significantly since the DAE objectives were adopted in 2010</w:t>
      </w:r>
      <w:r>
        <w:rPr>
          <w:rFonts w:ascii="Times New Roman" w:hAnsi="Times New Roman" w:cs="Times New Roman"/>
          <w:noProof/>
          <w:sz w:val="24"/>
        </w:rPr>
        <w:t>.</w:t>
      </w:r>
      <w:r>
        <w:rPr>
          <w:rFonts w:ascii="Times New Roman" w:hAnsi="Times New Roman"/>
          <w:noProof/>
          <w:sz w:val="24"/>
        </w:rPr>
        <w:t xml:space="preserve"> As shown in Figure 3, some Member States </w:t>
      </w:r>
      <w:r>
        <w:rPr>
          <w:rFonts w:ascii="Times New Roman" w:hAnsi="Times New Roman" w:cs="Times New Roman"/>
          <w:noProof/>
          <w:sz w:val="24"/>
        </w:rPr>
        <w:t xml:space="preserve">in particular </w:t>
      </w:r>
      <w:r>
        <w:rPr>
          <w:rFonts w:ascii="Times New Roman" w:hAnsi="Times New Roman"/>
          <w:noProof/>
          <w:sz w:val="24"/>
        </w:rPr>
        <w:t>have been able to leap frog others in increasing network capacity.</w:t>
      </w:r>
      <w:r>
        <w:rPr>
          <w:rFonts w:ascii="Times New Roman" w:hAnsi="Times New Roman" w:cs="Times New Roman"/>
          <w:noProof/>
          <w:sz w:val="24"/>
        </w:rPr>
        <w:t xml:space="preserve"> </w:t>
      </w:r>
    </w:p>
    <w:p w:rsidR="004C7085" w:rsidRDefault="004C7085">
      <w:pPr>
        <w:spacing w:after="120" w:line="240" w:lineRule="auto"/>
        <w:ind w:right="20"/>
        <w:jc w:val="both"/>
        <w:rPr>
          <w:rFonts w:ascii="Times New Roman" w:hAnsi="Times New Roman"/>
          <w:noProof/>
          <w:sz w:val="24"/>
        </w:rPr>
      </w:pPr>
    </w:p>
    <w:p w:rsidR="004C7085" w:rsidRDefault="005163E3">
      <w:pPr>
        <w:pStyle w:val="Heading4"/>
        <w:keepNext/>
        <w:rPr>
          <w:noProof/>
        </w:rPr>
      </w:pPr>
      <w:r>
        <w:rPr>
          <w:noProof/>
        </w:rPr>
        <w:t>Figure 3: 30Mbps and more (NGA) coverage of households per Member State (2011 vs 2015)</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drawing>
          <wp:inline distT="0" distB="0" distL="0" distR="0" wp14:anchorId="2D610702" wp14:editId="7E569BC2">
            <wp:extent cx="5476875" cy="34330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5906" cy="3432459"/>
                    </a:xfrm>
                    <a:prstGeom prst="rect">
                      <a:avLst/>
                    </a:prstGeom>
                  </pic:spPr>
                </pic:pic>
              </a:graphicData>
            </a:graphic>
          </wp:inline>
        </w:drawing>
      </w:r>
    </w:p>
    <w:p w:rsidR="004C7085" w:rsidRDefault="005163E3">
      <w:pPr>
        <w:spacing w:after="120" w:line="240" w:lineRule="auto"/>
        <w:ind w:right="20"/>
        <w:jc w:val="both"/>
        <w:rPr>
          <w:rFonts w:ascii="Times New Roman" w:hAnsi="Times New Roman"/>
          <w:noProof/>
          <w:sz w:val="24"/>
        </w:rPr>
      </w:pPr>
      <w:r>
        <w:rPr>
          <w:rFonts w:ascii="Times New Roman" w:hAnsi="Times New Roman" w:cs="Times New Roman"/>
          <w:noProof/>
        </w:rPr>
        <w:t xml:space="preserve">Yet </w:t>
      </w:r>
      <w:r>
        <w:rPr>
          <w:rFonts w:ascii="Times New Roman" w:hAnsi="Times New Roman" w:cs="Times New Roman"/>
          <w:noProof/>
          <w:sz w:val="24"/>
        </w:rPr>
        <w:t>there are still substantial differences between Member States</w:t>
      </w:r>
      <w:r>
        <w:rPr>
          <w:rStyle w:val="FootnoteReference"/>
          <w:rFonts w:ascii="Times New Roman" w:hAnsi="Times New Roman" w:cs="Times New Roman"/>
          <w:noProof/>
          <w:sz w:val="24"/>
        </w:rPr>
        <w:footnoteReference w:id="15"/>
      </w:r>
      <w:r>
        <w:rPr>
          <w:rFonts w:ascii="Times New Roman" w:hAnsi="Times New Roman" w:cs="Times New Roman"/>
          <w:noProof/>
          <w:sz w:val="24"/>
        </w:rPr>
        <w:t xml:space="preserve"> in terms of take-up of high speed (NGA) broadband subscriptions. </w:t>
      </w:r>
    </w:p>
    <w:p w:rsidR="004C7085" w:rsidRDefault="005163E3">
      <w:pPr>
        <w:pStyle w:val="Heading4"/>
        <w:keepNext/>
        <w:rPr>
          <w:noProof/>
        </w:rPr>
      </w:pPr>
      <w:r>
        <w:rPr>
          <w:noProof/>
        </w:rPr>
        <w:t>Figure 4: fast broadband (at least 30 Mbps) household penetration, July 2015.</w:t>
      </w:r>
    </w:p>
    <w:p w:rsidR="004C7085" w:rsidRDefault="005163E3">
      <w:pPr>
        <w:spacing w:after="120" w:line="240" w:lineRule="auto"/>
        <w:ind w:right="20"/>
        <w:jc w:val="both"/>
        <w:rPr>
          <w:rFonts w:ascii="Times New Roman" w:hAnsi="Times New Roman" w:cs="Times New Roman"/>
          <w:noProof/>
          <w:sz w:val="24"/>
        </w:rPr>
      </w:pPr>
      <w:r>
        <w:rPr>
          <w:rFonts w:ascii="Times New Roman" w:hAnsi="Times New Roman" w:cs="Times New Roman"/>
          <w:noProof/>
          <w:color w:val="1F497D"/>
          <w:sz w:val="24"/>
          <w:lang w:eastAsia="en-GB"/>
        </w:rPr>
        <w:drawing>
          <wp:inline distT="0" distB="0" distL="0" distR="0" wp14:anchorId="5BA25EFB" wp14:editId="7F22A69C">
            <wp:extent cx="5688764" cy="18669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2027" cy="1871252"/>
                    </a:xfrm>
                    <a:prstGeom prst="rect">
                      <a:avLst/>
                    </a:prstGeom>
                    <a:noFill/>
                  </pic:spPr>
                </pic:pic>
              </a:graphicData>
            </a:graphic>
          </wp:inline>
        </w:drawing>
      </w:r>
    </w:p>
    <w:p w:rsidR="004C7085" w:rsidRDefault="005163E3">
      <w:pPr>
        <w:spacing w:after="240" w:line="240" w:lineRule="auto"/>
        <w:ind w:right="23"/>
        <w:jc w:val="both"/>
        <w:rPr>
          <w:rFonts w:ascii="Times New Roman" w:hAnsi="Times New Roman" w:cs="Times New Roman"/>
          <w:noProof/>
          <w:sz w:val="24"/>
        </w:rPr>
      </w:pPr>
      <w:r>
        <w:rPr>
          <w:rFonts w:ascii="Times New Roman" w:hAnsi="Times New Roman" w:cs="Times New Roman"/>
          <w:noProof/>
          <w:sz w:val="24"/>
        </w:rPr>
        <w:t>In addition, the connectivity challenge in rural areas remains acute, with patchy basic NGA coverage exemplified by 28% fixed line coverage and 36% mobile 4G household coverage (both coverages being partially overlapping).</w:t>
      </w:r>
    </w:p>
    <w:p w:rsidR="004C7085" w:rsidRDefault="005163E3">
      <w:pPr>
        <w:pStyle w:val="Heading4"/>
        <w:keepNext/>
        <w:rPr>
          <w:noProof/>
        </w:rPr>
      </w:pPr>
      <w:r>
        <w:rPr>
          <w:noProof/>
        </w:rPr>
        <w:t>Figure 5: NGA broadband coverage in EU</w:t>
      </w:r>
    </w:p>
    <w:p w:rsidR="004C7085" w:rsidRDefault="005163E3">
      <w:pPr>
        <w:spacing w:after="120" w:line="240" w:lineRule="auto"/>
        <w:ind w:right="20"/>
        <w:jc w:val="both"/>
        <w:rPr>
          <w:rFonts w:ascii="Times New Roman" w:hAnsi="Times New Roman" w:cs="Times New Roman"/>
          <w:noProof/>
          <w:sz w:val="24"/>
        </w:rPr>
      </w:pPr>
      <w:r>
        <w:rPr>
          <w:rFonts w:ascii="Times New Roman" w:hAnsi="Times New Roman" w:cs="Times New Roman"/>
          <w:noProof/>
          <w:sz w:val="24"/>
          <w:lang w:eastAsia="en-GB"/>
        </w:rPr>
        <w:drawing>
          <wp:inline distT="0" distB="0" distL="0" distR="0" wp14:anchorId="6F5EB04C" wp14:editId="1E9E3698">
            <wp:extent cx="5735955" cy="1983105"/>
            <wp:effectExtent l="0" t="0" r="17145" b="17145"/>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7085" w:rsidRDefault="005163E3">
      <w:pPr>
        <w:spacing w:after="120" w:line="240" w:lineRule="auto"/>
        <w:ind w:right="20"/>
        <w:jc w:val="both"/>
        <w:rPr>
          <w:rFonts w:ascii="Times New Roman" w:hAnsi="Times New Roman"/>
          <w:noProof/>
          <w:sz w:val="24"/>
        </w:rPr>
      </w:pPr>
      <w:r>
        <w:rPr>
          <w:rFonts w:ascii="Times New Roman" w:hAnsi="Times New Roman"/>
          <w:i/>
          <w:noProof/>
          <w:sz w:val="24"/>
        </w:rPr>
        <w:t>Source: IHS and VVA</w:t>
      </w:r>
    </w:p>
    <w:p w:rsidR="004C7085" w:rsidRDefault="005163E3">
      <w:pPr>
        <w:spacing w:before="240" w:after="120" w:line="240" w:lineRule="auto"/>
        <w:ind w:right="23"/>
        <w:jc w:val="both"/>
        <w:rPr>
          <w:rFonts w:ascii="Times New Roman" w:eastAsia="Arial Unicode MS" w:hAnsi="Times New Roman" w:cs="Times New Roman"/>
          <w:noProof/>
          <w:color w:val="000000"/>
          <w:sz w:val="24"/>
          <w:szCs w:val="24"/>
          <w:u w:color="000000"/>
          <w:bdr w:val="nil"/>
          <w:lang w:eastAsia="en-GB"/>
        </w:rPr>
      </w:pPr>
      <w:r>
        <w:rPr>
          <w:rFonts w:ascii="Times New Roman" w:eastAsia="Arial Unicode MS" w:hAnsi="Times New Roman" w:cs="Times New Roman"/>
          <w:noProof/>
          <w:color w:val="000000"/>
          <w:sz w:val="24"/>
          <w:szCs w:val="24"/>
          <w:u w:color="000000"/>
          <w:bdr w:val="nil"/>
          <w:lang w:eastAsia="en-GB"/>
        </w:rPr>
        <w:t>A key development driving the increase of network capacity is that legacy telephone and cable (coaxial) networks, including the copper ‘local loops’, are in the process of being upgraded to improve their broadband performance.</w:t>
      </w:r>
    </w:p>
    <w:p w:rsidR="004C7085" w:rsidRDefault="005163E3">
      <w:pPr>
        <w:spacing w:before="240" w:after="240" w:line="240" w:lineRule="auto"/>
        <w:ind w:right="23"/>
        <w:jc w:val="both"/>
        <w:rPr>
          <w:rFonts w:ascii="Times New Roman" w:hAnsi="Times New Roman" w:cs="Times New Roman"/>
          <w:noProof/>
          <w:sz w:val="24"/>
        </w:rPr>
      </w:pPr>
      <w:r>
        <w:rPr>
          <w:rFonts w:ascii="Times New Roman" w:eastAsia="Arial Unicode MS" w:hAnsi="Times New Roman" w:cs="Times New Roman"/>
          <w:noProof/>
          <w:color w:val="000000"/>
          <w:sz w:val="24"/>
          <w:szCs w:val="24"/>
          <w:u w:color="000000"/>
          <w:bdr w:val="nil"/>
          <w:lang w:eastAsia="en-GB"/>
        </w:rPr>
        <w:t xml:space="preserve">In many countries, including the UK or Germany, a large part of the NGA coverage beyond the cable footprint has been achieved through only partial upgrades of the legacy copper loop (FTTC), rather than through full VHC upgrades (e.g. FTTH/B). </w:t>
      </w:r>
      <w:r>
        <w:rPr>
          <w:rFonts w:ascii="Times New Roman" w:hAnsi="Times New Roman" w:cs="Times New Roman"/>
          <w:noProof/>
          <w:sz w:val="24"/>
        </w:rPr>
        <w:t xml:space="preserve">As investigated in </w:t>
      </w:r>
      <w:r>
        <w:rPr>
          <w:rFonts w:ascii="Times New Roman" w:hAnsi="Times New Roman" w:cs="Times New Roman"/>
          <w:noProof/>
          <w:sz w:val="24"/>
          <w:szCs w:val="24"/>
        </w:rPr>
        <w:t xml:space="preserve">the </w:t>
      </w:r>
      <w:r>
        <w:rPr>
          <w:rFonts w:ascii="Times New Roman" w:hAnsi="Times New Roman" w:cs="Times New Roman"/>
          <w:noProof/>
          <w:sz w:val="24"/>
        </w:rPr>
        <w:t>Study</w:t>
      </w:r>
      <w:r>
        <w:rPr>
          <w:rFonts w:ascii="Times New Roman" w:hAnsi="Times New Roman" w:cs="Times New Roman"/>
          <w:i/>
          <w:noProof/>
          <w:sz w:val="24"/>
        </w:rPr>
        <w:t>, "Regulatory, in particular access regimes for network investment models in Europe</w:t>
      </w:r>
      <w:r>
        <w:rPr>
          <w:rFonts w:ascii="Times New Roman" w:hAnsi="Times New Roman" w:cs="Times New Roman"/>
          <w:noProof/>
          <w:sz w:val="24"/>
        </w:rPr>
        <w:t>"</w:t>
      </w:r>
      <w:r>
        <w:rPr>
          <w:rFonts w:ascii="Times New Roman" w:hAnsi="Times New Roman" w:cs="Times New Roman"/>
          <w:noProof/>
          <w:sz w:val="24"/>
          <w:vertAlign w:val="superscript"/>
        </w:rPr>
        <w:footnoteReference w:id="16"/>
      </w:r>
      <w:r>
        <w:rPr>
          <w:rFonts w:ascii="Times New Roman" w:hAnsi="Times New Roman" w:cs="Times New Roman"/>
          <w:noProof/>
          <w:sz w:val="24"/>
        </w:rPr>
        <w:t xml:space="preserve">, the former approach is most unlikely to be sufficient to cope with data consumption under the most ambitious scenario forecast. </w:t>
      </w:r>
      <w:r>
        <w:rPr>
          <w:noProof/>
        </w:rPr>
        <w:t xml:space="preserve"> </w:t>
      </w:r>
      <w:r>
        <w:rPr>
          <w:rFonts w:ascii="Times New Roman" w:hAnsi="Times New Roman" w:cs="Times New Roman"/>
          <w:noProof/>
          <w:sz w:val="24"/>
        </w:rPr>
        <w:t>As a result</w:t>
      </w:r>
      <w:r>
        <w:rPr>
          <w:noProof/>
        </w:rPr>
        <w:t>, t</w:t>
      </w:r>
      <w:r>
        <w:rPr>
          <w:rFonts w:ascii="Times New Roman" w:hAnsi="Times New Roman" w:cs="Times New Roman"/>
          <w:noProof/>
          <w:sz w:val="24"/>
        </w:rPr>
        <w:t>he current state of broadband connectivity in Europe and the actual trends in its modernisation will not fulfil the growing needs for Internet speed and quality beyond 2020.</w:t>
      </w:r>
    </w:p>
    <w:p w:rsidR="004C7085" w:rsidRDefault="005163E3">
      <w:pPr>
        <w:pStyle w:val="Heading4"/>
        <w:keepNext/>
        <w:rPr>
          <w:noProof/>
        </w:rPr>
      </w:pPr>
      <w:r>
        <w:rPr>
          <w:noProof/>
        </w:rPr>
        <w:t>Figure 6: Projections of NGA penetration by technology 2015 – 2025 (% of households, EU28)</w:t>
      </w:r>
    </w:p>
    <w:p w:rsidR="004C7085" w:rsidRDefault="005163E3">
      <w:pPr>
        <w:spacing w:after="120" w:line="240" w:lineRule="auto"/>
        <w:ind w:right="20"/>
        <w:jc w:val="center"/>
        <w:rPr>
          <w:rFonts w:ascii="Times New Roman" w:hAnsi="Times New Roman" w:cs="Times New Roman"/>
          <w:noProof/>
          <w:sz w:val="24"/>
        </w:rPr>
      </w:pPr>
      <w:r>
        <w:rPr>
          <w:rFonts w:ascii="Times New Roman" w:hAnsi="Times New Roman" w:cs="Times New Roman"/>
          <w:noProof/>
          <w:sz w:val="24"/>
          <w:lang w:eastAsia="en-GB"/>
        </w:rPr>
        <w:drawing>
          <wp:inline distT="0" distB="0" distL="0" distR="0" wp14:anchorId="36A116BF" wp14:editId="5CF279B2">
            <wp:extent cx="5084445" cy="2072640"/>
            <wp:effectExtent l="0" t="0" r="190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4445" cy="2072640"/>
                    </a:xfrm>
                    <a:prstGeom prst="rect">
                      <a:avLst/>
                    </a:prstGeom>
                    <a:noFill/>
                  </pic:spPr>
                </pic:pic>
              </a:graphicData>
            </a:graphic>
          </wp:inline>
        </w:drawing>
      </w:r>
    </w:p>
    <w:p w:rsidR="004C7085" w:rsidRDefault="005163E3">
      <w:pPr>
        <w:spacing w:before="240" w:after="360" w:line="240" w:lineRule="auto"/>
        <w:ind w:right="23"/>
        <w:jc w:val="both"/>
        <w:rPr>
          <w:rFonts w:ascii="Times New Roman" w:hAnsi="Times New Roman" w:cs="Times New Roman"/>
          <w:noProof/>
          <w:sz w:val="24"/>
        </w:rPr>
      </w:pPr>
      <w:r>
        <w:rPr>
          <w:rFonts w:ascii="Times New Roman" w:hAnsi="Times New Roman" w:cs="Times New Roman"/>
          <w:noProof/>
          <w:sz w:val="24"/>
        </w:rPr>
        <w:t>Despite some technological progress</w:t>
      </w:r>
      <w:r>
        <w:rPr>
          <w:rStyle w:val="FootnoteReference"/>
          <w:rFonts w:ascii="Times New Roman" w:hAnsi="Times New Roman" w:cs="Times New Roman"/>
          <w:noProof/>
          <w:sz w:val="24"/>
        </w:rPr>
        <w:footnoteReference w:id="17"/>
      </w:r>
      <w:r>
        <w:rPr>
          <w:rFonts w:ascii="Times New Roman" w:hAnsi="Times New Roman" w:cs="Times New Roman"/>
          <w:noProof/>
          <w:sz w:val="24"/>
        </w:rPr>
        <w:t>,</w:t>
      </w:r>
      <w:r>
        <w:rPr>
          <w:rFonts w:ascii="Times New Roman" w:hAnsi="Times New Roman"/>
          <w:noProof/>
          <w:sz w:val="24"/>
        </w:rPr>
        <w:t xml:space="preserve"> </w:t>
      </w:r>
      <w:r>
        <w:rPr>
          <w:rFonts w:ascii="Times New Roman" w:hAnsi="Times New Roman" w:cs="Times New Roman"/>
          <w:noProof/>
          <w:sz w:val="24"/>
        </w:rPr>
        <w:t xml:space="preserve">today not all NGA networks can deliver 100 Mbps. This remains an important challenge for the achievement of the 2020 DAE objective for 100 Mbps subscriptions of one European household in two: it will require both a wide availability and affordable offers to increase demand for connectivity of at least 100 Mbps by 2020. </w:t>
      </w:r>
    </w:p>
    <w:p w:rsidR="004C7085" w:rsidRDefault="005163E3">
      <w:pPr>
        <w:pStyle w:val="Heading4"/>
        <w:keepNext/>
        <w:rPr>
          <w:noProof/>
        </w:rPr>
      </w:pPr>
      <w:r>
        <w:rPr>
          <w:noProof/>
        </w:rPr>
        <w:t>Figure 7: Fixed broadband subscriptions in EU by speed</w:t>
      </w:r>
    </w:p>
    <w:p w:rsidR="004C7085" w:rsidRDefault="005163E3">
      <w:pPr>
        <w:spacing w:after="120" w:line="240" w:lineRule="auto"/>
        <w:ind w:right="20"/>
        <w:jc w:val="both"/>
        <w:rPr>
          <w:rFonts w:ascii="Times New Roman" w:hAnsi="Times New Roman" w:cs="Times New Roman"/>
          <w:noProof/>
          <w:sz w:val="24"/>
        </w:rPr>
      </w:pPr>
      <w:r>
        <w:rPr>
          <w:rFonts w:ascii="Times New Roman" w:hAnsi="Times New Roman" w:cs="Times New Roman"/>
          <w:noProof/>
          <w:sz w:val="24"/>
          <w:lang w:eastAsia="en-GB"/>
        </w:rPr>
        <w:drawing>
          <wp:inline distT="0" distB="0" distL="0" distR="0" wp14:anchorId="5D339979" wp14:editId="1F93A1CF">
            <wp:extent cx="5608955" cy="26581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955" cy="2658110"/>
                    </a:xfrm>
                    <a:prstGeom prst="rect">
                      <a:avLst/>
                    </a:prstGeom>
                    <a:noFill/>
                  </pic:spPr>
                </pic:pic>
              </a:graphicData>
            </a:graphic>
          </wp:inline>
        </w:drawing>
      </w:r>
    </w:p>
    <w:p w:rsidR="004C7085" w:rsidRDefault="005163E3">
      <w:pPr>
        <w:spacing w:after="120" w:line="240" w:lineRule="auto"/>
        <w:ind w:right="20"/>
        <w:jc w:val="both"/>
        <w:rPr>
          <w:rFonts w:ascii="Times New Roman" w:hAnsi="Times New Roman" w:cs="Times New Roman"/>
          <w:noProof/>
          <w:sz w:val="24"/>
        </w:rPr>
      </w:pPr>
      <w:r>
        <w:rPr>
          <w:rFonts w:ascii="Times New Roman" w:hAnsi="Times New Roman" w:cs="Times New Roman"/>
          <w:noProof/>
          <w:sz w:val="24"/>
          <w:lang w:eastAsia="nl-NL"/>
        </w:rPr>
        <w:t>Take-up projections of NGA in a 5-10 year timeframe vary, and show significant differences across countries and connectivity parameters.</w:t>
      </w:r>
    </w:p>
    <w:p w:rsidR="004C7085" w:rsidRDefault="005163E3">
      <w:pPr>
        <w:spacing w:after="120" w:line="240" w:lineRule="auto"/>
        <w:ind w:right="20"/>
        <w:jc w:val="both"/>
        <w:rPr>
          <w:rFonts w:ascii="Times New Roman" w:hAnsi="Times New Roman" w:cs="Times New Roman"/>
          <w:noProof/>
          <w:sz w:val="24"/>
          <w:lang w:eastAsia="nl-NL"/>
        </w:rPr>
      </w:pPr>
      <w:r>
        <w:rPr>
          <w:rFonts w:ascii="Times New Roman" w:hAnsi="Times New Roman" w:cs="Times New Roman"/>
          <w:noProof/>
          <w:sz w:val="24"/>
          <w:lang w:eastAsia="nl-NL"/>
        </w:rPr>
        <w:t>For example, based on announcements from operators, Government subsidy initiatives and trends in demand, IDATE has projected that overall NGA take-up will surpass the 50% mark by 2020 in the EU on average.</w:t>
      </w:r>
      <w:r>
        <w:rPr>
          <w:noProof/>
        </w:rPr>
        <w:t xml:space="preserve"> </w:t>
      </w:r>
      <w:r>
        <w:rPr>
          <w:rFonts w:ascii="Times New Roman" w:hAnsi="Times New Roman" w:cs="Times New Roman"/>
          <w:noProof/>
          <w:sz w:val="24"/>
          <w:lang w:eastAsia="nl-NL"/>
        </w:rPr>
        <w:t>However, it is notable that a high proportion of take-up is projected to be on the basis of FTTC technologies which may not in all cases meet the 100Mbit/s quality of service objective. When such technologies are excluded from the calculations, take-up is projected to be around 45% of households in 2020, falling short of the DAE objective. Besides, gaps between countries are expected to persist, with a significant proportion of countries expected to lag behind the DAE take-up objective, even if all technologies are considered.</w:t>
      </w:r>
    </w:p>
    <w:p w:rsidR="004C7085" w:rsidRDefault="005163E3">
      <w:pPr>
        <w:jc w:val="both"/>
        <w:rPr>
          <w:rFonts w:ascii="Times New Roman" w:hAnsi="Times New Roman"/>
          <w:noProof/>
          <w:sz w:val="24"/>
          <w:lang w:eastAsia="nl-NL"/>
        </w:rPr>
      </w:pPr>
      <w:r>
        <w:rPr>
          <w:rFonts w:ascii="Times New Roman" w:hAnsi="Times New Roman" w:cs="Times New Roman"/>
          <w:noProof/>
          <w:sz w:val="24"/>
          <w:lang w:eastAsia="nl-NL"/>
        </w:rPr>
        <w:t xml:space="preserve">As far as </w:t>
      </w:r>
      <w:r>
        <w:rPr>
          <w:rFonts w:ascii="Times New Roman" w:hAnsi="Times New Roman"/>
          <w:noProof/>
          <w:sz w:val="24"/>
          <w:lang w:eastAsia="nl-NL"/>
        </w:rPr>
        <w:t xml:space="preserve">FTTH/B is </w:t>
      </w:r>
      <w:r>
        <w:rPr>
          <w:rFonts w:ascii="Times New Roman" w:hAnsi="Times New Roman" w:cs="Times New Roman"/>
          <w:noProof/>
          <w:sz w:val="24"/>
          <w:lang w:eastAsia="nl-NL"/>
        </w:rPr>
        <w:t xml:space="preserve">concerned, </w:t>
      </w:r>
      <w:r>
        <w:rPr>
          <w:rFonts w:ascii="Times New Roman" w:hAnsi="Times New Roman"/>
          <w:noProof/>
          <w:sz w:val="24"/>
          <w:lang w:eastAsia="nl-NL"/>
        </w:rPr>
        <w:t>projections by experts</w:t>
      </w:r>
      <w:r>
        <w:rPr>
          <w:rStyle w:val="FootnoteReference"/>
          <w:rFonts w:ascii="Times New Roman" w:hAnsi="Times New Roman"/>
          <w:noProof/>
          <w:sz w:val="24"/>
          <w:lang w:eastAsia="nl-NL"/>
        </w:rPr>
        <w:footnoteReference w:id="18"/>
      </w:r>
      <w:r>
        <w:rPr>
          <w:rFonts w:ascii="Times New Roman" w:hAnsi="Times New Roman"/>
          <w:noProof/>
          <w:sz w:val="24"/>
          <w:lang w:eastAsia="nl-NL"/>
        </w:rPr>
        <w:t xml:space="preserve"> suggest that only 20% of households would be subscribing to an FTTH offer by 2020 leading to a take-up of 31% by 2025. Due to different levels in the projected coverage of FTTH, take-up is also expected to vary widely by country, with high take-up in several Eastern European countries as well as in Portugal, Sweden, Spain and to a lesser extent France, contrasting with low take-up in several countries including the UK, Germany, Italy and Poland (See Figure 8).</w:t>
      </w:r>
    </w:p>
    <w:p w:rsidR="004C7085" w:rsidRDefault="005163E3">
      <w:pPr>
        <w:pStyle w:val="Heading4"/>
        <w:keepNext/>
        <w:rPr>
          <w:noProof/>
        </w:rPr>
      </w:pPr>
      <w:bookmarkStart w:id="41" w:name="_Ref445888440"/>
      <w:bookmarkStart w:id="42" w:name="_Toc457488097"/>
      <w:bookmarkStart w:id="43" w:name="_Toc457588707"/>
      <w:r>
        <w:rPr>
          <w:noProof/>
        </w:rPr>
        <w:t xml:space="preserve">Figure </w:t>
      </w:r>
      <w:bookmarkEnd w:id="41"/>
      <w:r>
        <w:rPr>
          <w:noProof/>
        </w:rPr>
        <w:t>8: Projections for FTTH/B penetration by country (% of total households, 2015-2025)</w:t>
      </w:r>
      <w:bookmarkEnd w:id="42"/>
      <w:bookmarkEnd w:id="43"/>
      <w:r>
        <w:rPr>
          <w:noProof/>
        </w:rPr>
        <w:t xml:space="preserve"> IDATE</w:t>
      </w:r>
    </w:p>
    <w:p w:rsidR="004C7085" w:rsidRDefault="005163E3">
      <w:pPr>
        <w:jc w:val="both"/>
        <w:rPr>
          <w:rFonts w:ascii="Times New Roman" w:hAnsi="Times New Roman"/>
          <w:i/>
          <w:noProof/>
          <w:sz w:val="20"/>
        </w:rPr>
      </w:pPr>
      <w:r>
        <w:rPr>
          <w:rFonts w:ascii="Times New Roman" w:eastAsia="Times New Roman" w:hAnsi="Times New Roman" w:cs="Times New Roman"/>
          <w:noProof/>
          <w:sz w:val="24"/>
          <w:szCs w:val="20"/>
          <w:lang w:eastAsia="en-GB"/>
        </w:rPr>
        <w:drawing>
          <wp:inline distT="0" distB="0" distL="0" distR="0" wp14:anchorId="7DB3366C" wp14:editId="5F3BBE3A">
            <wp:extent cx="6167120" cy="24688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905" cy="2467593"/>
                    </a:xfrm>
                    <a:prstGeom prst="rect">
                      <a:avLst/>
                    </a:prstGeom>
                    <a:noFill/>
                  </pic:spPr>
                </pic:pic>
              </a:graphicData>
            </a:graphic>
          </wp:inline>
        </w:drawing>
      </w:r>
    </w:p>
    <w:p w:rsidR="004C7085" w:rsidRDefault="005163E3">
      <w:pPr>
        <w:jc w:val="both"/>
        <w:rPr>
          <w:rFonts w:ascii="Times New Roman" w:hAnsi="Times New Roman" w:cs="Times New Roman"/>
          <w:noProof/>
          <w:sz w:val="24"/>
        </w:rPr>
      </w:pPr>
      <w:r>
        <w:rPr>
          <w:rFonts w:ascii="Times New Roman" w:hAnsi="Times New Roman" w:cs="Times New Roman"/>
          <w:noProof/>
          <w:sz w:val="24"/>
        </w:rPr>
        <w:t>Projections by 2019 from other sources such as Heavy Reading</w:t>
      </w:r>
      <w:r>
        <w:rPr>
          <w:rStyle w:val="FootnoteReference"/>
          <w:rFonts w:ascii="Times New Roman" w:hAnsi="Times New Roman" w:cs="Times New Roman"/>
          <w:noProof/>
          <w:sz w:val="24"/>
        </w:rPr>
        <w:footnoteReference w:id="19"/>
      </w:r>
      <w:r>
        <w:rPr>
          <w:rFonts w:ascii="Times New Roman" w:hAnsi="Times New Roman" w:cs="Times New Roman"/>
          <w:noProof/>
          <w:sz w:val="24"/>
        </w:rPr>
        <w:t xml:space="preserve"> (see Figure 9), also suggest low take-up levels in the UK, Italy, Poland and Germany.</w:t>
      </w:r>
    </w:p>
    <w:p w:rsidR="004C7085" w:rsidRDefault="005163E3">
      <w:pPr>
        <w:pStyle w:val="Heading4"/>
        <w:keepNext/>
        <w:rPr>
          <w:noProof/>
        </w:rPr>
      </w:pPr>
      <w:r>
        <w:rPr>
          <w:noProof/>
        </w:rPr>
        <w:t>Figure 9: Projections for household take-up of FTTH/B in December 2019 (Heavy Reading)</w:t>
      </w:r>
    </w:p>
    <w:p w:rsidR="004C7085" w:rsidRDefault="005163E3">
      <w:pPr>
        <w:jc w:val="center"/>
        <w:rPr>
          <w:rFonts w:ascii="Times New Roman" w:hAnsi="Times New Roman"/>
          <w:i/>
          <w:noProof/>
          <w:sz w:val="24"/>
          <w:u w:val="single"/>
        </w:rPr>
      </w:pPr>
      <w:r>
        <w:rPr>
          <w:rFonts w:ascii="Times New Roman" w:hAnsi="Times New Roman" w:cs="Times New Roman"/>
          <w:i/>
          <w:noProof/>
          <w:sz w:val="24"/>
          <w:szCs w:val="24"/>
          <w:u w:val="single"/>
          <w:lang w:eastAsia="en-GB"/>
        </w:rPr>
        <w:drawing>
          <wp:inline distT="0" distB="0" distL="0" distR="0" wp14:anchorId="11FD8D9E" wp14:editId="472E9202">
            <wp:extent cx="5438140" cy="39141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140" cy="3914140"/>
                    </a:xfrm>
                    <a:prstGeom prst="rect">
                      <a:avLst/>
                    </a:prstGeom>
                    <a:noFill/>
                  </pic:spPr>
                </pic:pic>
              </a:graphicData>
            </a:graphic>
          </wp:inline>
        </w:drawing>
      </w:r>
    </w:p>
    <w:p w:rsidR="004C7085" w:rsidRDefault="005163E3">
      <w:pPr>
        <w:jc w:val="both"/>
        <w:rPr>
          <w:rFonts w:ascii="Times New Roman" w:hAnsi="Times New Roman" w:cs="Times New Roman"/>
          <w:noProof/>
          <w:sz w:val="24"/>
        </w:rPr>
      </w:pPr>
      <w:r>
        <w:rPr>
          <w:rFonts w:ascii="Times New Roman" w:hAnsi="Times New Roman" w:cs="Times New Roman"/>
          <w:noProof/>
          <w:sz w:val="24"/>
        </w:rPr>
        <w:t xml:space="preserve">Closer analysis of the developments reveals a trend that, as business and household services and applications depending on high quality connection are becoming more popular, subscriptions to 100 Mbps or more are growing sharply, albeit from a low base. Especially pronounced in the Member States which already have the highest 100 Mbps subscription rate, this suggests both important emulation effects on demand and increasing supply of attractive services which exploit such higher capacity connectivity – the so-called next generation applications. Figure 10 shows how dramatically the take-up rate of connections offering at least 100 Mbps is progressing in countries where VHC networks are widely available. </w:t>
      </w:r>
    </w:p>
    <w:p w:rsidR="004C7085" w:rsidRDefault="005163E3">
      <w:pPr>
        <w:pStyle w:val="Heading4"/>
        <w:keepNext/>
        <w:rPr>
          <w:noProof/>
        </w:rPr>
      </w:pPr>
      <w:r>
        <w:rPr>
          <w:noProof/>
        </w:rPr>
        <w:t>Figure 10: Increase in subscriptions offering at least 100 Mbps connectivity in EU and in selected countries (fixed broadband)</w:t>
      </w:r>
    </w:p>
    <w:tbl>
      <w:tblPr>
        <w:tblW w:w="0" w:type="auto"/>
        <w:tblLook w:val="00A0" w:firstRow="1" w:lastRow="0" w:firstColumn="1" w:lastColumn="0" w:noHBand="0" w:noVBand="0"/>
      </w:tblPr>
      <w:tblGrid>
        <w:gridCol w:w="4501"/>
        <w:gridCol w:w="4741"/>
      </w:tblGrid>
      <w:tr w:rsidR="004C7085">
        <w:tc>
          <w:tcPr>
            <w:tcW w:w="4501" w:type="dxa"/>
          </w:tcPr>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drawing>
                <wp:inline distT="0" distB="0" distL="0" distR="0" wp14:anchorId="60A425A0" wp14:editId="14444F3B">
                  <wp:extent cx="2696845" cy="3268980"/>
                  <wp:effectExtent l="0" t="0" r="27305" b="2667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41" w:type="dxa"/>
          </w:tcPr>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drawing>
                <wp:inline distT="0" distB="0" distL="0" distR="0" wp14:anchorId="1BA057B0" wp14:editId="7150B8D3">
                  <wp:extent cx="2851150" cy="3261995"/>
                  <wp:effectExtent l="0" t="0" r="25400" b="1460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4C7085" w:rsidRDefault="005163E3">
      <w:pPr>
        <w:pStyle w:val="Corps"/>
        <w:spacing w:after="120"/>
        <w:rPr>
          <w:rFonts w:cs="Times New Roman"/>
          <w:noProof/>
          <w:sz w:val="20"/>
          <w:lang w:val="en-GB"/>
        </w:rPr>
      </w:pPr>
      <w:r>
        <w:rPr>
          <w:rFonts w:cs="Times New Roman"/>
          <w:i/>
          <w:iCs/>
          <w:noProof/>
          <w:sz w:val="20"/>
          <w:lang w:val="en-GB"/>
        </w:rPr>
        <w:t>Source: Communications Committee</w:t>
      </w:r>
    </w:p>
    <w:p w:rsidR="004C7085" w:rsidRDefault="005163E3">
      <w:pPr>
        <w:pStyle w:val="Corps"/>
        <w:pBdr>
          <w:top w:val="none" w:sz="0" w:space="0" w:color="auto"/>
          <w:left w:val="none" w:sz="0" w:space="0" w:color="auto"/>
          <w:bottom w:val="none" w:sz="0" w:space="0" w:color="auto"/>
          <w:right w:val="none" w:sz="0" w:space="0" w:color="auto"/>
        </w:pBdr>
        <w:spacing w:before="240"/>
        <w:rPr>
          <w:rFonts w:cs="Times New Roman"/>
          <w:noProof/>
          <w:lang w:val="en-GB"/>
        </w:rPr>
      </w:pPr>
      <w:r>
        <w:rPr>
          <w:rFonts w:cs="Times New Roman"/>
          <w:noProof/>
          <w:lang w:val="en-GB"/>
        </w:rPr>
        <w:t>Concerning mobile connectivity, the deployment of 4G has continued to increase sharply after a very slow start in many Member States and is now available from at least one operator to 86% of homes; however, some Member States lag significantly behind this average, and even in the better-served countries, away from population centres mobile data coverage continues to be subject to very significant gaps, including along major transport routes.</w:t>
      </w:r>
    </w:p>
    <w:p w:rsidR="004C7085" w:rsidRDefault="005163E3">
      <w:pPr>
        <w:pStyle w:val="Heading4"/>
        <w:keepNext/>
        <w:rPr>
          <w:noProof/>
        </w:rPr>
      </w:pPr>
      <w:r>
        <w:rPr>
          <w:noProof/>
        </w:rPr>
        <w:t>Figure 11: LTE household coverage by at least one operator in EU countries</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drawing>
          <wp:inline distT="0" distB="0" distL="0" distR="0" wp14:anchorId="40CF7834" wp14:editId="72433EFA">
            <wp:extent cx="6278880" cy="2471355"/>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5890" cy="2481986"/>
                    </a:xfrm>
                    <a:prstGeom prst="rect">
                      <a:avLst/>
                    </a:prstGeom>
                    <a:noFill/>
                  </pic:spPr>
                </pic:pic>
              </a:graphicData>
            </a:graphic>
          </wp:inline>
        </w:drawing>
      </w:r>
    </w:p>
    <w:p w:rsidR="004C7085" w:rsidRDefault="005163E3">
      <w:pPr>
        <w:pStyle w:val="Corps"/>
        <w:spacing w:after="120"/>
        <w:rPr>
          <w:rFonts w:cs="Times New Roman"/>
          <w:noProof/>
          <w:sz w:val="16"/>
          <w:szCs w:val="16"/>
          <w:lang w:val="en-GB"/>
        </w:rPr>
      </w:pPr>
      <w:r>
        <w:rPr>
          <w:rFonts w:cs="Times New Roman"/>
          <w:i/>
          <w:iCs/>
          <w:noProof/>
          <w:sz w:val="20"/>
          <w:lang w:val="en-GB"/>
        </w:rPr>
        <w:t>Source: IHS and VVA</w:t>
      </w:r>
    </w:p>
    <w:p w:rsidR="004C7085" w:rsidRDefault="005163E3">
      <w:pPr>
        <w:pStyle w:val="Corps"/>
        <w:rPr>
          <w:rStyle w:val="Corpsdutexte"/>
          <w:rFonts w:eastAsia="Times New Roman" w:cs="Times New Roman"/>
          <w:noProof/>
          <w:sz w:val="24"/>
          <w:lang w:val="en-GB"/>
        </w:rPr>
      </w:pPr>
      <w:r>
        <w:rPr>
          <w:rFonts w:cs="Times New Roman"/>
          <w:noProof/>
          <w:lang w:val="en-GB"/>
        </w:rPr>
        <w:t>In addition, connectivity in Europe is still overwhelmingly asymmetric, while uplink speeds are increasingly important for services such as cloud computing</w:t>
      </w:r>
      <w:r>
        <w:rPr>
          <w:rStyle w:val="Corpsdutexte"/>
          <w:rFonts w:eastAsia="Times New Roman" w:cs="Times New Roman"/>
          <w:noProof/>
          <w:sz w:val="24"/>
          <w:lang w:val="en-GB"/>
        </w:rPr>
        <w:t xml:space="preserve">. </w:t>
      </w:r>
    </w:p>
    <w:p w:rsidR="004C7085" w:rsidRDefault="004C7085">
      <w:pPr>
        <w:pStyle w:val="Corps"/>
        <w:rPr>
          <w:rStyle w:val="Corpsdutexte"/>
          <w:rFonts w:eastAsia="Times New Roman" w:cs="Times New Roman"/>
          <w:noProof/>
          <w:sz w:val="24"/>
          <w:lang w:val="en-GB"/>
        </w:rPr>
      </w:pPr>
    </w:p>
    <w:p w:rsidR="004C7085" w:rsidRDefault="005163E3">
      <w:pPr>
        <w:pStyle w:val="Heading2"/>
        <w:spacing w:before="0" w:after="120" w:line="240" w:lineRule="auto"/>
        <w:jc w:val="both"/>
        <w:rPr>
          <w:rFonts w:ascii="Times New Roman" w:hAnsi="Times New Roman" w:cs="Times New Roman"/>
          <w:noProof/>
        </w:rPr>
      </w:pPr>
      <w:bookmarkStart w:id="44" w:name="_Toc458467528"/>
      <w:bookmarkStart w:id="45" w:name="_Toc458188069"/>
      <w:bookmarkStart w:id="46" w:name="_Toc458188228"/>
      <w:bookmarkStart w:id="47" w:name="_Toc458450293"/>
      <w:bookmarkStart w:id="48" w:name="_Toc458461565"/>
      <w:bookmarkStart w:id="49" w:name="_Toc458257417"/>
      <w:bookmarkStart w:id="50" w:name="_Toc458467529"/>
      <w:bookmarkStart w:id="51" w:name="_Toc461050800"/>
      <w:bookmarkEnd w:id="44"/>
      <w:r>
        <w:rPr>
          <w:rFonts w:ascii="Times New Roman" w:hAnsi="Times New Roman" w:cs="Times New Roman"/>
          <w:noProof/>
        </w:rPr>
        <w:t>A growing need for connectivity</w:t>
      </w:r>
      <w:bookmarkEnd w:id="45"/>
      <w:bookmarkEnd w:id="46"/>
      <w:bookmarkEnd w:id="47"/>
      <w:bookmarkEnd w:id="48"/>
      <w:bookmarkEnd w:id="49"/>
      <w:bookmarkEnd w:id="50"/>
      <w:bookmarkEnd w:id="51"/>
    </w:p>
    <w:p w:rsidR="004C7085" w:rsidRDefault="005163E3">
      <w:pPr>
        <w:spacing w:after="120" w:line="240" w:lineRule="auto"/>
        <w:jc w:val="both"/>
        <w:rPr>
          <w:rFonts w:ascii="Times New Roman" w:eastAsia="Arial Unicode MS" w:hAnsi="Times New Roman" w:cs="Times New Roman"/>
          <w:noProof/>
          <w:color w:val="000000"/>
          <w:sz w:val="24"/>
          <w:szCs w:val="24"/>
          <w:u w:color="000000"/>
          <w:bdr w:val="nil"/>
          <w:lang w:eastAsia="en-GB"/>
        </w:rPr>
      </w:pPr>
      <w:r>
        <w:rPr>
          <w:rFonts w:ascii="Times New Roman" w:eastAsia="Arial Unicode MS" w:hAnsi="Times New Roman" w:cs="Times New Roman"/>
          <w:noProof/>
          <w:color w:val="000000"/>
          <w:sz w:val="24"/>
          <w:szCs w:val="24"/>
          <w:u w:color="000000"/>
          <w:bdr w:val="nil"/>
          <w:lang w:eastAsia="en-GB"/>
        </w:rPr>
        <w:t>The number of Internet users, devices and applications continues to grow and</w:t>
      </w:r>
      <w:r>
        <w:rPr>
          <w:rFonts w:ascii="Times New Roman" w:hAnsi="Times New Roman"/>
          <w:noProof/>
          <w:color w:val="000000"/>
          <w:sz w:val="24"/>
          <w:u w:color="000000"/>
          <w:bdr w:val="nil"/>
        </w:rPr>
        <w:t xml:space="preserve"> </w:t>
      </w:r>
      <w:r>
        <w:rPr>
          <w:rFonts w:ascii="Times New Roman" w:eastAsia="Arial Unicode MS" w:hAnsi="Times New Roman" w:cs="Times New Roman"/>
          <w:noProof/>
          <w:color w:val="000000"/>
          <w:sz w:val="24"/>
          <w:szCs w:val="24"/>
          <w:u w:color="000000"/>
          <w:bdr w:val="nil"/>
          <w:lang w:eastAsia="en-GB"/>
        </w:rPr>
        <w:t xml:space="preserve">will generate more and more traffic over the core networks, creating greater need for connectivity.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Mobile data traffic in Western Europe is expected to grow six fold from 2015 to 2020</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The European Parliament report "</w:t>
      </w:r>
      <w:r>
        <w:rPr>
          <w:rFonts w:ascii="Times New Roman" w:hAnsi="Times New Roman" w:cs="Times New Roman"/>
          <w:i/>
          <w:noProof/>
          <w:sz w:val="24"/>
          <w:szCs w:val="24"/>
        </w:rPr>
        <w:t>Reforming EU telecoms rules to create a Digital Union</w:t>
      </w:r>
      <w:r>
        <w:rPr>
          <w:rFonts w:ascii="Times New Roman" w:hAnsi="Times New Roman" w:cs="Times New Roman"/>
          <w:noProof/>
          <w:sz w:val="24"/>
          <w:szCs w:val="24"/>
        </w:rPr>
        <w:t>" (2016)</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points out a "</w:t>
      </w:r>
      <w:r>
        <w:rPr>
          <w:rFonts w:ascii="Times New Roman" w:hAnsi="Times New Roman" w:cs="Times New Roman"/>
          <w:i/>
          <w:noProof/>
          <w:sz w:val="24"/>
          <w:szCs w:val="24"/>
        </w:rPr>
        <w:t>tremendous expected increase of mobile data traffic in Europe - from 0.98 Exabytes per month in 2015 to 7.23 Exabytes per month</w:t>
      </w:r>
      <w:r>
        <w:rPr>
          <w:rFonts w:ascii="Times New Roman" w:hAnsi="Times New Roman" w:cs="Times New Roman"/>
          <w:noProof/>
          <w:sz w:val="24"/>
          <w:szCs w:val="24"/>
        </w:rPr>
        <w:t xml:space="preserve">" by 2020. </w:t>
      </w:r>
    </w:p>
    <w:p w:rsidR="004C7085" w:rsidRDefault="005163E3">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these high levels of anticipated mobile data traffic are still expected to fall well below projected traffic to fixed locations, given that already in 2012 the cellular mobile data traffic was identified as "</w:t>
      </w:r>
      <w:r>
        <w:rPr>
          <w:rFonts w:ascii="Times New Roman" w:hAnsi="Times New Roman" w:cs="Times New Roman"/>
          <w:i/>
          <w:noProof/>
          <w:sz w:val="24"/>
          <w:szCs w:val="24"/>
        </w:rPr>
        <w:t xml:space="preserve">only the tip of a much larger iceberg" </w:t>
      </w:r>
      <w:r>
        <w:rPr>
          <w:rFonts w:ascii="Times New Roman" w:hAnsi="Times New Roman" w:cs="Times New Roman"/>
          <w:noProof/>
          <w:sz w:val="24"/>
          <w:szCs w:val="24"/>
        </w:rPr>
        <w:t>if one takes account of the data used via Wi-Fi access points</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.According to Cisco, the overall IP traffic is expected to grow to 194 Exabytes per month by 2020, up from 72.5 Exabytes per month in 2015, </w:t>
      </w:r>
      <w:r>
        <w:rPr>
          <w:rFonts w:ascii="Times New Roman" w:hAnsi="Times New Roman" w:cs="Times New Roman"/>
          <w:i/>
          <w:noProof/>
          <w:sz w:val="24"/>
          <w:szCs w:val="24"/>
        </w:rPr>
        <w:t>i.e.</w:t>
      </w:r>
      <w:r>
        <w:rPr>
          <w:rFonts w:ascii="Times New Roman" w:hAnsi="Times New Roman" w:cs="Times New Roman"/>
          <w:noProof/>
          <w:sz w:val="24"/>
          <w:szCs w:val="24"/>
        </w:rPr>
        <w:t xml:space="preserve"> a compound annual growth rate (CAGR) of 22 percent</w:t>
      </w:r>
      <w:r>
        <w:rPr>
          <w:rStyle w:val="FootnoteReference"/>
          <w:rFonts w:ascii="Times New Roman" w:hAnsi="Times New Roman"/>
          <w:noProof/>
        </w:rPr>
        <w:footnoteReference w:id="23"/>
      </w:r>
      <w:r>
        <w:rPr>
          <w:rFonts w:ascii="Times New Roman" w:hAnsi="Times New Roman" w:cs="Times New Roman"/>
          <w:noProof/>
          <w:sz w:val="24"/>
          <w:szCs w:val="24"/>
        </w:rPr>
        <w:t xml:space="preserve">. </w:t>
      </w:r>
    </w:p>
    <w:p w:rsidR="004C7085" w:rsidRDefault="005163E3">
      <w:pPr>
        <w:pStyle w:val="Heading4"/>
        <w:keepNext/>
        <w:rPr>
          <w:noProof/>
        </w:rPr>
      </w:pPr>
      <w:r>
        <w:rPr>
          <w:noProof/>
        </w:rPr>
        <w:t>Figure 12: IP Traffic volumes 2015-2020</w:t>
      </w:r>
    </w:p>
    <w:p w:rsidR="004C7085" w:rsidRDefault="005163E3">
      <w:pPr>
        <w:spacing w:after="120" w:line="240" w:lineRule="auto"/>
        <w:jc w:val="both"/>
        <w:rPr>
          <w:rFonts w:ascii="Times New Roman" w:hAnsi="Times New Roman" w:cs="Times New Roman"/>
          <w:i/>
          <w:noProof/>
          <w:sz w:val="24"/>
          <w:u w:val="single"/>
          <w:lang w:val="en-US"/>
        </w:rPr>
      </w:pPr>
      <w:r>
        <w:rPr>
          <w:rFonts w:ascii="Times New Roman" w:hAnsi="Times New Roman" w:cs="Times New Roman"/>
          <w:i/>
          <w:noProof/>
          <w:sz w:val="24"/>
          <w:u w:val="single"/>
          <w:lang w:eastAsia="en-GB"/>
        </w:rPr>
        <w:drawing>
          <wp:inline distT="0" distB="0" distL="0" distR="0" wp14:anchorId="18D3DFBA" wp14:editId="133AB36C">
            <wp:extent cx="5731510" cy="2342068"/>
            <wp:effectExtent l="0" t="0" r="2540" b="1270"/>
            <wp:docPr id="61" name="Picture 61" descr="C:\Users\nasarfa.NET1\Desktop\ci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sarfa.NET1\Desktop\cisc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42068"/>
                    </a:xfrm>
                    <a:prstGeom prst="rect">
                      <a:avLst/>
                    </a:prstGeom>
                    <a:noFill/>
                    <a:ln>
                      <a:noFill/>
                    </a:ln>
                  </pic:spPr>
                </pic:pic>
              </a:graphicData>
            </a:graphic>
          </wp:inline>
        </w:drawing>
      </w:r>
    </w:p>
    <w:p w:rsidR="004C7085" w:rsidRDefault="005163E3">
      <w:pPr>
        <w:spacing w:after="120" w:line="240" w:lineRule="auto"/>
        <w:jc w:val="both"/>
        <w:rPr>
          <w:rFonts w:ascii="Times New Roman" w:hAnsi="Times New Roman" w:cs="Times New Roman"/>
          <w:noProof/>
          <w:lang w:val="en-US"/>
        </w:rPr>
      </w:pPr>
      <w:r>
        <w:rPr>
          <w:rFonts w:ascii="Times New Roman" w:hAnsi="Times New Roman" w:cs="Times New Roman"/>
          <w:i/>
          <w:noProof/>
          <w:sz w:val="20"/>
          <w:szCs w:val="24"/>
        </w:rPr>
        <w:t>Source: Cisco VNI Global IP Traffic Forecast, 2015–2020</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IP traffic growth is explained by the increase in the </w:t>
      </w:r>
      <w:r>
        <w:rPr>
          <w:rFonts w:ascii="Times New Roman" w:hAnsi="Times New Roman" w:cs="Times New Roman"/>
          <w:noProof/>
          <w:sz w:val="24"/>
          <w:szCs w:val="24"/>
          <w:lang w:val="en"/>
        </w:rPr>
        <w:t>number of users but also by the substantial growth of IP traffic per capita over the past decade. Globally, monthly IP traffic is expected to reach 25 GB per capita by 2020, up from 10 GB per capita in 2015</w:t>
      </w:r>
      <w:r>
        <w:rPr>
          <w:rStyle w:val="FootnoteReference"/>
          <w:rFonts w:ascii="Times New Roman" w:hAnsi="Times New Roman" w:cs="Times New Roman"/>
          <w:noProof/>
          <w:sz w:val="24"/>
          <w:szCs w:val="24"/>
          <w:lang w:val="en"/>
        </w:rPr>
        <w:footnoteReference w:id="24"/>
      </w:r>
      <w:r>
        <w:rPr>
          <w:rFonts w:ascii="Times New Roman" w:hAnsi="Times New Roman" w:cs="Times New Roman"/>
          <w:noProof/>
          <w:sz w:val="24"/>
          <w:szCs w:val="24"/>
          <w:lang w:val="en"/>
        </w:rPr>
        <w:t xml:space="preserve">.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Business Internet traffic is estimated to grow 2.6-fold from 2015 to 2020, a compound annual growth rate of 21% and, in 2020, it will reach 27.9 Exabytes per month. In particular, as businesses and consumers exchange their data with the cloud, this will also lead to a modified demand pattern for upload traffic. Hence, while most of the traffic will still be in download, demand for upload will increase, as well as the need for lower latency (i.e. higher responsiveness) for applications such as cloud computing, connected driving and e-health.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capacity demand is fuelled by the desire of users to enjoy better quality online services including online video and cloud applications, as well as enabling multi-screen viewing, which is becoming increasingly prevalent in European households. Projections by Deloitte</w:t>
      </w:r>
      <w:r>
        <w:rPr>
          <w:noProof/>
          <w:sz w:val="24"/>
          <w:vertAlign w:val="superscript"/>
        </w:rPr>
        <w:footnoteReference w:id="25"/>
      </w:r>
      <w:r>
        <w:rPr>
          <w:rFonts w:ascii="Times New Roman" w:hAnsi="Times New Roman" w:cs="Times New Roman"/>
          <w:noProof/>
          <w:sz w:val="24"/>
          <w:szCs w:val="24"/>
        </w:rPr>
        <w:t xml:space="preserve"> see very high capacity connections as a requirement to meet the aggregate demand from dozens of connected devices in a home. This is becoming the norm in European households where several users consume bandwidth from several devices at once. Deloitte further notes that “</w:t>
      </w:r>
      <w:r>
        <w:rPr>
          <w:rFonts w:ascii="Times New Roman" w:hAnsi="Times New Roman" w:cs="Times New Roman"/>
          <w:i/>
          <w:noProof/>
          <w:sz w:val="24"/>
          <w:szCs w:val="24"/>
        </w:rPr>
        <w:t>demand for connectivity has evolved symbiotically: as faster speeds have become available, the range of applications supported has increased and the viable number of devices per person has steadily risen</w:t>
      </w:r>
      <w:r>
        <w:rPr>
          <w:rFonts w:ascii="Times New Roman" w:hAnsi="Times New Roman" w:cs="Times New Roman"/>
          <w:noProof/>
          <w:sz w:val="24"/>
          <w:szCs w:val="24"/>
        </w:rPr>
        <w:t>.”</w:t>
      </w:r>
    </w:p>
    <w:p w:rsidR="004C7085" w:rsidRDefault="005163E3">
      <w:pPr>
        <w:pStyle w:val="Heading4"/>
        <w:keepNext/>
        <w:rPr>
          <w:noProof/>
        </w:rPr>
      </w:pPr>
      <w:r>
        <w:rPr>
          <w:noProof/>
        </w:rPr>
        <w:br w:type="page"/>
        <w:t>Figure 13: Europe IP Traffic and Service Adoption Drivers</w:t>
      </w:r>
    </w:p>
    <w:p w:rsidR="004C7085" w:rsidRDefault="005163E3">
      <w:pPr>
        <w:spacing w:after="120" w:line="240"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4E01E956" wp14:editId="3A615D70">
            <wp:extent cx="4540469" cy="1978985"/>
            <wp:effectExtent l="0" t="0" r="0" b="2540"/>
            <wp:docPr id="20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6555" cy="1981638"/>
                    </a:xfrm>
                    <a:prstGeom prst="rect">
                      <a:avLst/>
                    </a:prstGeom>
                    <a:noFill/>
                    <a:ln>
                      <a:noFill/>
                    </a:ln>
                  </pic:spPr>
                </pic:pic>
              </a:graphicData>
            </a:graphic>
          </wp:inline>
        </w:drawing>
      </w:r>
    </w:p>
    <w:p w:rsidR="004C7085" w:rsidRDefault="005163E3">
      <w:pPr>
        <w:spacing w:after="120" w:line="240" w:lineRule="auto"/>
        <w:jc w:val="both"/>
        <w:rPr>
          <w:rFonts w:ascii="Times New Roman" w:hAnsi="Times New Roman" w:cs="Times New Roman"/>
          <w:noProof/>
        </w:rPr>
      </w:pPr>
      <w:r>
        <w:rPr>
          <w:rFonts w:ascii="Times New Roman" w:hAnsi="Times New Roman" w:cs="Times New Roman"/>
          <w:noProof/>
          <w:sz w:val="18"/>
        </w:rPr>
        <w:t>Source: Cisco VNI Global IP Traffic forecast 2014-2019 – Europe includes Western Europe + CEE, excluding Russia</w:t>
      </w:r>
    </w:p>
    <w:p w:rsidR="004C7085" w:rsidRDefault="005163E3">
      <w:pPr>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trends increase the demand for capacity and other quality of service characteristics of digital networks. There is an emerging consensus among industry players and investors that in the medium and long run, fixed and mobile networks converge: for instance, it is expected that 5G connectivity providers will rely on (nearly) ubiquitous VHC network infrastructures coming very close to users' premises (i.e. to the building, to the small cell), to support their business. </w:t>
      </w:r>
    </w:p>
    <w:p w:rsidR="004C7085" w:rsidRDefault="005163E3">
      <w:pPr>
        <w:spacing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As mentioned above, this booming global traffic is the product of the increase in connected activity at the level of individual users (both the growing number of end users and, to an ever greater extent, the increase in data traffic per end user). </w:t>
      </w:r>
      <w:r>
        <w:rPr>
          <w:rFonts w:ascii="Times New Roman" w:hAnsi="Times New Roman" w:cs="Times New Roman"/>
          <w:noProof/>
          <w:sz w:val="24"/>
          <w:szCs w:val="24"/>
          <w:lang w:val="en"/>
        </w:rPr>
        <w:t xml:space="preserve">Globally, the average number of devices and connections per household and Business place is also growing due to M2M applications, such as smart meters, video surveillance, healthcare monitoring, transportation, and package or asset tracking. By 2020, M2M connections will represent 46 percent of the total devices and connections, according to Cisco. </w:t>
      </w:r>
    </w:p>
    <w:p w:rsidR="004C7085" w:rsidRDefault="004C7085">
      <w:pPr>
        <w:spacing w:after="120" w:line="240" w:lineRule="auto"/>
        <w:jc w:val="both"/>
        <w:rPr>
          <w:rFonts w:ascii="Times New Roman" w:hAnsi="Times New Roman" w:cs="Times New Roman"/>
          <w:noProof/>
          <w:sz w:val="24"/>
          <w:szCs w:val="24"/>
          <w:lang w:val="en"/>
        </w:rPr>
      </w:pPr>
    </w:p>
    <w:p w:rsidR="004C7085" w:rsidRDefault="005163E3">
      <w:pPr>
        <w:pStyle w:val="Heading4"/>
        <w:keepNext/>
        <w:rPr>
          <w:noProof/>
        </w:rPr>
      </w:pPr>
      <w:r>
        <w:rPr>
          <w:noProof/>
        </w:rPr>
        <w:t>Figure 14: Traffic evolution by the type of devices 2015-2020</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44A5952" wp14:editId="73516B23">
            <wp:extent cx="6116320" cy="2682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i-hyperconnectivity-wp_2.jpg"/>
                    <pic:cNvPicPr/>
                  </pic:nvPicPr>
                  <pic:blipFill>
                    <a:blip r:embed="rId33">
                      <a:extLst>
                        <a:ext uri="{28A0092B-C50C-407E-A947-70E740481C1C}">
                          <a14:useLocalDpi xmlns:a14="http://schemas.microsoft.com/office/drawing/2010/main" val="0"/>
                        </a:ext>
                      </a:extLst>
                    </a:blip>
                    <a:stretch>
                      <a:fillRect/>
                    </a:stretch>
                  </pic:blipFill>
                  <pic:spPr>
                    <a:xfrm>
                      <a:off x="0" y="0"/>
                      <a:ext cx="6119942" cy="2683828"/>
                    </a:xfrm>
                    <a:prstGeom prst="rect">
                      <a:avLst/>
                    </a:prstGeom>
                  </pic:spPr>
                </pic:pic>
              </a:graphicData>
            </a:graphic>
          </wp:inline>
        </w:drawing>
      </w:r>
    </w:p>
    <w:p w:rsidR="004C7085" w:rsidRDefault="005163E3">
      <w:pPr>
        <w:spacing w:after="120" w:line="240" w:lineRule="auto"/>
        <w:jc w:val="both"/>
        <w:rPr>
          <w:rFonts w:ascii="Times New Roman" w:hAnsi="Times New Roman"/>
          <w:noProof/>
          <w:lang w:val="en-US"/>
        </w:rPr>
      </w:pPr>
      <w:r>
        <w:rPr>
          <w:rFonts w:ascii="Times New Roman" w:hAnsi="Times New Roman" w:cs="Times New Roman"/>
          <w:i/>
          <w:noProof/>
          <w:sz w:val="20"/>
          <w:szCs w:val="24"/>
        </w:rPr>
        <w:t>Source: Cisco VNI Global IP Traffic Forecast, 2015–2020</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New and innovative (so-called "next-generation") applications requiring low latency, high Internet access speed </w:t>
      </w:r>
      <w:r>
        <w:rPr>
          <w:rFonts w:ascii="Times New Roman" w:hAnsi="Times New Roman" w:cs="Times New Roman"/>
          <w:noProof/>
          <w:sz w:val="24"/>
          <w:szCs w:val="24"/>
        </w:rPr>
        <w:noBreakHyphen/>
        <w:t> often bi-directional </w:t>
      </w:r>
      <w:r>
        <w:rPr>
          <w:rFonts w:ascii="Times New Roman" w:hAnsi="Times New Roman" w:cs="Times New Roman"/>
          <w:noProof/>
          <w:sz w:val="24"/>
          <w:szCs w:val="24"/>
        </w:rPr>
        <w:noBreakHyphen/>
        <w:t xml:space="preserve"> and other improved connectivity parameters are emerging and will reinforce the demand for better connectivity. </w:t>
      </w:r>
    </w:p>
    <w:p w:rsidR="004C7085" w:rsidRDefault="004C7085">
      <w:pPr>
        <w:spacing w:after="120" w:line="240" w:lineRule="auto"/>
        <w:jc w:val="both"/>
        <w:rPr>
          <w:rFonts w:ascii="Times New Roman" w:hAnsi="Times New Roman" w:cs="Times New Roman"/>
          <w:noProof/>
          <w:sz w:val="24"/>
          <w:szCs w:val="24"/>
        </w:rPr>
      </w:pPr>
    </w:p>
    <w:p w:rsidR="004C7085" w:rsidRDefault="005163E3">
      <w:pPr>
        <w:pStyle w:val="Heading4"/>
        <w:keepNext/>
        <w:rPr>
          <w:noProof/>
        </w:rPr>
      </w:pPr>
      <w:r>
        <w:rPr>
          <w:noProof/>
        </w:rPr>
        <w:t>Figure 15: Applications' bandwidth and latency requirements</w:t>
      </w:r>
    </w:p>
    <w:p w:rsidR="004C7085" w:rsidRDefault="005163E3">
      <w:pPr>
        <w:spacing w:after="120" w:line="240" w:lineRule="auto"/>
        <w:jc w:val="both"/>
        <w:rPr>
          <w:rFonts w:ascii="Times New Roman" w:hAnsi="Times New Roman" w:cs="Times New Roman"/>
          <w:noProof/>
          <w:lang w:val="en-US"/>
        </w:rPr>
      </w:pPr>
      <w:r>
        <w:rPr>
          <w:rFonts w:ascii="Times New Roman" w:hAnsi="Times New Roman" w:cs="Times New Roman"/>
          <w:noProof/>
          <w:lang w:eastAsia="en-GB"/>
        </w:rPr>
        <w:drawing>
          <wp:inline distT="0" distB="0" distL="0" distR="0" wp14:anchorId="15882171" wp14:editId="2277ABF7">
            <wp:extent cx="5695950" cy="33587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5950" cy="3358786"/>
                    </a:xfrm>
                    <a:prstGeom prst="rect">
                      <a:avLst/>
                    </a:prstGeom>
                    <a:noFill/>
                  </pic:spPr>
                </pic:pic>
              </a:graphicData>
            </a:graphic>
          </wp:inline>
        </w:drawing>
      </w:r>
    </w:p>
    <w:p w:rsidR="004C7085" w:rsidRDefault="005163E3">
      <w:pPr>
        <w:spacing w:before="240"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Next generation TV is likely to be a significant driver of bandwidth demand for households in the coming years. However, it is not the only driver. Bandwidth may also increasingly be needed and used for business purposes, both in business premises and in the home office. For a complete picture therefore, it is helpful to take into account a range of applications (in addition to TV) and to understand how bandwidth requirements may vary for different types of users including businesses.</w:t>
      </w:r>
    </w:p>
    <w:p w:rsidR="004C7085" w:rsidRDefault="005163E3">
      <w:pPr>
        <w:pStyle w:val="Heading4"/>
        <w:keepNext/>
        <w:rPr>
          <w:noProof/>
        </w:rPr>
      </w:pPr>
      <w:r>
        <w:rPr>
          <w:noProof/>
        </w:rPr>
        <w:t>Table 1: Application categories with their capacity and quality requirements 2025</w:t>
      </w:r>
    </w:p>
    <w:p w:rsidR="004C7085" w:rsidRDefault="005163E3">
      <w:pPr>
        <w:spacing w:after="120" w:line="240"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640CFA3F" wp14:editId="60E922B8">
            <wp:extent cx="5346700" cy="3401695"/>
            <wp:effectExtent l="0" t="0" r="6350" b="0"/>
            <wp:docPr id="54" name="Grafik 1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6700" cy="3401695"/>
                    </a:xfrm>
                    <a:prstGeom prst="rect">
                      <a:avLst/>
                    </a:prstGeom>
                    <a:noFill/>
                  </pic:spPr>
                </pic:pic>
              </a:graphicData>
            </a:graphic>
          </wp:inline>
        </w:drawing>
      </w:r>
    </w:p>
    <w:p w:rsidR="004C7085" w:rsidRDefault="005163E3">
      <w:pPr>
        <w:pStyle w:val="Quelle"/>
        <w:spacing w:before="0" w:after="120"/>
        <w:rPr>
          <w:rFonts w:ascii="Times New Roman" w:hAnsi="Times New Roman"/>
          <w:i/>
          <w:noProof/>
          <w:sz w:val="20"/>
        </w:rPr>
      </w:pPr>
      <w:r>
        <w:rPr>
          <w:rFonts w:ascii="Times New Roman" w:hAnsi="Times New Roman"/>
          <w:i/>
          <w:noProof/>
          <w:sz w:val="20"/>
        </w:rPr>
        <w:t xml:space="preserve">Source: </w:t>
      </w:r>
      <w:r>
        <w:rPr>
          <w:rFonts w:ascii="Times New Roman" w:hAnsi="Times New Roman"/>
          <w:i/>
          <w:noProof/>
          <w:sz w:val="20"/>
        </w:rPr>
        <w:tab/>
        <w:t>WIK-IDATE-Deloitte; Regulatory, in particular access, regimes for network investment models in Europe, SMART 2015/0002</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Further examples of current applications with particular quality requirements are presented in table 2.</w:t>
      </w:r>
    </w:p>
    <w:p w:rsidR="004C7085" w:rsidRDefault="005163E3">
      <w:pPr>
        <w:pStyle w:val="Heading4"/>
        <w:keepNext/>
        <w:rPr>
          <w:noProof/>
        </w:rPr>
      </w:pPr>
      <w:r>
        <w:rPr>
          <w:noProof/>
        </w:rPr>
        <w:t>Table 2: Quality requirements of applications</w:t>
      </w:r>
    </w:p>
    <w:tbl>
      <w:tblPr>
        <w:tblpPr w:leftFromText="180" w:rightFromText="180" w:vertAnchor="text" w:tblpY="1"/>
        <w:tblOverlap w:val="neve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128"/>
        <w:gridCol w:w="471"/>
        <w:gridCol w:w="471"/>
        <w:gridCol w:w="471"/>
        <w:gridCol w:w="471"/>
        <w:gridCol w:w="471"/>
        <w:gridCol w:w="471"/>
        <w:gridCol w:w="471"/>
        <w:gridCol w:w="471"/>
        <w:gridCol w:w="471"/>
        <w:gridCol w:w="471"/>
        <w:gridCol w:w="471"/>
        <w:gridCol w:w="471"/>
      </w:tblGrid>
      <w:tr w:rsidR="004C7085">
        <w:trPr>
          <w:trHeight w:val="2685"/>
        </w:trPr>
        <w:tc>
          <w:tcPr>
            <w:tcW w:w="591" w:type="dxa"/>
            <w:shd w:val="clear" w:color="auto" w:fill="auto"/>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Security</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Capacity</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Reliability</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Ubiquity</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Connections Density</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Download Speed</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Upload Speed</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High Peak data rate</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Symmetry</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Low Latency</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Low Jitter</w:t>
            </w:r>
          </w:p>
        </w:tc>
        <w:tc>
          <w:tcPr>
            <w:tcW w:w="471" w:type="dxa"/>
            <w:shd w:val="clear" w:color="auto" w:fill="auto"/>
            <w:textDirection w:val="btLr"/>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Low Packet Loss</w:t>
            </w:r>
          </w:p>
        </w:tc>
      </w:tr>
      <w:tr w:rsidR="004C7085">
        <w:trPr>
          <w:trHeight w:val="418"/>
        </w:trPr>
        <w:tc>
          <w:tcPr>
            <w:tcW w:w="591" w:type="dxa"/>
            <w:vMerge w:val="restart"/>
            <w:shd w:val="clear" w:color="auto" w:fill="auto"/>
            <w:textDirection w:val="btLr"/>
            <w:vAlign w:val="center"/>
            <w:hideMark/>
          </w:tcPr>
          <w:p w:rsidR="004C7085" w:rsidRDefault="005163E3">
            <w:pPr>
              <w:spacing w:after="120" w:line="240" w:lineRule="auto"/>
              <w:jc w:val="center"/>
              <w:rPr>
                <w:rFonts w:ascii="Times New Roman" w:hAnsi="Times New Roman" w:cs="Times New Roman"/>
                <w:noProof/>
                <w:color w:val="000000"/>
                <w:lang w:eastAsia="en-GB"/>
              </w:rPr>
            </w:pPr>
            <w:r>
              <w:rPr>
                <w:rFonts w:ascii="Times New Roman" w:hAnsi="Times New Roman" w:cs="Times New Roman"/>
                <w:noProof/>
                <w:color w:val="000000"/>
                <w:lang w:eastAsia="en-GB"/>
              </w:rPr>
              <w:t>real-time applications</w:t>
            </w: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Video, 3D video, UHD screens</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Education / e-Learning</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IoT &amp; M2M</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Audio / Music</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Gaming</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e-Commerce</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IP Telephony</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HD telepresence</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restart"/>
            <w:shd w:val="clear" w:color="auto" w:fill="auto"/>
            <w:textDirection w:val="btLr"/>
            <w:vAlign w:val="center"/>
            <w:hideMark/>
          </w:tcPr>
          <w:p w:rsidR="004C7085" w:rsidRDefault="005163E3">
            <w:pPr>
              <w:spacing w:after="120" w:line="240" w:lineRule="auto"/>
              <w:jc w:val="center"/>
              <w:rPr>
                <w:rFonts w:ascii="Times New Roman" w:hAnsi="Times New Roman" w:cs="Times New Roman"/>
                <w:noProof/>
                <w:color w:val="000000"/>
                <w:lang w:eastAsia="en-GB"/>
              </w:rPr>
            </w:pPr>
            <w:r>
              <w:rPr>
                <w:rFonts w:ascii="Times New Roman" w:hAnsi="Times New Roman" w:cs="Times New Roman"/>
                <w:noProof/>
                <w:color w:val="000000"/>
                <w:lang w:eastAsia="en-GB"/>
              </w:rPr>
              <w:t>mission critical applications</w:t>
            </w: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e-Banking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Health Services</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Self-driving car</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Security / CCTV</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e-Government</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4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30"/>
        </w:trPr>
        <w:tc>
          <w:tcPr>
            <w:tcW w:w="591" w:type="dxa"/>
            <w:vMerge w:val="restart"/>
            <w:shd w:val="clear" w:color="auto" w:fill="auto"/>
            <w:textDirection w:val="btLr"/>
            <w:vAlign w:val="center"/>
            <w:hideMark/>
          </w:tcPr>
          <w:p w:rsidR="004C7085" w:rsidRDefault="005163E3">
            <w:pPr>
              <w:spacing w:after="120" w:line="240" w:lineRule="auto"/>
              <w:jc w:val="center"/>
              <w:rPr>
                <w:rFonts w:ascii="Times New Roman" w:hAnsi="Times New Roman" w:cs="Times New Roman"/>
                <w:noProof/>
                <w:color w:val="000000"/>
                <w:lang w:eastAsia="en-GB"/>
              </w:rPr>
            </w:pPr>
            <w:r>
              <w:rPr>
                <w:rFonts w:ascii="Times New Roman" w:hAnsi="Times New Roman" w:cs="Times New Roman"/>
                <w:noProof/>
                <w:color w:val="000000"/>
                <w:lang w:eastAsia="en-GB"/>
              </w:rPr>
              <w:t>massive communications</w:t>
            </w: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Smart City</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Industry automation</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Augmented Reality</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Big Data</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Work and play in the cloud</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Gigabytes in a second</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30"/>
        </w:trPr>
        <w:tc>
          <w:tcPr>
            <w:tcW w:w="591" w:type="dxa"/>
            <w:vMerge/>
            <w:vAlign w:val="center"/>
            <w:hideMark/>
          </w:tcPr>
          <w:p w:rsidR="004C7085" w:rsidRDefault="004C7085">
            <w:pPr>
              <w:spacing w:after="120" w:line="240" w:lineRule="auto"/>
              <w:jc w:val="center"/>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30"/>
        </w:trPr>
        <w:tc>
          <w:tcPr>
            <w:tcW w:w="591" w:type="dxa"/>
            <w:vMerge w:val="restart"/>
            <w:shd w:val="clear" w:color="auto" w:fill="auto"/>
            <w:textDirection w:val="btLr"/>
            <w:vAlign w:val="center"/>
            <w:hideMark/>
          </w:tcPr>
          <w:p w:rsidR="004C7085" w:rsidRDefault="005163E3">
            <w:pPr>
              <w:spacing w:after="120" w:line="240" w:lineRule="auto"/>
              <w:jc w:val="center"/>
              <w:rPr>
                <w:rFonts w:ascii="Times New Roman" w:hAnsi="Times New Roman" w:cs="Times New Roman"/>
                <w:noProof/>
                <w:color w:val="000000"/>
                <w:lang w:eastAsia="en-GB"/>
              </w:rPr>
            </w:pPr>
            <w:r>
              <w:rPr>
                <w:rFonts w:ascii="Times New Roman" w:hAnsi="Times New Roman" w:cs="Times New Roman"/>
                <w:noProof/>
                <w:color w:val="000000"/>
                <w:lang w:eastAsia="en-GB"/>
              </w:rPr>
              <w:t>basic applications</w:t>
            </w: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Email</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both"/>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Social Networking</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both"/>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Smart Home / Building</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both"/>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Location-Based Services</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both"/>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Videoconferencing</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r w:rsidR="004C7085">
        <w:trPr>
          <w:trHeight w:val="315"/>
        </w:trPr>
        <w:tc>
          <w:tcPr>
            <w:tcW w:w="591" w:type="dxa"/>
            <w:vMerge/>
            <w:vAlign w:val="center"/>
            <w:hideMark/>
          </w:tcPr>
          <w:p w:rsidR="004C7085" w:rsidRDefault="004C7085">
            <w:pPr>
              <w:spacing w:after="120" w:line="240" w:lineRule="auto"/>
              <w:jc w:val="both"/>
              <w:rPr>
                <w:rFonts w:ascii="Times New Roman" w:hAnsi="Times New Roman" w:cs="Times New Roman"/>
                <w:noProof/>
                <w:color w:val="000000"/>
                <w:lang w:eastAsia="en-GB"/>
              </w:rPr>
            </w:pPr>
          </w:p>
        </w:tc>
        <w:tc>
          <w:tcPr>
            <w:tcW w:w="3128" w:type="dxa"/>
            <w:shd w:val="clear" w:color="auto" w:fill="auto"/>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Browsing</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000000" w:fill="FFFFFF"/>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c>
          <w:tcPr>
            <w:tcW w:w="471" w:type="dxa"/>
            <w:shd w:val="clear" w:color="auto" w:fill="0070C0"/>
            <w:vAlign w:val="center"/>
            <w:hideMark/>
          </w:tcPr>
          <w:p w:rsidR="004C7085" w:rsidRDefault="005163E3">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 </w:t>
            </w:r>
          </w:p>
        </w:tc>
      </w:tr>
    </w:tbl>
    <w:p w:rsidR="004C7085" w:rsidRDefault="005163E3">
      <w:pPr>
        <w:spacing w:after="120" w:line="240" w:lineRule="auto"/>
        <w:jc w:val="both"/>
        <w:rPr>
          <w:rFonts w:ascii="Times New Roman" w:hAnsi="Times New Roman"/>
          <w:i/>
          <w:noProof/>
          <w:sz w:val="20"/>
        </w:rPr>
      </w:pPr>
      <w:r>
        <w:rPr>
          <w:rFonts w:ascii="Times New Roman" w:hAnsi="Times New Roman"/>
          <w:i/>
          <w:noProof/>
          <w:sz w:val="20"/>
        </w:rPr>
        <w:t xml:space="preserve">Source: European Commission </w:t>
      </w:r>
    </w:p>
    <w:p w:rsidR="004C7085" w:rsidRDefault="004C7085">
      <w:pPr>
        <w:spacing w:after="120" w:line="240" w:lineRule="auto"/>
        <w:jc w:val="both"/>
        <w:rPr>
          <w:rFonts w:ascii="Times New Roman" w:hAnsi="Times New Roman"/>
          <w:i/>
          <w:noProof/>
          <w:sz w:val="20"/>
        </w:rPr>
      </w:pPr>
      <w:bookmarkStart w:id="52" w:name="_Toc458199939"/>
      <w:bookmarkStart w:id="53" w:name="_Toc458200029"/>
      <w:bookmarkStart w:id="54" w:name="_Toc458199940"/>
      <w:bookmarkStart w:id="55" w:name="_Toc458200030"/>
      <w:bookmarkStart w:id="56" w:name="_Toc458199941"/>
      <w:bookmarkStart w:id="57" w:name="_Toc458200031"/>
      <w:bookmarkStart w:id="58" w:name="_Toc458199942"/>
      <w:bookmarkStart w:id="59" w:name="_Toc458200032"/>
      <w:bookmarkStart w:id="60" w:name="_Toc458199943"/>
      <w:bookmarkStart w:id="61" w:name="_Toc458200033"/>
      <w:bookmarkStart w:id="62" w:name="_Toc458199944"/>
      <w:bookmarkStart w:id="63" w:name="_Toc458200034"/>
      <w:bookmarkStart w:id="64" w:name="_Toc458199945"/>
      <w:bookmarkStart w:id="65" w:name="_Toc458200035"/>
      <w:bookmarkStart w:id="66" w:name="_Toc458199946"/>
      <w:bookmarkStart w:id="67" w:name="_Toc458200036"/>
      <w:bookmarkStart w:id="68" w:name="_Toc458199947"/>
      <w:bookmarkStart w:id="69" w:name="_Toc458200037"/>
      <w:bookmarkStart w:id="70" w:name="_Toc458199948"/>
      <w:bookmarkStart w:id="71" w:name="_Toc458200038"/>
      <w:bookmarkStart w:id="72" w:name="_Toc458199949"/>
      <w:bookmarkStart w:id="73" w:name="_Toc458200039"/>
      <w:bookmarkStart w:id="74" w:name="_Toc458199950"/>
      <w:bookmarkStart w:id="75" w:name="_Toc458200040"/>
      <w:bookmarkStart w:id="76" w:name="_Toc456017351"/>
      <w:bookmarkStart w:id="77" w:name="_Toc456025838"/>
      <w:bookmarkStart w:id="78" w:name="_Toc456026290"/>
      <w:bookmarkStart w:id="79" w:name="_Toc456114418"/>
      <w:bookmarkStart w:id="80" w:name="_Toc456115330"/>
      <w:bookmarkStart w:id="81" w:name="_Toc456261966"/>
      <w:bookmarkStart w:id="82" w:name="_Toc456262904"/>
      <w:bookmarkStart w:id="83" w:name="_Toc456263201"/>
      <w:bookmarkStart w:id="84" w:name="_Toc456628707"/>
      <w:bookmarkStart w:id="85" w:name="_Toc45663322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4C7085" w:rsidRDefault="005163E3">
      <w:pPr>
        <w:pStyle w:val="Heading2"/>
        <w:spacing w:before="0" w:after="120" w:line="240" w:lineRule="auto"/>
        <w:jc w:val="both"/>
        <w:rPr>
          <w:rFonts w:ascii="Times New Roman" w:hAnsi="Times New Roman" w:cs="Times New Roman"/>
          <w:noProof/>
        </w:rPr>
      </w:pPr>
      <w:bookmarkStart w:id="86" w:name="_Toc458467530"/>
      <w:bookmarkStart w:id="87" w:name="_Toc458450294"/>
      <w:bookmarkStart w:id="88" w:name="_Toc458461566"/>
      <w:bookmarkStart w:id="89" w:name="_Toc458467531"/>
      <w:bookmarkStart w:id="90" w:name="_Toc458257418"/>
      <w:bookmarkStart w:id="91" w:name="_Toc461050801"/>
      <w:bookmarkEnd w:id="86"/>
      <w:r>
        <w:rPr>
          <w:rFonts w:ascii="Times New Roman" w:hAnsi="Times New Roman" w:cs="Times New Roman"/>
          <w:noProof/>
        </w:rPr>
        <w:t xml:space="preserve">Baseline analysis: from today to 2020 and </w:t>
      </w:r>
      <w:bookmarkEnd w:id="76"/>
      <w:bookmarkEnd w:id="77"/>
      <w:bookmarkEnd w:id="78"/>
      <w:bookmarkEnd w:id="79"/>
      <w:bookmarkEnd w:id="80"/>
      <w:bookmarkEnd w:id="81"/>
      <w:bookmarkEnd w:id="82"/>
      <w:bookmarkEnd w:id="83"/>
      <w:bookmarkEnd w:id="84"/>
      <w:bookmarkEnd w:id="85"/>
      <w:r>
        <w:rPr>
          <w:rFonts w:ascii="Times New Roman" w:hAnsi="Times New Roman" w:cs="Times New Roman"/>
          <w:noProof/>
        </w:rPr>
        <w:t>beyond</w:t>
      </w:r>
      <w:bookmarkEnd w:id="87"/>
      <w:bookmarkEnd w:id="88"/>
      <w:bookmarkEnd w:id="89"/>
      <w:bookmarkEnd w:id="90"/>
      <w:bookmarkEnd w:id="91"/>
    </w:p>
    <w:p w:rsidR="004C7085" w:rsidRDefault="005163E3">
      <w:pPr>
        <w:spacing w:after="120" w:line="240" w:lineRule="auto"/>
        <w:jc w:val="both"/>
        <w:rPr>
          <w:rStyle w:val="Corpsdutexte"/>
          <w:rFonts w:ascii="Times New Roman" w:hAnsi="Times New Roman"/>
          <w:noProof/>
          <w:color w:val="000000"/>
          <w:sz w:val="24"/>
          <w:lang w:val="en-US"/>
        </w:rPr>
      </w:pPr>
      <w:r>
        <w:rPr>
          <w:rFonts w:ascii="Times New Roman" w:hAnsi="Times New Roman" w:cs="Times New Roman"/>
          <w:noProof/>
          <w:sz w:val="24"/>
          <w:szCs w:val="24"/>
        </w:rPr>
        <w:t>In terms of supply of NGA in commercially viable areas, forecasts from IDATE based on market intelligence (see Figure 16) suggest that upgrades to NGA and VHC networks will continue, but at a relatively gradual pace. The reasons are notably uncertainties in the market regarding</w:t>
      </w:r>
      <w:r>
        <w:rPr>
          <w:rStyle w:val="Corpsdutexte"/>
          <w:rFonts w:ascii="Times New Roman" w:eastAsia="Times New Roman" w:hAnsi="Times New Roman" w:cs="Times New Roman"/>
          <w:noProof/>
          <w:color w:val="000000"/>
          <w:sz w:val="24"/>
          <w:szCs w:val="24"/>
          <w:lang w:val="en-US"/>
        </w:rPr>
        <w:t xml:space="preserve"> the rate of pick-up (demand in subscriptions), the materialization of new services and applications, the durability of intermediate technical solutions based on legacy copper infrastructures, arguably underpinned by strategic profit-maximizing considerations which can</w:t>
      </w:r>
      <w:r>
        <w:rPr>
          <w:rStyle w:val="Corpsdutexte"/>
          <w:rFonts w:ascii="Times New Roman" w:eastAsia="Times New Roman" w:hAnsi="Times New Roman" w:cs="Times New Roman"/>
          <w:noProof/>
          <w:color w:val="000000"/>
          <w:sz w:val="24"/>
          <w:szCs w:val="24"/>
        </w:rPr>
        <w:t xml:space="preserve"> favour</w:t>
      </w:r>
      <w:r>
        <w:rPr>
          <w:rStyle w:val="Corpsdutexte"/>
          <w:rFonts w:ascii="Times New Roman" w:eastAsia="Times New Roman" w:hAnsi="Times New Roman" w:cs="Times New Roman"/>
          <w:noProof/>
          <w:color w:val="000000"/>
          <w:sz w:val="24"/>
          <w:szCs w:val="24"/>
          <w:lang w:val="en-US"/>
        </w:rPr>
        <w:t xml:space="preserve"> delaying such a transition at the operator level, even at the cost of beneficial externalities for society as a whole. </w:t>
      </w:r>
    </w:p>
    <w:p w:rsidR="004C7085" w:rsidRDefault="004C7085">
      <w:pPr>
        <w:spacing w:after="120" w:line="240" w:lineRule="auto"/>
        <w:jc w:val="both"/>
        <w:rPr>
          <w:rFonts w:ascii="Times New Roman" w:hAnsi="Times New Roman" w:cs="Times New Roman"/>
          <w:noProof/>
          <w:sz w:val="24"/>
          <w:szCs w:val="24"/>
        </w:rPr>
      </w:pPr>
    </w:p>
    <w:p w:rsidR="004C7085" w:rsidRDefault="005163E3">
      <w:pPr>
        <w:pStyle w:val="Heading4"/>
        <w:keepNext/>
        <w:rPr>
          <w:noProof/>
        </w:rPr>
      </w:pPr>
      <w:bookmarkStart w:id="92" w:name="_Ref456254931"/>
      <w:bookmarkStart w:id="93" w:name="_Toc456114241"/>
      <w:bookmarkStart w:id="94" w:name="_Toc456115153"/>
      <w:bookmarkStart w:id="95" w:name="_Toc456261763"/>
      <w:bookmarkStart w:id="96" w:name="_Toc456262701"/>
      <w:bookmarkStart w:id="97" w:name="_Toc456263045"/>
      <w:bookmarkStart w:id="98" w:name="_Toc456628496"/>
      <w:bookmarkStart w:id="99" w:name="_Toc456633317"/>
      <w:r>
        <w:rPr>
          <w:noProof/>
        </w:rPr>
        <w:t xml:space="preserve">Figure </w:t>
      </w:r>
      <w:bookmarkEnd w:id="92"/>
      <w:r>
        <w:rPr>
          <w:noProof/>
        </w:rPr>
        <w:t>16: - Projected take-up of NGA by technology (to 2025)</w:t>
      </w:r>
      <w:bookmarkEnd w:id="93"/>
      <w:bookmarkEnd w:id="94"/>
      <w:bookmarkEnd w:id="95"/>
      <w:bookmarkEnd w:id="96"/>
      <w:bookmarkEnd w:id="97"/>
      <w:bookmarkEnd w:id="98"/>
      <w:bookmarkEnd w:id="99"/>
    </w:p>
    <w:p w:rsidR="004C7085" w:rsidRDefault="005163E3">
      <w:pPr>
        <w:spacing w:after="120" w:line="240" w:lineRule="auto"/>
        <w:jc w:val="center"/>
        <w:rPr>
          <w:rFonts w:ascii="Times New Roman" w:hAnsi="Times New Roman" w:cs="Times New Roman"/>
          <w:noProof/>
        </w:rPr>
      </w:pPr>
      <w:r>
        <w:rPr>
          <w:rFonts w:ascii="Times New Roman" w:hAnsi="Times New Roman" w:cs="Times New Roman"/>
          <w:noProof/>
          <w:lang w:eastAsia="en-GB"/>
        </w:rPr>
        <w:drawing>
          <wp:inline distT="0" distB="0" distL="0" distR="0" wp14:anchorId="6AE5D2E5" wp14:editId="0DD8842B">
            <wp:extent cx="4554855" cy="27692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855" cy="2769235"/>
                    </a:xfrm>
                    <a:prstGeom prst="rect">
                      <a:avLst/>
                    </a:prstGeom>
                    <a:noFill/>
                    <a:ln>
                      <a:noFill/>
                    </a:ln>
                  </pic:spPr>
                </pic:pic>
              </a:graphicData>
            </a:graphic>
          </wp:inline>
        </w:drawing>
      </w:r>
    </w:p>
    <w:p w:rsidR="004C7085" w:rsidRDefault="005163E3">
      <w:pPr>
        <w:spacing w:after="120" w:line="240" w:lineRule="auto"/>
        <w:jc w:val="both"/>
        <w:rPr>
          <w:rFonts w:ascii="Times New Roman" w:hAnsi="Times New Roman"/>
          <w:i/>
          <w:noProof/>
        </w:rPr>
      </w:pPr>
      <w:r>
        <w:rPr>
          <w:rFonts w:ascii="Times New Roman" w:hAnsi="Times New Roman"/>
          <w:i/>
          <w:noProof/>
          <w:sz w:val="20"/>
        </w:rPr>
        <w:t>Source: WIK-IDATE-Deloitte; Regulatory, in particular access, regimes for network investment models in Europe SMART 2015/0002</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IDATE projections above suggest that by 2020, even under very optimistic assumptions (assuming FTTC/VDSL delivers 100Mbit/s in practice</w:t>
      </w:r>
      <w:r>
        <w:rPr>
          <w:rStyle w:val="FootnoteReference"/>
          <w:rFonts w:ascii="Times New Roman" w:hAnsi="Times New Roman" w:cs="Times New Roman"/>
          <w:noProof/>
          <w:sz w:val="24"/>
          <w:szCs w:val="24"/>
          <w:lang w:eastAsia="nl-NL"/>
        </w:rPr>
        <w:footnoteReference w:id="26"/>
      </w:r>
      <w:r>
        <w:rPr>
          <w:rFonts w:ascii="Times New Roman" w:hAnsi="Times New Roman" w:cs="Times New Roman"/>
          <w:noProof/>
          <w:sz w:val="24"/>
          <w:szCs w:val="24"/>
          <w:lang w:eastAsia="nl-NL"/>
        </w:rPr>
        <w:t>), around 16 countries may miss the DAE objective of 50% households taking up at least a 100 Mbps connection, and within the 16 affected countries the objective may be missed by around 25m households. In reality other advanced hybrid copper-based solutions may deliver the required speed provided the local loop is sufficiently short</w:t>
      </w:r>
      <w:r>
        <w:rPr>
          <w:rStyle w:val="FootnoteReference"/>
          <w:rFonts w:ascii="Times New Roman" w:hAnsi="Times New Roman" w:cs="Times New Roman"/>
          <w:noProof/>
          <w:sz w:val="24"/>
          <w:szCs w:val="24"/>
          <w:lang w:eastAsia="nl-NL"/>
        </w:rPr>
        <w:footnoteReference w:id="27"/>
      </w:r>
      <w:r>
        <w:rPr>
          <w:rFonts w:ascii="Times New Roman" w:hAnsi="Times New Roman" w:cs="Times New Roman"/>
          <w:noProof/>
          <w:sz w:val="24"/>
          <w:szCs w:val="24"/>
          <w:lang w:eastAsia="nl-NL"/>
        </w:rPr>
        <w:t>. Countries with limited competition between legacy networks (copper lines / coaxial cables), such as Italy and Greece, are included amongst those considered likely to miss the objectives (though there has been a fairly recent spurt in activity in Italy), while incountries which have been characterised by strong FTTC coverage could fail to meet objectives under the stricter assumption</w:t>
      </w:r>
      <w:r>
        <w:rPr>
          <w:noProof/>
        </w:rPr>
        <w:t xml:space="preserve"> </w:t>
      </w:r>
      <w:r>
        <w:rPr>
          <w:rFonts w:ascii="Times New Roman" w:hAnsi="Times New Roman" w:cs="Times New Roman"/>
          <w:noProof/>
          <w:sz w:val="24"/>
          <w:szCs w:val="24"/>
        </w:rPr>
        <w:t>that</w:t>
      </w:r>
      <w:r>
        <w:rPr>
          <w:noProof/>
        </w:rPr>
        <w:t xml:space="preserve"> </w:t>
      </w:r>
      <w:r>
        <w:rPr>
          <w:rFonts w:ascii="Times New Roman" w:hAnsi="Times New Roman" w:cs="Times New Roman"/>
          <w:noProof/>
          <w:sz w:val="24"/>
          <w:szCs w:val="24"/>
          <w:lang w:eastAsia="nl-NL"/>
        </w:rPr>
        <w:t>FTTC technologies may not in all cases meet the 100Mbit/s objective</w:t>
      </w:r>
      <w:r>
        <w:rPr>
          <w:rFonts w:ascii="Times New Roman" w:hAnsi="Times New Roman"/>
          <w:noProof/>
          <w:sz w:val="24"/>
          <w:vertAlign w:val="superscript"/>
        </w:rPr>
        <w:footnoteReference w:id="28"/>
      </w:r>
      <w:r>
        <w:rPr>
          <w:rFonts w:ascii="Times New Roman" w:hAnsi="Times New Roman" w:cs="Times New Roman"/>
          <w:noProof/>
          <w:sz w:val="24"/>
          <w:szCs w:val="24"/>
          <w:lang w:eastAsia="nl-NL"/>
        </w:rPr>
        <w:t xml:space="preserve">. </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noProof/>
          <w:sz w:val="24"/>
        </w:rPr>
        <w:t>This pace of development may be sufficient to meet the needs of some users, but is likely to limit the potential for more demanding users</w:t>
      </w:r>
      <w:r>
        <w:rPr>
          <w:rFonts w:ascii="Times New Roman" w:hAnsi="Times New Roman"/>
          <w:noProof/>
          <w:sz w:val="24"/>
          <w:lang w:eastAsia="nl-NL"/>
        </w:rPr>
        <w:t>,</w:t>
      </w:r>
      <w:r>
        <w:rPr>
          <w:rFonts w:ascii="Times New Roman" w:hAnsi="Times New Roman"/>
          <w:noProof/>
          <w:sz w:val="24"/>
        </w:rPr>
        <w:t xml:space="preserve"> including small business and home office users</w:t>
      </w:r>
      <w:r>
        <w:rPr>
          <w:rFonts w:ascii="Times New Roman" w:hAnsi="Times New Roman" w:cs="Times New Roman"/>
          <w:noProof/>
          <w:sz w:val="24"/>
          <w:szCs w:val="24"/>
          <w:lang w:eastAsia="nl-NL"/>
        </w:rPr>
        <w:t xml:space="preserve"> and may not be sufficient to enable Europe to fully benefit from a connected economy and society. As explained in more detail in Chapter I of the Study "</w:t>
      </w:r>
      <w:r>
        <w:rPr>
          <w:rFonts w:ascii="Times New Roman" w:hAnsi="Times New Roman" w:cs="Times New Roman"/>
          <w:i/>
          <w:noProof/>
          <w:sz w:val="24"/>
          <w:szCs w:val="24"/>
          <w:lang w:eastAsia="nl-NL"/>
        </w:rPr>
        <w:t>Support for the preparation of the impact assessment accompanying the review of the regulatory framework for e-communications</w:t>
      </w:r>
      <w:r>
        <w:rPr>
          <w:rFonts w:ascii="Times New Roman" w:hAnsi="Times New Roman" w:cs="Times New Roman"/>
          <w:noProof/>
          <w:sz w:val="24"/>
          <w:szCs w:val="24"/>
          <w:lang w:eastAsia="nl-NL"/>
        </w:rPr>
        <w:t>", SMART 2015/0005, the demand for data is booming and the scenarios considered are mostly rather conservative.</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Rural NGA deployments vary across the EU and within Member-States, as shown in various case studies. If the current varying practices remain, the current status of uneven rural deployment is likely to persist, resulting in patchy access in rural communities to broadband capable of reaping the benefits from the social and economic integration that digitisation may bring. This process is likely to have repercussions on public finances, especially if accompanied by ageing population. Challenge areas could in theory be addressed through public subsidies, but these are by no means sufficient.</w:t>
      </w:r>
    </w:p>
    <w:p w:rsidR="004C7085" w:rsidRDefault="004C7085">
      <w:pPr>
        <w:spacing w:after="120" w:line="240" w:lineRule="auto"/>
        <w:jc w:val="both"/>
        <w:rPr>
          <w:rFonts w:ascii="Times New Roman" w:hAnsi="Times New Roman" w:cs="Times New Roman"/>
          <w:noProof/>
        </w:rPr>
      </w:pPr>
    </w:p>
    <w:p w:rsidR="004C7085" w:rsidRDefault="005163E3">
      <w:pPr>
        <w:pStyle w:val="Heading2"/>
        <w:spacing w:before="0" w:after="120" w:line="240" w:lineRule="auto"/>
        <w:jc w:val="both"/>
        <w:rPr>
          <w:rFonts w:ascii="Times New Roman" w:hAnsi="Times New Roman" w:cs="Times New Roman"/>
          <w:noProof/>
        </w:rPr>
      </w:pPr>
      <w:bookmarkStart w:id="100" w:name="_Toc458161129"/>
      <w:bookmarkStart w:id="101" w:name="_Toc458188071"/>
      <w:bookmarkStart w:id="102" w:name="_Toc458188230"/>
      <w:bookmarkStart w:id="103" w:name="_Toc458450295"/>
      <w:bookmarkStart w:id="104" w:name="_Toc458461567"/>
      <w:bookmarkStart w:id="105" w:name="_Toc458467532"/>
      <w:bookmarkStart w:id="106" w:name="_Toc458257419"/>
      <w:bookmarkStart w:id="107" w:name="_Toc461050802"/>
      <w:r>
        <w:rPr>
          <w:rFonts w:ascii="Times New Roman" w:hAnsi="Times New Roman" w:cs="Times New Roman"/>
          <w:noProof/>
        </w:rPr>
        <w:t>The gap between bandwidth demand and network capacity deployed</w:t>
      </w:r>
      <w:bookmarkEnd w:id="100"/>
      <w:bookmarkEnd w:id="101"/>
      <w:bookmarkEnd w:id="102"/>
      <w:bookmarkEnd w:id="103"/>
      <w:bookmarkEnd w:id="104"/>
      <w:bookmarkEnd w:id="105"/>
      <w:bookmarkEnd w:id="106"/>
      <w:bookmarkEnd w:id="107"/>
    </w:p>
    <w:p w:rsidR="004C7085" w:rsidRDefault="005163E3">
      <w:pPr>
        <w:tabs>
          <w:tab w:val="left" w:pos="5160"/>
        </w:tabs>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In Asia, affordable very high capacity (Gigabit) connectivity has already been available as a consumer service in Japan</w:t>
      </w:r>
      <w:r>
        <w:rPr>
          <w:rFonts w:ascii="Times New Roman" w:hAnsi="Times New Roman"/>
          <w:noProof/>
          <w:sz w:val="24"/>
          <w:vertAlign w:val="superscript"/>
        </w:rPr>
        <w:footnoteReference w:id="29"/>
      </w:r>
      <w:r>
        <w:rPr>
          <w:rFonts w:ascii="Times New Roman" w:hAnsi="Times New Roman" w:cs="Times New Roman"/>
          <w:noProof/>
          <w:sz w:val="24"/>
          <w:szCs w:val="24"/>
          <w:lang w:eastAsia="nl-NL"/>
        </w:rPr>
        <w:t>,</w:t>
      </w:r>
      <w:r>
        <w:rPr>
          <w:rFonts w:ascii="Times New Roman" w:hAnsi="Times New Roman" w:cs="Times New Roman"/>
          <w:noProof/>
          <w:sz w:val="24"/>
          <w:szCs w:val="24"/>
          <w:vertAlign w:val="superscript"/>
          <w:lang w:eastAsia="nl-NL"/>
        </w:rPr>
        <w:t xml:space="preserve"> </w:t>
      </w:r>
      <w:r>
        <w:rPr>
          <w:rFonts w:ascii="Times New Roman" w:hAnsi="Times New Roman" w:cs="Times New Roman"/>
          <w:noProof/>
          <w:sz w:val="24"/>
          <w:szCs w:val="24"/>
          <w:lang w:eastAsia="nl-NL"/>
        </w:rPr>
        <w:t>Singapore and Korea for some years. In 2014, Korea’s SK Telecom announced trials of 10 Gbps</w:t>
      </w:r>
      <w:r>
        <w:rPr>
          <w:rFonts w:ascii="Times New Roman" w:hAnsi="Times New Roman" w:cs="Times New Roman"/>
          <w:noProof/>
          <w:sz w:val="24"/>
          <w:szCs w:val="24"/>
          <w:vertAlign w:val="superscript"/>
          <w:lang w:eastAsia="nl-NL"/>
        </w:rPr>
        <w:footnoteReference w:id="30"/>
      </w:r>
      <w:r>
        <w:rPr>
          <w:rFonts w:ascii="Times New Roman" w:hAnsi="Times New Roman" w:cs="Times New Roman"/>
          <w:noProof/>
          <w:sz w:val="24"/>
          <w:szCs w:val="24"/>
          <w:lang w:eastAsia="nl-NL"/>
        </w:rPr>
        <w:t xml:space="preserve"> and the Korean National Broadband Plan (Ultra Broadband Convergence Network</w:t>
      </w:r>
      <w:r>
        <w:rPr>
          <w:rFonts w:ascii="Times New Roman" w:hAnsi="Times New Roman"/>
          <w:noProof/>
          <w:sz w:val="24"/>
          <w:vertAlign w:val="superscript"/>
        </w:rPr>
        <w:footnoteReference w:id="31"/>
      </w:r>
      <w:r>
        <w:rPr>
          <w:rFonts w:ascii="Times New Roman" w:hAnsi="Times New Roman" w:cs="Times New Roman"/>
          <w:noProof/>
          <w:sz w:val="24"/>
          <w:szCs w:val="24"/>
          <w:lang w:eastAsia="nl-NL"/>
        </w:rPr>
        <w:t>), already launched a 1 Gbps objective in 2010.</w:t>
      </w:r>
    </w:p>
    <w:p w:rsidR="004C7085" w:rsidRDefault="005163E3">
      <w:pPr>
        <w:tabs>
          <w:tab w:val="left" w:pos="5160"/>
        </w:tabs>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In the US, very high capacity (Gigabit) connectivity is also available to households and small businesses, notably in the cities served by Google Fibre,</w:t>
      </w:r>
      <w:r>
        <w:rPr>
          <w:rFonts w:ascii="Times New Roman" w:hAnsi="Times New Roman"/>
          <w:noProof/>
          <w:sz w:val="24"/>
          <w:vertAlign w:val="superscript"/>
        </w:rPr>
        <w:footnoteReference w:id="32"/>
      </w:r>
      <w:r>
        <w:rPr>
          <w:rFonts w:ascii="Times New Roman" w:hAnsi="Times New Roman" w:cs="Times New Roman"/>
          <w:noProof/>
          <w:sz w:val="24"/>
          <w:szCs w:val="24"/>
          <w:vertAlign w:val="superscript"/>
          <w:lang w:eastAsia="nl-NL"/>
        </w:rPr>
        <w:t xml:space="preserve"> </w:t>
      </w:r>
      <w:r>
        <w:rPr>
          <w:rFonts w:ascii="Times New Roman" w:hAnsi="Times New Roman" w:cs="Times New Roman"/>
          <w:noProof/>
          <w:sz w:val="24"/>
          <w:szCs w:val="24"/>
          <w:lang w:eastAsia="nl-NL"/>
        </w:rPr>
        <w:t>and recent reports suggest that AT&amp;T is responding to the competitive challenge with more widespread urban Gigabit deployments of its own</w:t>
      </w:r>
      <w:r>
        <w:rPr>
          <w:rFonts w:ascii="Times New Roman" w:hAnsi="Times New Roman"/>
          <w:noProof/>
          <w:sz w:val="24"/>
          <w:vertAlign w:val="superscript"/>
        </w:rPr>
        <w:footnoteReference w:id="33"/>
      </w:r>
      <w:r>
        <w:rPr>
          <w:rFonts w:ascii="Times New Roman" w:hAnsi="Times New Roman"/>
          <w:noProof/>
          <w:sz w:val="12"/>
          <w:vertAlign w:val="superscript"/>
        </w:rPr>
        <w:t xml:space="preserve">. </w:t>
      </w:r>
    </w:p>
    <w:p w:rsidR="004C7085" w:rsidRDefault="005163E3">
      <w:pPr>
        <w:rPr>
          <w:rFonts w:ascii="Times New Roman" w:hAnsi="Times New Roman" w:cs="Times New Roman"/>
          <w:i/>
          <w:noProof/>
          <w:sz w:val="24"/>
          <w:u w:val="single"/>
          <w:lang w:val="en-US"/>
        </w:rPr>
      </w:pPr>
      <w:bookmarkStart w:id="108" w:name="_Toc456114235"/>
      <w:bookmarkStart w:id="109" w:name="_Toc456115147"/>
      <w:bookmarkStart w:id="110" w:name="_Toc456261757"/>
      <w:bookmarkStart w:id="111" w:name="_Toc456262695"/>
      <w:bookmarkStart w:id="112" w:name="_Toc456263039"/>
      <w:bookmarkStart w:id="113" w:name="_Toc456628490"/>
      <w:bookmarkStart w:id="114" w:name="_Toc456633311"/>
      <w:r>
        <w:rPr>
          <w:noProof/>
        </w:rPr>
        <w:br w:type="page"/>
      </w:r>
    </w:p>
    <w:p w:rsidR="004C7085" w:rsidRDefault="005163E3">
      <w:pPr>
        <w:pStyle w:val="Heading4"/>
        <w:keepNext/>
        <w:rPr>
          <w:noProof/>
        </w:rPr>
      </w:pPr>
      <w:r>
        <w:rPr>
          <w:noProof/>
        </w:rPr>
        <w:t>Figure 17: Percentage of FTTB connections on total subscriptions (OECD)</w:t>
      </w:r>
      <w:bookmarkEnd w:id="108"/>
      <w:bookmarkEnd w:id="109"/>
      <w:bookmarkEnd w:id="110"/>
      <w:bookmarkEnd w:id="111"/>
      <w:bookmarkEnd w:id="112"/>
      <w:bookmarkEnd w:id="113"/>
      <w:bookmarkEnd w:id="114"/>
    </w:p>
    <w:p w:rsidR="004C7085" w:rsidRDefault="005163E3">
      <w:pPr>
        <w:jc w:val="both"/>
        <w:rPr>
          <w:rFonts w:ascii="Times New Roman" w:hAnsi="Times New Roman"/>
          <w:noProof/>
        </w:rPr>
      </w:pPr>
      <w:r>
        <w:rPr>
          <w:rFonts w:ascii="Times New Roman" w:hAnsi="Times New Roman"/>
          <w:noProof/>
          <w:lang w:eastAsia="en-GB"/>
        </w:rPr>
        <w:drawing>
          <wp:inline distT="0" distB="0" distL="0" distR="0" wp14:anchorId="46532B87" wp14:editId="7FB9C5F0">
            <wp:extent cx="5419725" cy="394161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2655" cy="3972839"/>
                    </a:xfrm>
                    <a:prstGeom prst="rect">
                      <a:avLst/>
                    </a:prstGeom>
                    <a:noFill/>
                    <a:ln>
                      <a:noFill/>
                    </a:ln>
                  </pic:spPr>
                </pic:pic>
              </a:graphicData>
            </a:graphic>
          </wp:inline>
        </w:drawing>
      </w:r>
    </w:p>
    <w:p w:rsidR="004C7085" w:rsidRDefault="005163E3">
      <w:pPr>
        <w:tabs>
          <w:tab w:val="left" w:pos="5160"/>
        </w:tabs>
        <w:spacing w:after="120" w:line="240" w:lineRule="auto"/>
        <w:jc w:val="both"/>
        <w:rPr>
          <w:rFonts w:ascii="Times New Roman" w:hAnsi="Times New Roman"/>
          <w:noProof/>
          <w:sz w:val="24"/>
        </w:rPr>
      </w:pPr>
      <w:r>
        <w:rPr>
          <w:rFonts w:ascii="Times New Roman" w:hAnsi="Times New Roman"/>
          <w:noProof/>
          <w:sz w:val="24"/>
        </w:rPr>
        <w:t xml:space="preserve">Figure 17 illustrates the state of transition from copper to fibre inside and outside of the EU. In the European Union, some Member States, such as Latvia, Sweden or Estonia already compare well with Japan on a range of NGA metrics (although Swedish fixed rural coverage remains relatively limited),.  </w:t>
      </w:r>
    </w:p>
    <w:p w:rsidR="004C7085" w:rsidRDefault="005163E3">
      <w:pPr>
        <w:tabs>
          <w:tab w:val="left" w:pos="5160"/>
        </w:tabs>
        <w:spacing w:after="120" w:line="240" w:lineRule="auto"/>
        <w:jc w:val="both"/>
        <w:rPr>
          <w:rFonts w:ascii="Times New Roman" w:hAnsi="Times New Roman"/>
          <w:noProof/>
          <w:sz w:val="24"/>
        </w:rPr>
      </w:pPr>
      <w:r>
        <w:rPr>
          <w:rFonts w:ascii="Times New Roman" w:hAnsi="Times New Roman"/>
          <w:noProof/>
          <w:sz w:val="24"/>
        </w:rPr>
        <w:t>Several other EU countries, including Portugal, Spain, France, Romania, which benefit from an expanding FTTH/B footprint, albeit at different pace of deployment, may become Europe’s leading countries for VHC connectivity in the years to come</w:t>
      </w:r>
      <w:r>
        <w:rPr>
          <w:rFonts w:ascii="Times New Roman" w:hAnsi="Times New Roman"/>
          <w:noProof/>
          <w:sz w:val="24"/>
          <w:vertAlign w:val="superscript"/>
        </w:rPr>
        <w:footnoteReference w:id="34"/>
      </w:r>
      <w:r>
        <w:rPr>
          <w:rFonts w:ascii="Times New Roman" w:hAnsi="Times New Roman"/>
          <w:noProof/>
          <w:sz w:val="24"/>
        </w:rPr>
        <w:t xml:space="preserve">. However, large European countries which have so far been experiencing limited or incremental NGA deployment may lag behind European and global leaders on VHC broadband. </w:t>
      </w:r>
    </w:p>
    <w:p w:rsidR="004C7085" w:rsidRDefault="005163E3">
      <w:pPr>
        <w:tabs>
          <w:tab w:val="left" w:pos="5160"/>
        </w:tabs>
        <w:spacing w:after="120" w:line="240" w:lineRule="auto"/>
        <w:jc w:val="both"/>
        <w:rPr>
          <w:rFonts w:ascii="Times New Roman" w:hAnsi="Times New Roman"/>
          <w:noProof/>
          <w:sz w:val="24"/>
        </w:rPr>
      </w:pPr>
      <w:r>
        <w:rPr>
          <w:rFonts w:ascii="Times New Roman" w:hAnsi="Times New Roman"/>
          <w:noProof/>
          <w:sz w:val="24"/>
        </w:rPr>
        <w:t>Although the picture does not take into account the effect of cable subscriptions, it gives an idea of the different pace of this transition. Furthermore, rural NGA coverage has been increasing slowly in several countries such as Germany, France, Italy, Austria and Finland, increasing the risk of a growing urban and rural digital divide as can be seen in Figure 18.</w:t>
      </w:r>
    </w:p>
    <w:p w:rsidR="004C7085" w:rsidRDefault="005163E3">
      <w:pPr>
        <w:rPr>
          <w:rFonts w:ascii="Times New Roman" w:hAnsi="Times New Roman" w:cs="Times New Roman"/>
          <w:i/>
          <w:noProof/>
          <w:sz w:val="24"/>
          <w:u w:val="single"/>
          <w:lang w:val="en-US"/>
        </w:rPr>
      </w:pPr>
      <w:bookmarkStart w:id="115" w:name="_Toc456114236"/>
      <w:bookmarkStart w:id="116" w:name="_Toc456115148"/>
      <w:bookmarkStart w:id="117" w:name="_Toc456261758"/>
      <w:bookmarkStart w:id="118" w:name="_Toc456262696"/>
      <w:bookmarkStart w:id="119" w:name="_Toc456263040"/>
      <w:bookmarkStart w:id="120" w:name="_Toc456628491"/>
      <w:bookmarkStart w:id="121" w:name="_Toc456633312"/>
      <w:r>
        <w:rPr>
          <w:noProof/>
        </w:rPr>
        <w:br w:type="page"/>
      </w:r>
    </w:p>
    <w:p w:rsidR="004C7085" w:rsidRDefault="005163E3">
      <w:pPr>
        <w:pStyle w:val="Heading4"/>
        <w:keepNext/>
        <w:rPr>
          <w:noProof/>
        </w:rPr>
      </w:pPr>
      <w:r>
        <w:rPr>
          <w:noProof/>
        </w:rPr>
        <w:t>Figure 18: – Next generation access (FTTP</w:t>
      </w:r>
      <w:r>
        <w:rPr>
          <w:noProof/>
        </w:rPr>
        <w:footnoteReference w:id="35"/>
      </w:r>
      <w:r>
        <w:rPr>
          <w:noProof/>
        </w:rPr>
        <w:t>, VDSL and DOCSIS 3.0 cable) coverage, June 2015</w:t>
      </w:r>
      <w:bookmarkEnd w:id="115"/>
      <w:bookmarkEnd w:id="116"/>
      <w:bookmarkEnd w:id="117"/>
      <w:bookmarkEnd w:id="118"/>
      <w:bookmarkEnd w:id="119"/>
      <w:bookmarkEnd w:id="120"/>
      <w:bookmarkEnd w:id="121"/>
    </w:p>
    <w:p w:rsidR="004C7085" w:rsidRDefault="005163E3">
      <w:pPr>
        <w:pStyle w:val="Caption"/>
        <w:rPr>
          <w:rFonts w:ascii="Times New Roman" w:hAnsi="Times New Roman"/>
          <w:noProof/>
        </w:rPr>
      </w:pPr>
      <w:r>
        <w:rPr>
          <w:rFonts w:ascii="Times New Roman" w:hAnsi="Times New Roman"/>
          <w:noProof/>
        </w:rPr>
        <w:t xml:space="preserve"> </w:t>
      </w:r>
      <w:r>
        <w:rPr>
          <w:rFonts w:ascii="Times New Roman" w:hAnsi="Times New Roman"/>
          <w:noProof/>
          <w:lang w:eastAsia="en-GB"/>
        </w:rPr>
        <w:drawing>
          <wp:inline distT="0" distB="0" distL="0" distR="0" wp14:anchorId="14EB779C" wp14:editId="2858530C">
            <wp:extent cx="5335270" cy="21704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5270" cy="2170430"/>
                    </a:xfrm>
                    <a:prstGeom prst="rect">
                      <a:avLst/>
                    </a:prstGeom>
                    <a:noFill/>
                    <a:ln>
                      <a:noFill/>
                    </a:ln>
                  </pic:spPr>
                </pic:pic>
              </a:graphicData>
            </a:graphic>
          </wp:inline>
        </w:drawing>
      </w:r>
    </w:p>
    <w:p w:rsidR="004C7085" w:rsidRDefault="005163E3">
      <w:pPr>
        <w:jc w:val="both"/>
        <w:rPr>
          <w:rFonts w:ascii="Times New Roman" w:hAnsi="Times New Roman"/>
          <w:noProof/>
          <w:sz w:val="18"/>
        </w:rPr>
      </w:pPr>
      <w:r>
        <w:rPr>
          <w:rFonts w:ascii="Times New Roman" w:hAnsi="Times New Roman"/>
          <w:noProof/>
          <w:sz w:val="18"/>
        </w:rPr>
        <w:t xml:space="preserve">Source: </w:t>
      </w:r>
      <w:r>
        <w:rPr>
          <w:rFonts w:ascii="Times New Roman" w:hAnsi="Times New Roman"/>
          <w:i/>
          <w:noProof/>
          <w:sz w:val="18"/>
        </w:rPr>
        <w:t>IHS and VVA</w:t>
      </w:r>
      <w:r>
        <w:rPr>
          <w:rFonts w:ascii="Times New Roman" w:hAnsi="Times New Roman"/>
          <w:noProof/>
          <w:sz w:val="18"/>
        </w:rPr>
        <w:t xml:space="preserve"> - Digital Scoreboard – Connectivity section</w:t>
      </w:r>
      <w:r>
        <w:rPr>
          <w:rStyle w:val="FootnoteReference"/>
          <w:rFonts w:ascii="Times New Roman" w:hAnsi="Times New Roman"/>
          <w:noProof/>
          <w:sz w:val="18"/>
        </w:rPr>
        <w:footnoteReference w:id="36"/>
      </w:r>
    </w:p>
    <w:p w:rsidR="004C7085" w:rsidRDefault="005163E3">
      <w:pPr>
        <w:tabs>
          <w:tab w:val="left" w:pos="5160"/>
        </w:tabs>
        <w:spacing w:after="120" w:line="240" w:lineRule="auto"/>
        <w:jc w:val="both"/>
        <w:rPr>
          <w:rFonts w:ascii="Times New Roman" w:hAnsi="Times New Roman"/>
          <w:noProof/>
          <w:sz w:val="24"/>
        </w:rPr>
      </w:pPr>
      <w:r>
        <w:rPr>
          <w:rFonts w:ascii="Times New Roman" w:hAnsi="Times New Roman"/>
          <w:noProof/>
          <w:sz w:val="24"/>
        </w:rPr>
        <w:t xml:space="preserve">The size of the gap between gradually upgraded network infrastructures and the exponentially growing usage depends on several factors, such as (1) whether future demand can be met through incremental upgrades of existing copper and coaxial (cable) networks or only through FTTH/B; and (2) the extent to which future wireless technologies (5G) will be able to rely on fixed networks for backhaul and other data transmission needs. </w:t>
      </w:r>
    </w:p>
    <w:p w:rsidR="004C7085" w:rsidRDefault="005163E3">
      <w:pPr>
        <w:tabs>
          <w:tab w:val="left" w:pos="5160"/>
        </w:tabs>
        <w:spacing w:after="120" w:line="240" w:lineRule="auto"/>
        <w:jc w:val="both"/>
        <w:rPr>
          <w:rFonts w:ascii="Times New Roman" w:hAnsi="Times New Roman" w:cs="Times New Roman"/>
          <w:noProof/>
        </w:rPr>
      </w:pPr>
      <w:r>
        <w:rPr>
          <w:rFonts w:ascii="Times New Roman" w:hAnsi="Times New Roman"/>
          <w:noProof/>
          <w:sz w:val="24"/>
        </w:rPr>
        <w:t>The size of Europe’s bandwidth challenge can be seen most vividly by comparing where we are today with what would be needed to benefit from all aspects of a connected society in 2025. For instance, Prof. Brett Frischmann observed that current demand expressed by end-users may fail to reflect the innovation potential in the market, which could be unlocked through more performant infrastructure</w:t>
      </w:r>
      <w:r>
        <w:rPr>
          <w:rStyle w:val="FootnoteReference"/>
          <w:rFonts w:ascii="Times New Roman" w:hAnsi="Times New Roman" w:cs="Times New Roman"/>
          <w:noProof/>
        </w:rPr>
        <w:footnoteReference w:id="37"/>
      </w:r>
      <w:r>
        <w:rPr>
          <w:rFonts w:ascii="Times New Roman" w:hAnsi="Times New Roman" w:cs="Times New Roman"/>
          <w:noProof/>
        </w:rPr>
        <w:t xml:space="preserve">. </w:t>
      </w:r>
    </w:p>
    <w:p w:rsidR="004C7085" w:rsidRDefault="005163E3">
      <w:pPr>
        <w:tabs>
          <w:tab w:val="left" w:pos="5160"/>
        </w:tabs>
        <w:spacing w:after="120" w:line="240" w:lineRule="auto"/>
        <w:jc w:val="both"/>
        <w:rPr>
          <w:rFonts w:ascii="Times New Roman" w:hAnsi="Times New Roman"/>
          <w:noProof/>
          <w:sz w:val="24"/>
        </w:rPr>
      </w:pPr>
      <w:r>
        <w:rPr>
          <w:rFonts w:ascii="Times New Roman" w:hAnsi="Times New Roman"/>
          <w:noProof/>
          <w:sz w:val="24"/>
        </w:rPr>
        <w:t>According to the Samknows Survey, average download speeds achieved in Europe in 2014 were 24Mbit/s.</w:t>
      </w:r>
      <w:r>
        <w:rPr>
          <w:rFonts w:ascii="Times New Roman" w:hAnsi="Times New Roman"/>
          <w:noProof/>
          <w:position w:val="6"/>
          <w:sz w:val="16"/>
        </w:rPr>
        <w:footnoteReference w:id="38"/>
      </w:r>
      <w:r>
        <w:rPr>
          <w:rFonts w:ascii="Times New Roman" w:hAnsi="Times New Roman" w:cs="Times New Roman"/>
          <w:noProof/>
        </w:rPr>
        <w:t xml:space="preserve"> </w:t>
      </w:r>
      <w:r>
        <w:rPr>
          <w:rFonts w:ascii="Times New Roman" w:hAnsi="Times New Roman"/>
          <w:noProof/>
          <w:sz w:val="24"/>
        </w:rPr>
        <w:t>If investment in NGA technologies continues at its current levels, IDATE has</w:t>
      </w:r>
      <w:r>
        <w:rPr>
          <w:rFonts w:ascii="Times New Roman" w:hAnsi="Times New Roman" w:cs="Times New Roman"/>
          <w:noProof/>
          <w:sz w:val="24"/>
        </w:rPr>
        <w:t xml:space="preserve"> </w:t>
      </w:r>
      <w:r>
        <w:rPr>
          <w:rFonts w:ascii="Times New Roman" w:hAnsi="Times New Roman"/>
          <w:noProof/>
          <w:sz w:val="24"/>
        </w:rPr>
        <w:t>projected that average download speeds would reach around 185Mbps by 2025</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w:t>
      </w:r>
      <w:r>
        <w:rPr>
          <w:rFonts w:ascii="Times New Roman" w:hAnsi="Times New Roman"/>
          <w:noProof/>
          <w:sz w:val="24"/>
        </w:rPr>
        <w:t>while upload speeds would reach around 84Mbps. Based on trends in video and cloud usage under the ‘status quo’, IDATE has also estimated that bandwidth use in the EU may expand from 62GB per line per month in 2025 to 303GB per line</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w:t>
      </w:r>
      <w:r>
        <w:rPr>
          <w:rFonts w:ascii="Times New Roman" w:hAnsi="Times New Roman"/>
          <w:noProof/>
          <w:sz w:val="24"/>
        </w:rPr>
        <w:t xml:space="preserve">This may seem </w:t>
      </w:r>
      <w:r>
        <w:rPr>
          <w:rFonts w:ascii="Times New Roman" w:hAnsi="Times New Roman" w:cs="Times New Roman"/>
          <w:noProof/>
          <w:sz w:val="24"/>
          <w:szCs w:val="24"/>
          <w:lang w:eastAsia="nl-NL"/>
        </w:rPr>
        <w:t xml:space="preserve">a </w:t>
      </w:r>
      <w:r>
        <w:rPr>
          <w:rFonts w:ascii="Times New Roman" w:hAnsi="Times New Roman"/>
          <w:noProof/>
          <w:sz w:val="24"/>
        </w:rPr>
        <w:t>significant</w:t>
      </w:r>
      <w:r>
        <w:rPr>
          <w:rFonts w:ascii="Times New Roman" w:hAnsi="Times New Roman" w:cs="Times New Roman"/>
          <w:noProof/>
          <w:sz w:val="24"/>
          <w:szCs w:val="24"/>
          <w:lang w:eastAsia="nl-NL"/>
        </w:rPr>
        <w:t xml:space="preserve"> improvement</w:t>
      </w:r>
      <w:r>
        <w:rPr>
          <w:rFonts w:ascii="Times New Roman" w:hAnsi="Times New Roman"/>
          <w:noProof/>
          <w:sz w:val="24"/>
        </w:rPr>
        <w:t xml:space="preserve"> for households used to experiencing restricted bandwidths</w:t>
      </w:r>
      <w:r>
        <w:rPr>
          <w:rFonts w:ascii="Times New Roman" w:hAnsi="Times New Roman" w:cs="Times New Roman"/>
          <w:noProof/>
        </w:rPr>
        <w:t>,</w:t>
      </w:r>
      <w:r>
        <w:rPr>
          <w:rFonts w:ascii="Times New Roman" w:hAnsi="Times New Roman"/>
          <w:noProof/>
          <w:sz w:val="24"/>
          <w:vertAlign w:val="superscript"/>
        </w:rPr>
        <w:footnoteReference w:id="41"/>
      </w:r>
      <w:r>
        <w:rPr>
          <w:rFonts w:ascii="Times New Roman" w:hAnsi="Times New Roman" w:cs="Times New Roman"/>
          <w:noProof/>
        </w:rPr>
        <w:t xml:space="preserve"> </w:t>
      </w:r>
      <w:r>
        <w:rPr>
          <w:rFonts w:ascii="Times New Roman" w:hAnsi="Times New Roman" w:cs="Times New Roman"/>
          <w:noProof/>
          <w:sz w:val="24"/>
          <w:szCs w:val="24"/>
          <w:lang w:eastAsia="nl-NL"/>
        </w:rPr>
        <w:t>but</w:t>
      </w:r>
      <w:r>
        <w:rPr>
          <w:rFonts w:ascii="Times New Roman" w:hAnsi="Times New Roman"/>
          <w:noProof/>
          <w:sz w:val="24"/>
        </w:rPr>
        <w:t xml:space="preserve"> may </w:t>
      </w:r>
      <w:r>
        <w:rPr>
          <w:rFonts w:ascii="Times New Roman" w:hAnsi="Times New Roman" w:cs="Times New Roman"/>
          <w:noProof/>
          <w:sz w:val="24"/>
          <w:szCs w:val="24"/>
          <w:lang w:eastAsia="nl-NL"/>
        </w:rPr>
        <w:t xml:space="preserve">not </w:t>
      </w:r>
      <w:r>
        <w:rPr>
          <w:rFonts w:ascii="Times New Roman" w:hAnsi="Times New Roman"/>
          <w:noProof/>
          <w:sz w:val="24"/>
        </w:rPr>
        <w:t xml:space="preserve">be </w:t>
      </w:r>
      <w:r>
        <w:rPr>
          <w:rFonts w:ascii="Times New Roman" w:hAnsi="Times New Roman" w:cs="Times New Roman"/>
          <w:noProof/>
          <w:sz w:val="24"/>
          <w:szCs w:val="24"/>
          <w:lang w:eastAsia="nl-NL"/>
        </w:rPr>
        <w:t>enough to enable home and business users to benefit from future technological and service innovations.</w:t>
      </w:r>
    </w:p>
    <w:p w:rsidR="004C7085" w:rsidRDefault="005163E3">
      <w:pPr>
        <w:spacing w:after="240" w:line="240" w:lineRule="auto"/>
        <w:jc w:val="both"/>
        <w:rPr>
          <w:rFonts w:ascii="Times New Roman" w:hAnsi="Times New Roman"/>
          <w:noProof/>
          <w:sz w:val="24"/>
        </w:rPr>
      </w:pPr>
      <w:r>
        <w:rPr>
          <w:rFonts w:ascii="Times New Roman" w:hAnsi="Times New Roman"/>
          <w:noProof/>
          <w:sz w:val="24"/>
        </w:rPr>
        <w:t xml:space="preserve">If bandwidth needs are calculated on the basis of what might be required to run certain applications, a case study of the German market providing a forecast for 2025 suggests that an average user might require 150-500Mbit/s downstream with more than 100Mbit/s up, while high-end users including those running small or home offices might require 1Gbit/s in download and more than 600 Mbps in upload (see SMART 2015/0005). This bandwidth would be used not only for multi-screen ultra HD video, but also for applications such as cloud and e-health as well as for teleworking and small business needs. </w:t>
      </w:r>
    </w:p>
    <w:p w:rsidR="004C7085" w:rsidRDefault="005163E3">
      <w:pPr>
        <w:pStyle w:val="Heading4"/>
        <w:keepNext/>
        <w:rPr>
          <w:noProof/>
        </w:rPr>
      </w:pPr>
      <w:bookmarkStart w:id="122" w:name="_Toc456114242"/>
      <w:bookmarkStart w:id="123" w:name="_Toc456115154"/>
      <w:bookmarkStart w:id="124" w:name="_Toc456261764"/>
      <w:bookmarkStart w:id="125" w:name="_Toc456262702"/>
      <w:bookmarkStart w:id="126" w:name="_Toc456263046"/>
      <w:bookmarkStart w:id="127" w:name="_Toc456628497"/>
      <w:bookmarkStart w:id="128" w:name="_Toc456633318"/>
      <w:r>
        <w:rPr>
          <w:noProof/>
        </w:rPr>
        <w:t xml:space="preserve">Figure </w:t>
      </w:r>
      <w:r>
        <w:rPr>
          <w:noProof/>
        </w:rPr>
        <w:fldChar w:fldCharType="begin"/>
      </w:r>
      <w:r>
        <w:rPr>
          <w:noProof/>
        </w:rPr>
        <w:instrText xml:space="preserve"> SEQ Figure \* ARABIC </w:instrText>
      </w:r>
      <w:r>
        <w:rPr>
          <w:noProof/>
        </w:rPr>
        <w:fldChar w:fldCharType="separate"/>
      </w:r>
      <w:r w:rsidR="00350CA5">
        <w:rPr>
          <w:noProof/>
        </w:rPr>
        <w:t>1</w:t>
      </w:r>
      <w:r>
        <w:rPr>
          <w:noProof/>
        </w:rPr>
        <w:fldChar w:fldCharType="end"/>
      </w:r>
      <w:r>
        <w:rPr>
          <w:noProof/>
        </w:rPr>
        <w:t>9: - Model of market potential – Germany 2025</w:t>
      </w:r>
      <w:bookmarkEnd w:id="122"/>
      <w:bookmarkEnd w:id="123"/>
      <w:bookmarkEnd w:id="124"/>
      <w:bookmarkEnd w:id="125"/>
      <w:bookmarkEnd w:id="126"/>
      <w:bookmarkEnd w:id="127"/>
      <w:bookmarkEnd w:id="128"/>
    </w:p>
    <w:p w:rsidR="004C7085" w:rsidRDefault="005163E3">
      <w:pPr>
        <w:pStyle w:val="Caption"/>
        <w:spacing w:before="0" w:line="240" w:lineRule="auto"/>
        <w:rPr>
          <w:rFonts w:ascii="Times New Roman" w:hAnsi="Times New Roman"/>
          <w:noProof/>
        </w:rPr>
      </w:pPr>
      <w:r>
        <w:rPr>
          <w:rFonts w:ascii="Times New Roman" w:hAnsi="Times New Roman"/>
          <w:noProof/>
          <w:lang w:eastAsia="en-GB"/>
        </w:rPr>
        <w:drawing>
          <wp:inline distT="0" distB="0" distL="0" distR="0" wp14:anchorId="5F76AFC0" wp14:editId="67414206">
            <wp:extent cx="5759450" cy="3532505"/>
            <wp:effectExtent l="0" t="0" r="0" b="0"/>
            <wp:docPr id="7" name="Picture 7" descr="C:\Users\nasarfa.NET1\Desktop\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arfa.NET1\Desktop\pic.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532505"/>
                    </a:xfrm>
                    <a:prstGeom prst="rect">
                      <a:avLst/>
                    </a:prstGeom>
                    <a:noFill/>
                    <a:ln>
                      <a:noFill/>
                    </a:ln>
                  </pic:spPr>
                </pic:pic>
              </a:graphicData>
            </a:graphic>
          </wp:inline>
        </w:drawing>
      </w:r>
      <w:r>
        <w:rPr>
          <w:rFonts w:ascii="Times New Roman" w:hAnsi="Times New Roman"/>
          <w:noProof/>
        </w:rPr>
        <w:t xml:space="preserve"> </w:t>
      </w:r>
      <w:r>
        <w:rPr>
          <w:rFonts w:ascii="Times New Roman" w:hAnsi="Times New Roman"/>
          <w:noProof/>
        </w:rPr>
        <w:fldChar w:fldCharType="begin"/>
      </w:r>
      <w:r>
        <w:rPr>
          <w:rFonts w:ascii="Times New Roman" w:hAnsi="Times New Roman"/>
          <w:noProof/>
        </w:rPr>
        <w:instrText xml:space="preserve"> ADDIN EN.FIGURE &lt;FIGURE IMAGE = "3266003457WIK figure 34 v1.doc" CAPTION = "Forecast of broadband demand in Germany in 2025"/&gt;</w:instrText>
      </w:r>
      <w:r>
        <w:rPr>
          <w:rFonts w:ascii="Times New Roman" w:hAnsi="Times New Roman"/>
          <w:noProof/>
        </w:rPr>
        <w:fldChar w:fldCharType="separate"/>
      </w:r>
    </w:p>
    <w:p w:rsidR="004C7085" w:rsidRDefault="005163E3">
      <w:pPr>
        <w:spacing w:after="120" w:line="240" w:lineRule="auto"/>
        <w:jc w:val="both"/>
        <w:rPr>
          <w:rFonts w:ascii="Times New Roman" w:hAnsi="Times New Roman"/>
          <w:noProof/>
          <w:sz w:val="24"/>
        </w:rPr>
      </w:pPr>
      <w:r>
        <w:rPr>
          <w:rFonts w:ascii="Times New Roman" w:hAnsi="Times New Roman" w:cs="Times New Roman"/>
          <w:noProof/>
        </w:rPr>
        <w:fldChar w:fldCharType="end"/>
      </w:r>
      <w:r>
        <w:rPr>
          <w:rFonts w:ascii="Times New Roman" w:hAnsi="Times New Roman"/>
          <w:noProof/>
          <w:sz w:val="24"/>
        </w:rPr>
        <w:t>As shown in Figure 19, data rates required by the most demanding users could reach 1 Gbps or more on the downstream link by 2025, while a significant proportion of households and offices could demand download speeds of 500-1000Mbit/s and 300-600Mbit/s upstream by 2025. This scenario therefore sets the upper bounds for potential users (including many business users) demands in the medium term, while it is worth noting that even a less ambitious scenario will need the VHC rollout to reach far deeper into most of the present networks. In addition, it has to be assumed that middle- and larger sized enterprises in the digital economy will have much greater simultaneous up- and download needs.</w:t>
      </w:r>
    </w:p>
    <w:p w:rsidR="004C7085" w:rsidRDefault="005163E3">
      <w:pPr>
        <w:spacing w:after="120" w:line="240" w:lineRule="auto"/>
        <w:jc w:val="both"/>
        <w:rPr>
          <w:rFonts w:ascii="Times New Roman" w:hAnsi="Times New Roman"/>
          <w:noProof/>
          <w:sz w:val="24"/>
        </w:rPr>
      </w:pPr>
      <w:r>
        <w:rPr>
          <w:rFonts w:ascii="Times New Roman" w:hAnsi="Times New Roman" w:cs="Times New Roman"/>
          <w:noProof/>
          <w:sz w:val="24"/>
          <w:szCs w:val="24"/>
          <w:lang w:eastAsia="nl-NL"/>
        </w:rPr>
        <w:t>There</w:t>
      </w:r>
      <w:r>
        <w:rPr>
          <w:rFonts w:ascii="Times New Roman" w:hAnsi="Times New Roman"/>
          <w:noProof/>
          <w:sz w:val="24"/>
        </w:rPr>
        <w:t xml:space="preserve"> is evidence suggesting that in the telecom sector </w:t>
      </w:r>
      <w:r>
        <w:rPr>
          <w:rFonts w:ascii="Times New Roman" w:hAnsi="Times New Roman"/>
          <w:b/>
          <w:noProof/>
          <w:sz w:val="24"/>
        </w:rPr>
        <w:t>demand responds to supply</w:t>
      </w:r>
      <w:r>
        <w:rPr>
          <w:rFonts w:ascii="Times New Roman" w:hAnsi="Times New Roman" w:cs="Times New Roman"/>
          <w:noProof/>
        </w:rPr>
        <w:t xml:space="preserve">, </w:t>
      </w:r>
      <w:r>
        <w:rPr>
          <w:rFonts w:ascii="Times New Roman" w:hAnsi="Times New Roman"/>
          <w:noProof/>
          <w:sz w:val="24"/>
        </w:rPr>
        <w:t xml:space="preserve">and that limited download and upload speeds may limit the types of usage and applications that might otherwise emerge. </w:t>
      </w:r>
    </w:p>
    <w:p w:rsidR="004C7085" w:rsidRDefault="005163E3">
      <w:pPr>
        <w:pStyle w:val="ListParagraph"/>
        <w:numPr>
          <w:ilvl w:val="0"/>
          <w:numId w:val="29"/>
        </w:numPr>
        <w:spacing w:after="120" w:line="240" w:lineRule="auto"/>
        <w:rPr>
          <w:rFonts w:ascii="Times New Roman" w:hAnsi="Times New Roman"/>
          <w:noProof/>
          <w:sz w:val="24"/>
        </w:rPr>
      </w:pPr>
      <w:r>
        <w:rPr>
          <w:rFonts w:ascii="Times New Roman" w:hAnsi="Times New Roman"/>
          <w:noProof/>
          <w:sz w:val="24"/>
        </w:rPr>
        <w:t xml:space="preserve">Data from the UK regulator Ofcom for example suggests that download bandwidth consumption for NGA (FTTC and FTTP) networks was around two times higher than bandwidth consumption for non-NGA networks, with significantly higher use of upload capacity. </w:t>
      </w:r>
    </w:p>
    <w:p w:rsidR="004C7085" w:rsidRDefault="005163E3">
      <w:pPr>
        <w:pStyle w:val="ListParagraph"/>
        <w:numPr>
          <w:ilvl w:val="0"/>
          <w:numId w:val="29"/>
        </w:numPr>
        <w:spacing w:after="120" w:line="240" w:lineRule="auto"/>
        <w:rPr>
          <w:rFonts w:ascii="Times New Roman" w:hAnsi="Times New Roman"/>
          <w:noProof/>
          <w:sz w:val="24"/>
        </w:rPr>
      </w:pPr>
      <w:r>
        <w:rPr>
          <w:rFonts w:ascii="Times New Roman" w:hAnsi="Times New Roman"/>
          <w:noProof/>
          <w:sz w:val="24"/>
        </w:rPr>
        <w:t>This evidence of higher usage being associated with the availability of NGA is supported by the case of Palaiseau in France, which has been the subject of a pilot trial for the switch-over of Orange copper customers to FTTH networks: it was observed that the average Internet traffic of Orange’s broadband customers was multiplied by a factor of three. Importantly, this trial also resulted in fibre clients’ usage of upload bandwidth being increased 8 times</w:t>
      </w:r>
      <w:r>
        <w:rPr>
          <w:rStyle w:val="FootnoteReference"/>
          <w:rFonts w:ascii="Times New Roman" w:hAnsi="Times New Roman"/>
          <w:noProof/>
          <w:sz w:val="24"/>
        </w:rPr>
        <w:footnoteReference w:id="42"/>
      </w:r>
      <w:r>
        <w:rPr>
          <w:rFonts w:ascii="Times New Roman" w:hAnsi="Times New Roman"/>
          <w:noProof/>
          <w:sz w:val="24"/>
        </w:rPr>
        <w:t xml:space="preserve">. </w:t>
      </w:r>
    </w:p>
    <w:p w:rsidR="004C7085" w:rsidRDefault="005163E3">
      <w:pPr>
        <w:pStyle w:val="ListParagraph"/>
        <w:numPr>
          <w:ilvl w:val="0"/>
          <w:numId w:val="29"/>
        </w:numPr>
        <w:spacing w:after="120" w:line="240" w:lineRule="auto"/>
        <w:rPr>
          <w:rFonts w:ascii="Times New Roman" w:hAnsi="Times New Roman"/>
          <w:noProof/>
          <w:sz w:val="24"/>
        </w:rPr>
      </w:pPr>
      <w:r>
        <w:rPr>
          <w:rFonts w:ascii="Times New Roman" w:hAnsi="Times New Roman"/>
          <w:noProof/>
          <w:sz w:val="24"/>
        </w:rPr>
        <w:t>In Sweden, following an early boost by the central government, one out of every two municipalities is involved in VHC to the business and VHC to the home deployments. This has led to very high take-up: as of July 2015, 68% of the broadband connections in Sweden are NGA</w:t>
      </w:r>
      <w:r>
        <w:rPr>
          <w:rFonts w:ascii="Times New Roman" w:hAnsi="Times New Roman"/>
          <w:noProof/>
        </w:rPr>
        <w:t xml:space="preserve">, </w:t>
      </w:r>
      <w:r>
        <w:rPr>
          <w:rFonts w:ascii="Times New Roman" w:hAnsi="Times New Roman"/>
          <w:noProof/>
          <w:sz w:val="24"/>
        </w:rPr>
        <w:t>achieved predominantly through FTTH and FTTB connections. Where FTTH is widespread, extending VHC to base stations is far more feasible and efficient. This is well illustrated by the example of 4G in Stockholm where the world’s first 4G deployment took place helped by the virtually 100% VHC coverage.</w:t>
      </w:r>
      <w:r>
        <w:rPr>
          <w:noProof/>
          <w:vertAlign w:val="superscript"/>
        </w:rPr>
        <w:footnoteReference w:id="43"/>
      </w:r>
    </w:p>
    <w:p w:rsidR="004C7085" w:rsidRDefault="005163E3">
      <w:pPr>
        <w:pStyle w:val="Corps"/>
        <w:pBdr>
          <w:top w:val="none" w:sz="0" w:space="0" w:color="auto"/>
          <w:left w:val="none" w:sz="0" w:space="0" w:color="auto"/>
          <w:bottom w:val="none" w:sz="0" w:space="0" w:color="auto"/>
          <w:right w:val="none" w:sz="0" w:space="0" w:color="auto"/>
        </w:pBdr>
        <w:spacing w:after="120"/>
        <w:rPr>
          <w:noProof/>
          <w:color w:val="auto"/>
          <w:bdr w:val="none" w:sz="0" w:space="0" w:color="auto"/>
          <w:lang w:val="en-GB"/>
        </w:rPr>
      </w:pPr>
      <w:r>
        <w:rPr>
          <w:noProof/>
          <w:color w:val="auto"/>
          <w:bdr w:val="none" w:sz="0" w:space="0" w:color="auto"/>
          <w:lang w:val="en-GB"/>
        </w:rPr>
        <w:t xml:space="preserve">Although all technologies are likely to continue to improve, the gradual replacement of the medium over which connectivity is provided appears inevitable. Leveraging the speed of light, fibre has an efficiency range for delivering high quality, symmetrical connections of dozens of kilometres as against 250 meters for the most promising copper developments. </w:t>
      </w:r>
    </w:p>
    <w:p w:rsidR="004C7085" w:rsidRDefault="005163E3">
      <w:pPr>
        <w:pStyle w:val="Corps"/>
        <w:pBdr>
          <w:top w:val="none" w:sz="0" w:space="0" w:color="auto"/>
          <w:left w:val="none" w:sz="0" w:space="0" w:color="auto"/>
          <w:bottom w:val="none" w:sz="0" w:space="0" w:color="auto"/>
          <w:right w:val="none" w:sz="0" w:space="0" w:color="auto"/>
        </w:pBdr>
        <w:spacing w:after="120"/>
        <w:rPr>
          <w:noProof/>
          <w:color w:val="auto"/>
          <w:bdr w:val="none" w:sz="0" w:space="0" w:color="auto"/>
          <w:lang w:val="en-GB"/>
        </w:rPr>
      </w:pPr>
      <w:r>
        <w:rPr>
          <w:noProof/>
          <w:color w:val="auto"/>
          <w:bdr w:val="none" w:sz="0" w:space="0" w:color="auto"/>
          <w:lang w:val="en-GB"/>
        </w:rPr>
        <w:t xml:space="preserve">While existing copper-based infrastructure has the advantage of wide territorial reach in most of the Union, continuous reliance on this infrastructure in all but the very outer reaches of the network (e.g. within multi-dwelling buildings) may limit the availability – and possible take-up - of applications which demand the highest quality of connectivity, retarding developments necessary for the digitalisation of European industry, access to cost-reducing cloud services for SMEs and spontaneous, game-based skill development for the new generation. </w:t>
      </w:r>
    </w:p>
    <w:p w:rsidR="004C7085" w:rsidRDefault="005163E3">
      <w:pPr>
        <w:spacing w:after="120" w:line="240" w:lineRule="auto"/>
        <w:jc w:val="both"/>
        <w:rPr>
          <w:rFonts w:ascii="Times New Roman" w:hAnsi="Times New Roman"/>
          <w:noProof/>
          <w:sz w:val="24"/>
        </w:rPr>
      </w:pPr>
      <w:r>
        <w:rPr>
          <w:rFonts w:ascii="Times New Roman" w:hAnsi="Times New Roman"/>
          <w:noProof/>
          <w:sz w:val="24"/>
        </w:rPr>
        <w:t>Europe’s gaps in high speed broadband connectivity are likely to have a significant impact on productivity and growth: econometric analysis conducted by WIK-Consult/Ecorys, VVA</w:t>
      </w:r>
      <w:r>
        <w:rPr>
          <w:rStyle w:val="FootnoteReference"/>
          <w:rFonts w:ascii="Times New Roman" w:hAnsi="Times New Roman"/>
          <w:noProof/>
          <w:sz w:val="24"/>
        </w:rPr>
        <w:footnoteReference w:id="44"/>
      </w:r>
      <w:r>
        <w:rPr>
          <w:rFonts w:ascii="Times New Roman" w:hAnsi="Times New Roman"/>
          <w:noProof/>
          <w:sz w:val="24"/>
        </w:rPr>
        <w:t xml:space="preserve"> suggests that broadband speed is positively correlated with Total Factor Productivity across a range of industrial sectors, while external studies have also identified positive economic effects from Gigabit technologies.</w:t>
      </w:r>
      <w:r>
        <w:rPr>
          <w:rStyle w:val="FootnoteReference"/>
          <w:noProof/>
        </w:rPr>
        <w:footnoteReference w:id="45"/>
      </w:r>
      <w:r>
        <w:rPr>
          <w:rFonts w:ascii="Times New Roman" w:hAnsi="Times New Roman"/>
          <w:noProof/>
          <w:sz w:val="24"/>
        </w:rPr>
        <w:t xml:space="preserve"> There is also evidence that a persisting digital divide between countries and regions of Europe may affect migration, employment and social inclusion.</w:t>
      </w:r>
      <w:r>
        <w:rPr>
          <w:rFonts w:ascii="Times New Roman" w:hAnsi="Times New Roman"/>
          <w:noProof/>
          <w:position w:val="6"/>
          <w:sz w:val="20"/>
        </w:rPr>
        <w:footnoteReference w:id="46"/>
      </w:r>
    </w:p>
    <w:p w:rsidR="004C7085" w:rsidRDefault="005163E3">
      <w:pPr>
        <w:pStyle w:val="Text1"/>
        <w:spacing w:before="0" w:after="240"/>
        <w:ind w:left="0"/>
        <w:rPr>
          <w:noProof/>
        </w:rPr>
      </w:pPr>
      <w:r>
        <w:rPr>
          <w:rFonts w:cstheme="minorBidi"/>
          <w:noProof/>
        </w:rPr>
        <w:t xml:space="preserve">In line with </w:t>
      </w:r>
      <w:r>
        <w:rPr>
          <w:noProof/>
        </w:rPr>
        <w:t>literature pointing out that an increase of 10 percentage points in standard broadband penetration could contribute between 0.25% to 1.38% to GDP growth</w:t>
      </w:r>
      <w:r>
        <w:rPr>
          <w:rStyle w:val="FootnoteReference"/>
          <w:noProof/>
          <w:sz w:val="22"/>
        </w:rPr>
        <w:footnoteReference w:id="47"/>
      </w:r>
      <w:r>
        <w:rPr>
          <w:noProof/>
          <w:sz w:val="22"/>
        </w:rPr>
        <w:t xml:space="preserve">, </w:t>
      </w:r>
      <w:r>
        <w:rPr>
          <w:noProof/>
        </w:rPr>
        <w:t>a small, but expanding body of literature highlights how the effects of faster broadband through VHC connectivity could boost growth further and offer a new lease of life to rural communities</w:t>
      </w:r>
      <w:r>
        <w:rPr>
          <w:rStyle w:val="FootnoteReference"/>
          <w:noProof/>
          <w:sz w:val="22"/>
        </w:rPr>
        <w:footnoteReference w:id="48"/>
      </w:r>
      <w:r>
        <w:rPr>
          <w:noProof/>
          <w:sz w:val="22"/>
        </w:rPr>
        <w:t xml:space="preserve">, </w:t>
      </w:r>
    </w:p>
    <w:p w:rsidR="004C7085" w:rsidRDefault="005163E3">
      <w:pPr>
        <w:pStyle w:val="Heading1"/>
        <w:spacing w:before="0" w:after="120" w:line="240" w:lineRule="auto"/>
        <w:rPr>
          <w:rFonts w:ascii="Times New Roman" w:hAnsi="Times New Roman"/>
          <w:noProof/>
          <w:color w:val="4F81BD" w:themeColor="accent1"/>
          <w:sz w:val="26"/>
          <w:u w:val="single"/>
        </w:rPr>
      </w:pPr>
      <w:bookmarkStart w:id="129" w:name="_Toc458161130"/>
      <w:bookmarkStart w:id="130" w:name="_Toc458188072"/>
      <w:bookmarkStart w:id="131" w:name="_Toc458188231"/>
      <w:bookmarkStart w:id="132" w:name="_Toc458450296"/>
      <w:bookmarkStart w:id="133" w:name="_Toc458461568"/>
      <w:bookmarkStart w:id="134" w:name="_Toc458467533"/>
      <w:bookmarkStart w:id="135" w:name="_Toc458257420"/>
      <w:bookmarkStart w:id="136" w:name="_Toc461050803"/>
      <w:r>
        <w:rPr>
          <w:rFonts w:ascii="Times New Roman" w:hAnsi="Times New Roman"/>
          <w:noProof/>
          <w:color w:val="4F81BD" w:themeColor="accent1"/>
          <w:sz w:val="26"/>
          <w:u w:val="single"/>
        </w:rPr>
        <w:t>Cost and benefits of very high capacity connectivity</w:t>
      </w:r>
      <w:bookmarkEnd w:id="129"/>
      <w:bookmarkEnd w:id="130"/>
      <w:bookmarkEnd w:id="131"/>
      <w:bookmarkEnd w:id="132"/>
      <w:bookmarkEnd w:id="133"/>
      <w:bookmarkEnd w:id="134"/>
      <w:bookmarkEnd w:id="135"/>
      <w:bookmarkEnd w:id="136"/>
    </w:p>
    <w:p w:rsidR="004C7085" w:rsidRDefault="005163E3">
      <w:pPr>
        <w:pStyle w:val="Heading2"/>
        <w:spacing w:before="0" w:after="120" w:line="240" w:lineRule="auto"/>
        <w:jc w:val="both"/>
        <w:rPr>
          <w:rFonts w:ascii="Times New Roman" w:hAnsi="Times New Roman"/>
          <w:noProof/>
        </w:rPr>
      </w:pPr>
      <w:bookmarkStart w:id="137" w:name="_Toc458450297"/>
      <w:bookmarkStart w:id="138" w:name="_Toc458461569"/>
      <w:bookmarkStart w:id="139" w:name="_Toc458467534"/>
      <w:bookmarkStart w:id="140" w:name="_Toc461050804"/>
      <w:r>
        <w:rPr>
          <w:rFonts w:ascii="Times New Roman" w:hAnsi="Times New Roman" w:cs="Times New Roman"/>
          <w:noProof/>
        </w:rPr>
        <w:t>Costing the networks for a Gigabit Society</w:t>
      </w:r>
      <w:bookmarkEnd w:id="137"/>
      <w:bookmarkEnd w:id="138"/>
      <w:bookmarkEnd w:id="139"/>
      <w:bookmarkEnd w:id="140"/>
    </w:p>
    <w:p w:rsidR="004C7085" w:rsidRDefault="005163E3">
      <w:pPr>
        <w:pStyle w:val="Heading3"/>
        <w:spacing w:before="0" w:after="120" w:line="240" w:lineRule="auto"/>
        <w:rPr>
          <w:rFonts w:ascii="Times New Roman" w:hAnsi="Times New Roman"/>
          <w:noProof/>
          <w:sz w:val="24"/>
        </w:rPr>
      </w:pPr>
      <w:bookmarkStart w:id="141" w:name="_Toc456017347"/>
      <w:bookmarkStart w:id="142" w:name="_Toc456025834"/>
      <w:bookmarkStart w:id="143" w:name="_Toc456026286"/>
      <w:bookmarkStart w:id="144" w:name="_Toc456114414"/>
      <w:bookmarkStart w:id="145" w:name="_Toc456115326"/>
      <w:bookmarkStart w:id="146" w:name="_Ref456178970"/>
      <w:bookmarkStart w:id="147" w:name="_Ref456178973"/>
      <w:bookmarkStart w:id="148" w:name="_Ref456258029"/>
      <w:bookmarkStart w:id="149" w:name="_Toc456261962"/>
      <w:bookmarkStart w:id="150" w:name="_Toc456262900"/>
      <w:bookmarkStart w:id="151" w:name="_Toc456263197"/>
      <w:bookmarkStart w:id="152" w:name="_Toc456628703"/>
      <w:bookmarkStart w:id="153" w:name="_Toc456633225"/>
      <w:bookmarkStart w:id="154" w:name="_Toc458188074"/>
      <w:bookmarkStart w:id="155" w:name="_Toc458188233"/>
      <w:bookmarkStart w:id="156" w:name="_Toc458450298"/>
      <w:bookmarkStart w:id="157" w:name="_Toc458461570"/>
      <w:bookmarkStart w:id="158" w:name="_Toc458467535"/>
      <w:bookmarkStart w:id="159" w:name="_Toc458257421"/>
      <w:bookmarkStart w:id="160" w:name="_Toc461050805"/>
      <w:r>
        <w:rPr>
          <w:rFonts w:ascii="Times New Roman" w:hAnsi="Times New Roman"/>
          <w:noProof/>
          <w:sz w:val="24"/>
        </w:rPr>
        <w:t>Costing the gap and the financial endowment of current initiatives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4C7085" w:rsidRDefault="005163E3">
      <w:pPr>
        <w:spacing w:after="120" w:line="240" w:lineRule="auto"/>
        <w:jc w:val="both"/>
        <w:rPr>
          <w:rFonts w:ascii="Times New Roman" w:hAnsi="Times New Roman"/>
          <w:noProof/>
          <w:sz w:val="24"/>
        </w:rPr>
      </w:pPr>
      <w:r>
        <w:rPr>
          <w:rFonts w:ascii="Times New Roman" w:hAnsi="Times New Roman"/>
          <w:noProof/>
          <w:sz w:val="24"/>
        </w:rPr>
        <w:t xml:space="preserve">Some studies have tried to estimate the NGA broadband gap in Europe and to provide estimates about the cost to fill it. The best known of these studies is probably the one performed by the European Investment Bank in 2011. The study considers four scenarios for broadband deployment in Europe. The most </w:t>
      </w:r>
      <w:r>
        <w:rPr>
          <w:rFonts w:ascii="Times New Roman" w:hAnsi="Times New Roman"/>
          <w:b/>
          <w:noProof/>
          <w:sz w:val="24"/>
        </w:rPr>
        <w:t>ambitious scenario foresees FTTH/B</w:t>
      </w:r>
      <w:r>
        <w:rPr>
          <w:rFonts w:ascii="Times New Roman" w:hAnsi="Times New Roman"/>
          <w:noProof/>
          <w:sz w:val="24"/>
        </w:rPr>
        <w:t xml:space="preserve"> roll-out throughout Europe and the gap was estimated at €221 billion</w:t>
      </w:r>
      <w:r>
        <w:rPr>
          <w:rStyle w:val="FootnoteReference"/>
          <w:rFonts w:ascii="Times New Roman" w:hAnsi="Times New Roman"/>
          <w:noProof/>
          <w:sz w:val="24"/>
        </w:rPr>
        <w:footnoteReference w:id="49"/>
      </w:r>
      <w:r>
        <w:rPr>
          <w:rFonts w:ascii="Times New Roman" w:hAnsi="Times New Roman"/>
          <w:noProof/>
          <w:sz w:val="24"/>
        </w:rPr>
        <w:t xml:space="preserve">. </w:t>
      </w:r>
    </w:p>
    <w:p w:rsidR="004C7085" w:rsidRDefault="005163E3">
      <w:pPr>
        <w:spacing w:after="120" w:line="240" w:lineRule="auto"/>
        <w:jc w:val="both"/>
        <w:rPr>
          <w:rFonts w:ascii="Times New Roman" w:hAnsi="Times New Roman"/>
          <w:noProof/>
          <w:sz w:val="24"/>
        </w:rPr>
      </w:pPr>
      <w:r>
        <w:rPr>
          <w:rFonts w:ascii="Times New Roman" w:hAnsi="Times New Roman"/>
          <w:noProof/>
          <w:sz w:val="24"/>
        </w:rPr>
        <w:t>The same scenario of 100% FTTH/B coverage was analysed by Analysys Mason in a study for DG CONNECT in 2012</w:t>
      </w:r>
      <w:r>
        <w:rPr>
          <w:rStyle w:val="FootnoteReference"/>
          <w:rFonts w:ascii="Times New Roman" w:hAnsi="Times New Roman"/>
          <w:noProof/>
          <w:sz w:val="24"/>
        </w:rPr>
        <w:footnoteReference w:id="50"/>
      </w:r>
      <w:r>
        <w:rPr>
          <w:rFonts w:ascii="Times New Roman" w:hAnsi="Times New Roman"/>
          <w:noProof/>
          <w:sz w:val="24"/>
        </w:rPr>
        <w:t>. The amount foreseen is similar (€250 billion, for deployment of FTTP-only, across Europe). The amount is reduced to €154 billion in case of high duct re-use. Analysys Mason also estimated the costs associated to a 100% FTTC deployment which are in the area of €50 billion. In case of high duct re-use, the cost would go down to €31 billion.</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Studies suggest that the costs are justified by the benefits. Analysys Mason's study</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showed that the bigger is the intervention, the higher is the consumer surplus.</w:t>
      </w:r>
    </w:p>
    <w:p w:rsidR="004C7085" w:rsidRDefault="005163E3">
      <w:pPr>
        <w:pStyle w:val="Heading4"/>
        <w:keepNext/>
        <w:rPr>
          <w:noProof/>
        </w:rPr>
      </w:pPr>
      <w:r>
        <w:rPr>
          <w:noProof/>
        </w:rPr>
        <w:t>Table 3: NGA investments and associated benefits under three scenarios</w:t>
      </w:r>
    </w:p>
    <w:p w:rsidR="004C7085" w:rsidRDefault="005163E3">
      <w:pPr>
        <w:rPr>
          <w:noProof/>
          <w:u w:val="single"/>
        </w:rPr>
      </w:pPr>
      <w:r>
        <w:rPr>
          <w:noProof/>
          <w:u w:val="single"/>
          <w:lang w:eastAsia="en-GB"/>
        </w:rPr>
        <w:drawing>
          <wp:inline distT="0" distB="0" distL="0" distR="0" wp14:anchorId="4D8EC1E3" wp14:editId="78B0F5E8">
            <wp:extent cx="5603483" cy="2572603"/>
            <wp:effectExtent l="0" t="0" r="0" b="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56" t="6641" r="3158" b="2156"/>
                    <a:stretch/>
                  </pic:blipFill>
                  <pic:spPr bwMode="auto">
                    <a:xfrm>
                      <a:off x="0" y="0"/>
                      <a:ext cx="5620689" cy="2580502"/>
                    </a:xfrm>
                    <a:prstGeom prst="rect">
                      <a:avLst/>
                    </a:prstGeom>
                    <a:noFill/>
                    <a:ln>
                      <a:noFill/>
                    </a:ln>
                    <a:extLst>
                      <a:ext uri="{53640926-AAD7-44D8-BBD7-CCE9431645EC}">
                        <a14:shadowObscured xmlns:a14="http://schemas.microsoft.com/office/drawing/2010/main"/>
                      </a:ext>
                    </a:extLst>
                  </pic:spPr>
                </pic:pic>
              </a:graphicData>
            </a:graphic>
          </wp:inline>
        </w:drawing>
      </w:r>
    </w:p>
    <w:p w:rsidR="004C7085" w:rsidRDefault="005163E3">
      <w:pPr>
        <w:rPr>
          <w:rFonts w:ascii="Times New Roman" w:hAnsi="Times New Roman" w:cs="Times New Roman"/>
          <w:i/>
          <w:noProof/>
          <w:sz w:val="20"/>
        </w:rPr>
      </w:pPr>
      <w:r>
        <w:rPr>
          <w:rFonts w:ascii="Times New Roman" w:hAnsi="Times New Roman" w:cs="Times New Roman"/>
          <w:i/>
          <w:noProof/>
          <w:sz w:val="20"/>
        </w:rPr>
        <w:t xml:space="preserve">Source: </w:t>
      </w:r>
      <w:r>
        <w:rPr>
          <w:rFonts w:ascii="Times New Roman" w:hAnsi="Times New Roman" w:cs="Times New Roman"/>
          <w:i/>
          <w:noProof/>
          <w:sz w:val="20"/>
        </w:rPr>
        <w:tab/>
        <w:t>Analysys Mason 2013 Study on the Socio-economic impact of bandwidth</w:t>
      </w:r>
    </w:p>
    <w:p w:rsidR="004C7085" w:rsidRDefault="005163E3">
      <w:pPr>
        <w:spacing w:after="120" w:line="240" w:lineRule="auto"/>
        <w:jc w:val="both"/>
        <w:rPr>
          <w:rFonts w:ascii="Times New Roman" w:hAnsi="Times New Roman"/>
          <w:noProof/>
          <w:sz w:val="24"/>
        </w:rPr>
      </w:pPr>
      <w:r>
        <w:rPr>
          <w:rFonts w:ascii="Times New Roman" w:hAnsi="Times New Roman"/>
          <w:noProof/>
          <w:sz w:val="24"/>
        </w:rPr>
        <w:t>An internal estimate carried out by DG CONNECT in 2014 on the basis of the Analysys Mason study of 2013 showed that Europe needed an additional €34 billion in investment to reach the objective of 100% coverage at 30 Mbps, and an additional €92 billion to credibly enable reaching the 50% take-up objective at 100 Mbps</w:t>
      </w:r>
      <w:r>
        <w:rPr>
          <w:rStyle w:val="FootnoteReference"/>
          <w:rFonts w:ascii="Times New Roman" w:hAnsi="Times New Roman"/>
          <w:noProof/>
          <w:sz w:val="24"/>
        </w:rPr>
        <w:footnoteReference w:id="52"/>
      </w:r>
      <w:r>
        <w:rPr>
          <w:rFonts w:ascii="Times New Roman" w:hAnsi="Times New Roman"/>
          <w:noProof/>
          <w:sz w:val="24"/>
        </w:rPr>
        <w:t>. These figures already take account of the amount that the private sector could be expected to invest</w:t>
      </w:r>
      <w:r>
        <w:rPr>
          <w:rStyle w:val="FootnoteReference"/>
          <w:rFonts w:ascii="Times New Roman" w:hAnsi="Times New Roman"/>
          <w:noProof/>
          <w:sz w:val="24"/>
        </w:rPr>
        <w:footnoteReference w:id="53"/>
      </w:r>
      <w:r>
        <w:rPr>
          <w:rFonts w:ascii="Times New Roman" w:hAnsi="Times New Roman"/>
          <w:noProof/>
          <w:sz w:val="24"/>
        </w:rPr>
        <w:t xml:space="preserve"> and would leave part of the network below the performance levels required to serve a Gigabit society if substantial copper-based parts of the networks (e.g. beyond the cabinets) were to be durably maintained thereafter. </w:t>
      </w:r>
    </w:p>
    <w:p w:rsidR="004C7085" w:rsidRDefault="005163E3">
      <w:pPr>
        <w:spacing w:after="120" w:line="240" w:lineRule="auto"/>
        <w:jc w:val="both"/>
        <w:rPr>
          <w:rFonts w:ascii="Times New Roman" w:hAnsi="Times New Roman"/>
          <w:noProof/>
          <w:sz w:val="24"/>
        </w:rPr>
      </w:pPr>
      <w:r>
        <w:rPr>
          <w:rFonts w:ascii="Times New Roman" w:hAnsi="Times New Roman"/>
          <w:noProof/>
          <w:sz w:val="24"/>
        </w:rPr>
        <w:t xml:space="preserve">The </w:t>
      </w:r>
      <w:r>
        <w:rPr>
          <w:rFonts w:ascii="Times New Roman" w:hAnsi="Times New Roman"/>
          <w:b/>
          <w:noProof/>
          <w:sz w:val="24"/>
        </w:rPr>
        <w:t>financial resources available</w:t>
      </w:r>
      <w:r>
        <w:rPr>
          <w:rFonts w:ascii="Times New Roman" w:hAnsi="Times New Roman"/>
          <w:noProof/>
          <w:sz w:val="24"/>
        </w:rPr>
        <w:t xml:space="preserve"> at the European level are certainly not sufficient to meet the challenge presented above</w:t>
      </w:r>
      <w:r>
        <w:rPr>
          <w:noProof/>
        </w:rPr>
        <w:t xml:space="preserve"> </w:t>
      </w:r>
      <w:r>
        <w:rPr>
          <w:rFonts w:ascii="Times New Roman" w:hAnsi="Times New Roman"/>
          <w:noProof/>
          <w:sz w:val="24"/>
        </w:rPr>
        <w:t xml:space="preserve">and need to be focused on mobilising more private and national public investments. </w:t>
      </w:r>
      <w:r>
        <w:rPr>
          <w:rFonts w:ascii="Times New Roman" w:hAnsi="Times New Roman"/>
          <w:noProof/>
        </w:rPr>
        <w:t>T</w:t>
      </w:r>
      <w:r>
        <w:rPr>
          <w:rFonts w:ascii="Times New Roman" w:hAnsi="Times New Roman"/>
          <w:noProof/>
          <w:sz w:val="24"/>
        </w:rPr>
        <w:t xml:space="preserve">he allocation of </w:t>
      </w:r>
      <w:r>
        <w:rPr>
          <w:rFonts w:ascii="Times New Roman" w:hAnsi="Times New Roman"/>
          <w:b/>
          <w:noProof/>
          <w:sz w:val="24"/>
        </w:rPr>
        <w:t>European Structural and Investment Funds</w:t>
      </w:r>
      <w:r>
        <w:rPr>
          <w:rFonts w:ascii="Times New Roman" w:hAnsi="Times New Roman"/>
          <w:noProof/>
          <w:sz w:val="24"/>
        </w:rPr>
        <w:t xml:space="preserve"> (ESIF) for high speed broadband networks experienced a sharp increase from €2.7 billion in 2007-2013 to around €6 billion for 2014-2020 (about €5.1 billion ERDF and an estimated €0.9 billion EAFRD)</w:t>
      </w:r>
      <w:r>
        <w:rPr>
          <w:rStyle w:val="FootnoteReference"/>
          <w:rFonts w:ascii="Times New Roman" w:hAnsi="Times New Roman"/>
          <w:noProof/>
          <w:sz w:val="24"/>
        </w:rPr>
        <w:footnoteReference w:id="54"/>
      </w:r>
      <w:r>
        <w:rPr>
          <w:rFonts w:ascii="Times New Roman" w:hAnsi="Times New Roman"/>
          <w:noProof/>
          <w:sz w:val="24"/>
        </w:rPr>
        <w:t>. Most of this investment is expected to be made in the form of grants. However, the Communication on the Investment Plan for Europe called for a doubling in the use of financial instruments under ESIF</w:t>
      </w:r>
      <w:r>
        <w:rPr>
          <w:rFonts w:ascii="Times New Roman" w:hAnsi="Times New Roman"/>
          <w:noProof/>
          <w:sz w:val="24"/>
          <w:vertAlign w:val="superscript"/>
        </w:rPr>
        <w:footnoteReference w:id="55"/>
      </w:r>
      <w:r>
        <w:rPr>
          <w:rFonts w:ascii="Times New Roman" w:hAnsi="Times New Roman"/>
          <w:noProof/>
          <w:sz w:val="24"/>
        </w:rPr>
        <w:t>, including an indicative target of 10% of support in the field of ICT. Overall, with the leverage effect of ERDF and EAFRD on public (national and/or regional co-funding) and private co-funding, it is expected €9-10 billion will be invested in broadband during the 2014-2020 programing period, with the target to provide high speed connectivity to an additional 14.6 million households and make 33% of rural population benefit from new or improved ICT services or infrastructures.</w:t>
      </w:r>
      <w:r>
        <w:rPr>
          <w:rFonts w:ascii="Times New Roman" w:hAnsi="Times New Roman"/>
          <w:noProof/>
          <w:sz w:val="24"/>
          <w:vertAlign w:val="superscript"/>
        </w:rPr>
        <w:footnoteReference w:id="56"/>
      </w:r>
    </w:p>
    <w:p w:rsidR="004C7085" w:rsidRDefault="005163E3">
      <w:pPr>
        <w:spacing w:after="120" w:line="240" w:lineRule="auto"/>
        <w:jc w:val="both"/>
        <w:rPr>
          <w:noProof/>
        </w:rPr>
      </w:pPr>
      <w:r>
        <w:rPr>
          <w:rFonts w:ascii="Times New Roman" w:hAnsi="Times New Roman"/>
          <w:noProof/>
          <w:sz w:val="24"/>
        </w:rPr>
        <w:t>The Connecting Europe Facility (CEF) in the digital area is endowed with a limited budget of €150 million to support deployment of state-of-the-art broadband infrastructure, based on the provision of financial instruments via the European Investment Bank (EIB). The broadband component of CEF is expected to mobilise around €1 billion</w:t>
      </w:r>
      <w:r>
        <w:rPr>
          <w:rFonts w:ascii="Times New Roman" w:hAnsi="Times New Roman"/>
          <w:noProof/>
          <w:sz w:val="24"/>
          <w:vertAlign w:val="superscript"/>
        </w:rPr>
        <w:footnoteReference w:id="57"/>
      </w:r>
      <w:r>
        <w:rPr>
          <w:rFonts w:ascii="Times New Roman" w:hAnsi="Times New Roman"/>
          <w:noProof/>
          <w:sz w:val="24"/>
        </w:rPr>
        <w:t>.</w:t>
      </w:r>
    </w:p>
    <w:p w:rsidR="004C7085" w:rsidRDefault="005163E3">
      <w:pPr>
        <w:spacing w:after="120" w:line="240" w:lineRule="auto"/>
        <w:jc w:val="both"/>
        <w:rPr>
          <w:rFonts w:ascii="Times New Roman" w:hAnsi="Times New Roman"/>
          <w:noProof/>
          <w:sz w:val="24"/>
        </w:rPr>
      </w:pPr>
      <w:r>
        <w:rPr>
          <w:rFonts w:ascii="Times New Roman" w:hAnsi="Times New Roman"/>
          <w:noProof/>
          <w:sz w:val="24"/>
        </w:rPr>
        <w:t>Finally, the European Fund for Strategic Investment (EFSI) does not have sectorial earmarking, hence it is difficult to anticipate how much broadband infrastructure investment will be facilitated by it.</w:t>
      </w:r>
    </w:p>
    <w:p w:rsidR="004C7085" w:rsidRDefault="005163E3">
      <w:pPr>
        <w:spacing w:after="120" w:line="240" w:lineRule="auto"/>
        <w:jc w:val="both"/>
        <w:rPr>
          <w:rStyle w:val="Corpsdutexte"/>
          <w:rFonts w:ascii="Times New Roman" w:hAnsi="Times New Roman" w:cs="Times New Roman"/>
          <w:noProof/>
          <w:sz w:val="24"/>
        </w:rPr>
      </w:pPr>
      <w:r>
        <w:rPr>
          <w:rStyle w:val="Corpsdutexte"/>
          <w:rFonts w:ascii="Times New Roman" w:hAnsi="Times New Roman" w:cs="Times New Roman"/>
          <w:noProof/>
          <w:sz w:val="24"/>
        </w:rPr>
        <w:t>Analysys Mason's most recent study for the European Commission (SMART 2015/0068) "Costing the new potential connectivity needs" analysed 6 scenarios, the outcomes of which and the necessary investments are presented in table 4.</w:t>
      </w:r>
    </w:p>
    <w:p w:rsidR="004C7085" w:rsidRDefault="005163E3">
      <w:pPr>
        <w:pStyle w:val="Heading4"/>
        <w:keepNext/>
        <w:rPr>
          <w:noProof/>
        </w:rPr>
      </w:pPr>
      <w:r>
        <w:rPr>
          <w:noProof/>
        </w:rPr>
        <w:t>Table 4: Description of costing scenarios with their price tags in the recent Analysys Mason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2471"/>
        <w:gridCol w:w="3827"/>
        <w:gridCol w:w="1621"/>
      </w:tblGrid>
      <w:tr w:rsidR="004C7085">
        <w:trPr>
          <w:trHeight w:val="20"/>
        </w:trPr>
        <w:tc>
          <w:tcPr>
            <w:tcW w:w="9242" w:type="dxa"/>
            <w:gridSpan w:val="4"/>
            <w:shd w:val="clear" w:color="auto" w:fill="D9D9D9"/>
          </w:tcPr>
          <w:p w:rsidR="004C7085" w:rsidRDefault="005163E3">
            <w:pPr>
              <w:jc w:val="center"/>
              <w:rPr>
                <w:rFonts w:ascii="Times New Roman" w:hAnsi="Times New Roman"/>
                <w:b/>
                <w:noProof/>
                <w:color w:val="000000"/>
                <w:sz w:val="20"/>
              </w:rPr>
            </w:pPr>
            <w:r>
              <w:rPr>
                <w:rFonts w:ascii="Times New Roman" w:hAnsi="Times New Roman"/>
                <w:b/>
                <w:noProof/>
                <w:color w:val="000000"/>
                <w:sz w:val="20"/>
              </w:rPr>
              <w:t>Gigabit connectivity for socioeconomic drivers</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A</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Most important e-health, e-education and e-government players as well as medium sized SMEs</w:t>
            </w:r>
            <w:r>
              <w:rPr>
                <w:rStyle w:val="FootnoteReference"/>
                <w:rFonts w:ascii="Times New Roman" w:hAnsi="Times New Roman"/>
                <w:noProof/>
                <w:color w:val="000000"/>
                <w:sz w:val="20"/>
              </w:rPr>
              <w:footnoteReference w:id="58"/>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 xml:space="preserve">486 thousand medium sized SMEs (50-249 employees), </w:t>
            </w:r>
            <w:r>
              <w:rPr>
                <w:rFonts w:ascii="Times New Roman" w:hAnsi="Times New Roman"/>
                <w:noProof/>
                <w:color w:val="000000"/>
                <w:sz w:val="20"/>
              </w:rPr>
              <w:br/>
              <w:t xml:space="preserve">210 thousand local authority buildings, </w:t>
            </w:r>
            <w:r>
              <w:rPr>
                <w:rFonts w:ascii="Times New Roman" w:hAnsi="Times New Roman"/>
                <w:noProof/>
                <w:color w:val="000000"/>
                <w:sz w:val="20"/>
              </w:rPr>
              <w:br/>
              <w:t xml:space="preserve">110 thousand hospital and doctor's surgeries; </w:t>
            </w:r>
            <w:r>
              <w:rPr>
                <w:rFonts w:ascii="Times New Roman" w:hAnsi="Times New Roman"/>
                <w:noProof/>
                <w:color w:val="000000"/>
                <w:sz w:val="20"/>
              </w:rPr>
              <w:br/>
              <w:t>210 thousand primary and secondary schools; half of the existing s SMEs, hospitals and secondary school is assumed to have already a leased line connection</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€46 billion</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D</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All big and small socioeconomics drivers such as teleworkers, professionals, small and micro enterprises and most important cultural sites</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All from scenario A plus:</w:t>
            </w:r>
            <w:r>
              <w:rPr>
                <w:rFonts w:ascii="Times New Roman" w:hAnsi="Times New Roman"/>
                <w:noProof/>
                <w:color w:val="000000"/>
                <w:sz w:val="20"/>
              </w:rPr>
              <w:br/>
              <w:t>31.5 million small and microenterprises,</w:t>
            </w:r>
            <w:r>
              <w:rPr>
                <w:rFonts w:ascii="Times New Roman" w:hAnsi="Times New Roman"/>
                <w:noProof/>
                <w:color w:val="000000"/>
                <w:sz w:val="20"/>
              </w:rPr>
              <w:br/>
              <w:t>10 million teleworkers and freelancers</w:t>
            </w:r>
            <w:r>
              <w:rPr>
                <w:rFonts w:ascii="Times New Roman" w:hAnsi="Times New Roman"/>
                <w:noProof/>
                <w:color w:val="000000"/>
                <w:sz w:val="20"/>
              </w:rPr>
              <w:br/>
              <w:t>265 thousand libraries, museums, and sites of cultural interest</w:t>
            </w:r>
            <w:r>
              <w:rPr>
                <w:rFonts w:ascii="Times New Roman" w:hAnsi="Times New Roman"/>
                <w:noProof/>
                <w:color w:val="000000"/>
                <w:sz w:val="20"/>
              </w:rPr>
              <w:br/>
              <w:t>134 thousand post offices and police stations</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€149 billion</w:t>
            </w:r>
          </w:p>
        </w:tc>
      </w:tr>
      <w:tr w:rsidR="004C7085">
        <w:trPr>
          <w:trHeight w:val="20"/>
        </w:trPr>
        <w:tc>
          <w:tcPr>
            <w:tcW w:w="9242" w:type="dxa"/>
            <w:gridSpan w:val="4"/>
            <w:shd w:val="clear" w:color="auto" w:fill="D9D9D9"/>
          </w:tcPr>
          <w:p w:rsidR="004C7085" w:rsidRDefault="005163E3">
            <w:pPr>
              <w:jc w:val="center"/>
              <w:rPr>
                <w:rFonts w:ascii="Times New Roman" w:hAnsi="Times New Roman"/>
                <w:b/>
                <w:noProof/>
                <w:color w:val="000000"/>
                <w:sz w:val="20"/>
              </w:rPr>
            </w:pPr>
            <w:r>
              <w:rPr>
                <w:rFonts w:ascii="Times New Roman" w:hAnsi="Times New Roman"/>
                <w:b/>
                <w:noProof/>
                <w:color w:val="000000"/>
                <w:sz w:val="20"/>
              </w:rPr>
              <w:t>Ubiquitous mobility</w:t>
            </w:r>
            <w:r>
              <w:rPr>
                <w:rStyle w:val="FootnoteReference"/>
                <w:rFonts w:ascii="Times New Roman" w:hAnsi="Times New Roman"/>
                <w:b/>
                <w:noProof/>
                <w:color w:val="000000"/>
                <w:sz w:val="20"/>
              </w:rPr>
              <w:footnoteReference w:id="59"/>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F1</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Railways</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Currently 75% covered</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€5.2 billion</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F2</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Railways and motorways</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Currently 75% covered</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€6.7 billion</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F3</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Railways, motorways and state roads</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Railways, motorways (75% coverage), state roads (50% coverage)</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€28 billion</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F4</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Railways, motorways, state and provincial roads</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Railways, motorways (75% coverage), state and provincial roads (50% coverage)</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€103 billion</w:t>
            </w:r>
          </w:p>
        </w:tc>
      </w:tr>
      <w:tr w:rsidR="004C7085">
        <w:trPr>
          <w:trHeight w:val="20"/>
        </w:trPr>
        <w:tc>
          <w:tcPr>
            <w:tcW w:w="9242" w:type="dxa"/>
            <w:gridSpan w:val="4"/>
            <w:shd w:val="clear" w:color="auto" w:fill="D9D9D9"/>
          </w:tcPr>
          <w:p w:rsidR="004C7085" w:rsidRDefault="005163E3">
            <w:pPr>
              <w:jc w:val="center"/>
              <w:rPr>
                <w:rFonts w:ascii="Times New Roman" w:hAnsi="Times New Roman"/>
                <w:b/>
                <w:noProof/>
                <w:color w:val="000000"/>
                <w:sz w:val="20"/>
              </w:rPr>
            </w:pPr>
            <w:r>
              <w:rPr>
                <w:rFonts w:ascii="Times New Roman" w:hAnsi="Times New Roman"/>
                <w:b/>
                <w:noProof/>
                <w:color w:val="000000"/>
                <w:sz w:val="20"/>
              </w:rPr>
              <w:t>Improved connectivity for rural areas</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B</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Residential coverage for all the population with wireless connectivity above 100 Mbps (macro cells)</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Base station radius: 4km;</w:t>
            </w:r>
            <w:r>
              <w:rPr>
                <w:rFonts w:ascii="Times New Roman" w:hAnsi="Times New Roman"/>
                <w:noProof/>
                <w:color w:val="000000"/>
                <w:sz w:val="20"/>
              </w:rPr>
              <w:br/>
              <w:t>active equipment cost €20 000 per site for interim upgrade and EUR40 000 per site for full upgrade</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€79 billion</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C</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Residential coverage for all the population with 1 Gbps wireless connectivity (micro cells)</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Base station radius: 200 m; active equipment cost €1000 per cell</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€143 billion</w:t>
            </w:r>
          </w:p>
        </w:tc>
      </w:tr>
      <w:tr w:rsidR="004C7085">
        <w:trPr>
          <w:trHeight w:val="20"/>
        </w:trPr>
        <w:tc>
          <w:tcPr>
            <w:tcW w:w="1323" w:type="dxa"/>
            <w:shd w:val="clear" w:color="auto" w:fill="auto"/>
          </w:tcPr>
          <w:p w:rsidR="004C7085" w:rsidRDefault="005163E3">
            <w:pPr>
              <w:rPr>
                <w:rFonts w:ascii="Times New Roman" w:hAnsi="Times New Roman"/>
                <w:b/>
                <w:noProof/>
                <w:color w:val="000000"/>
                <w:sz w:val="20"/>
              </w:rPr>
            </w:pPr>
            <w:r>
              <w:rPr>
                <w:rFonts w:ascii="Times New Roman" w:hAnsi="Times New Roman"/>
                <w:b/>
                <w:noProof/>
                <w:color w:val="000000"/>
                <w:sz w:val="20"/>
              </w:rPr>
              <w:t>Scenario E</w:t>
            </w:r>
          </w:p>
        </w:tc>
        <w:tc>
          <w:tcPr>
            <w:tcW w:w="247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Residential coverage for all the population with 1 Gbps fixed connectivity</w:t>
            </w:r>
          </w:p>
        </w:tc>
        <w:tc>
          <w:tcPr>
            <w:tcW w:w="3827" w:type="dxa"/>
          </w:tcPr>
          <w:p w:rsidR="004C7085" w:rsidRDefault="005163E3">
            <w:pPr>
              <w:rPr>
                <w:rFonts w:ascii="Times New Roman" w:hAnsi="Times New Roman"/>
                <w:noProof/>
                <w:color w:val="000000"/>
                <w:sz w:val="20"/>
              </w:rPr>
            </w:pPr>
            <w:r>
              <w:rPr>
                <w:rFonts w:ascii="Times New Roman" w:hAnsi="Times New Roman"/>
                <w:noProof/>
                <w:color w:val="000000"/>
                <w:sz w:val="20"/>
              </w:rPr>
              <w:t>1Gbps access available to all residential customers; 81% of them are assumed to take up services</w:t>
            </w:r>
          </w:p>
        </w:tc>
        <w:tc>
          <w:tcPr>
            <w:tcW w:w="1621" w:type="dxa"/>
            <w:shd w:val="clear" w:color="auto" w:fill="auto"/>
          </w:tcPr>
          <w:p w:rsidR="004C7085" w:rsidRDefault="005163E3">
            <w:pPr>
              <w:rPr>
                <w:rFonts w:ascii="Times New Roman" w:hAnsi="Times New Roman"/>
                <w:noProof/>
                <w:color w:val="000000"/>
                <w:sz w:val="20"/>
              </w:rPr>
            </w:pPr>
            <w:r>
              <w:rPr>
                <w:rFonts w:ascii="Times New Roman" w:hAnsi="Times New Roman"/>
                <w:noProof/>
                <w:color w:val="000000"/>
                <w:sz w:val="20"/>
              </w:rPr>
              <w:t>€183 billion</w:t>
            </w:r>
          </w:p>
        </w:tc>
      </w:tr>
    </w:tbl>
    <w:p w:rsidR="004C7085" w:rsidRDefault="004C7085">
      <w:pPr>
        <w:rPr>
          <w:rFonts w:ascii="Times New Roman" w:hAnsi="Times New Roman" w:cs="Times New Roman"/>
          <w:noProof/>
          <w:sz w:val="24"/>
        </w:rPr>
      </w:pPr>
    </w:p>
    <w:p w:rsidR="004C7085" w:rsidRDefault="005163E3">
      <w:pPr>
        <w:rPr>
          <w:rFonts w:ascii="Times New Roman" w:hAnsi="Times New Roman" w:cs="Times New Roman"/>
          <w:noProof/>
          <w:sz w:val="24"/>
        </w:rPr>
      </w:pPr>
      <w:r>
        <w:rPr>
          <w:rFonts w:ascii="Times New Roman" w:hAnsi="Times New Roman" w:cs="Times New Roman"/>
          <w:noProof/>
          <w:sz w:val="24"/>
        </w:rPr>
        <w:t>Figure 20 shows the total standalone costs for each of the above-mentioned scenarios.</w:t>
      </w:r>
    </w:p>
    <w:p w:rsidR="004C7085" w:rsidRDefault="005163E3">
      <w:pPr>
        <w:pStyle w:val="Heading4"/>
        <w:keepNext/>
        <w:rPr>
          <w:noProof/>
        </w:rPr>
      </w:pPr>
      <w:r>
        <w:rPr>
          <w:noProof/>
        </w:rPr>
        <w:t>Figure 20: Summary of the scenarios: Total costs split by technology and commercial viability).</w:t>
      </w:r>
    </w:p>
    <w:p w:rsidR="004C7085" w:rsidRDefault="005163E3">
      <w:pPr>
        <w:rPr>
          <w:rFonts w:ascii="Times New Roman" w:hAnsi="Times New Roman"/>
          <w:noProof/>
        </w:rPr>
      </w:pPr>
      <w:r>
        <w:rPr>
          <w:rFonts w:ascii="Times New Roman" w:hAnsi="Times New Roman"/>
          <w:noProof/>
          <w:lang w:eastAsia="en-GB"/>
        </w:rPr>
        <w:drawing>
          <wp:inline distT="0" distB="0" distL="0" distR="0" wp14:anchorId="37D6BA52" wp14:editId="43B6AAFD">
            <wp:extent cx="5448300" cy="3162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8300" cy="3162300"/>
                    </a:xfrm>
                    <a:prstGeom prst="rect">
                      <a:avLst/>
                    </a:prstGeom>
                    <a:noFill/>
                    <a:ln>
                      <a:noFill/>
                    </a:ln>
                  </pic:spPr>
                </pic:pic>
              </a:graphicData>
            </a:graphic>
          </wp:inline>
        </w:drawing>
      </w:r>
    </w:p>
    <w:p w:rsidR="004C7085" w:rsidRDefault="005163E3">
      <w:pPr>
        <w:rPr>
          <w:rFonts w:ascii="Times New Roman" w:hAnsi="Times New Roman" w:cs="Times New Roman"/>
          <w:i/>
          <w:noProof/>
          <w:sz w:val="20"/>
        </w:rPr>
      </w:pPr>
      <w:r>
        <w:rPr>
          <w:rFonts w:ascii="Times New Roman" w:hAnsi="Times New Roman" w:cs="Times New Roman"/>
          <w:i/>
          <w:noProof/>
          <w:sz w:val="20"/>
        </w:rPr>
        <w:t>For scenarios B and C costs reflect 95% population coverage. Source: Analysys Mason, 2016</w:t>
      </w:r>
    </w:p>
    <w:p w:rsidR="004C7085" w:rsidRDefault="005163E3">
      <w:pPr>
        <w:rPr>
          <w:rFonts w:ascii="Times New Roman" w:hAnsi="Times New Roman" w:cs="Times New Roman"/>
          <w:noProof/>
          <w:sz w:val="24"/>
        </w:rPr>
      </w:pPr>
      <w:r>
        <w:rPr>
          <w:rFonts w:ascii="Times New Roman" w:hAnsi="Times New Roman" w:cs="Times New Roman"/>
          <w:noProof/>
          <w:sz w:val="24"/>
        </w:rPr>
        <w:t>Despite the investments already undertaken, there is still a long way to go to complete any of the scenarios as to date at most roughly 25% of the total sum has been invested, as shown in Figure 21.</w:t>
      </w:r>
    </w:p>
    <w:p w:rsidR="004C7085" w:rsidRDefault="005163E3">
      <w:pPr>
        <w:pStyle w:val="Heading4"/>
        <w:keepNext/>
        <w:rPr>
          <w:noProof/>
        </w:rPr>
      </w:pPr>
      <w:r>
        <w:rPr>
          <w:noProof/>
        </w:rPr>
        <w:t>Figure 21: Summary of the scenarios: Investment already undertaken.</w:t>
      </w:r>
    </w:p>
    <w:p w:rsidR="004C7085" w:rsidRDefault="005163E3">
      <w:pPr>
        <w:rPr>
          <w:rFonts w:ascii="Times New Roman" w:hAnsi="Times New Roman"/>
          <w:noProof/>
        </w:rPr>
      </w:pPr>
      <w:r>
        <w:rPr>
          <w:rFonts w:ascii="Times New Roman" w:hAnsi="Times New Roman"/>
          <w:noProof/>
          <w:lang w:eastAsia="en-GB"/>
        </w:rPr>
        <w:drawing>
          <wp:inline distT="0" distB="0" distL="0" distR="0" wp14:anchorId="51CA8586" wp14:editId="617148CF">
            <wp:extent cx="5668645" cy="2377440"/>
            <wp:effectExtent l="0" t="0" r="8255" b="381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8645" cy="2377440"/>
                    </a:xfrm>
                    <a:prstGeom prst="rect">
                      <a:avLst/>
                    </a:prstGeom>
                    <a:noFill/>
                  </pic:spPr>
                </pic:pic>
              </a:graphicData>
            </a:graphic>
          </wp:inline>
        </w:drawing>
      </w:r>
    </w:p>
    <w:p w:rsidR="004C7085" w:rsidRDefault="005163E3">
      <w:pPr>
        <w:rPr>
          <w:rFonts w:ascii="Times New Roman" w:hAnsi="Times New Roman" w:cs="Times New Roman"/>
          <w:i/>
          <w:noProof/>
          <w:sz w:val="20"/>
        </w:rPr>
      </w:pPr>
      <w:r>
        <w:rPr>
          <w:rFonts w:ascii="Times New Roman" w:hAnsi="Times New Roman" w:cs="Times New Roman"/>
          <w:i/>
          <w:noProof/>
          <w:sz w:val="20"/>
        </w:rPr>
        <w:t>For scenarios B and C costs for 100% coverage. Source: Analysys Mason, 2016</w:t>
      </w:r>
    </w:p>
    <w:p w:rsidR="004C7085" w:rsidRDefault="005163E3">
      <w:pPr>
        <w:pStyle w:val="Heading3"/>
        <w:rPr>
          <w:rFonts w:ascii="Times New Roman" w:hAnsi="Times New Roman" w:cs="Times New Roman"/>
          <w:noProof/>
        </w:rPr>
      </w:pPr>
      <w:bookmarkStart w:id="161" w:name="_Toc458467536"/>
      <w:bookmarkStart w:id="162" w:name="_Toc458467537"/>
      <w:bookmarkStart w:id="163" w:name="_Toc461050806"/>
      <w:bookmarkEnd w:id="161"/>
      <w:r>
        <w:rPr>
          <w:rFonts w:ascii="Times New Roman" w:hAnsi="Times New Roman" w:cs="Times New Roman"/>
          <w:noProof/>
        </w:rPr>
        <w:t>The trajectory of private infrastructure investments</w:t>
      </w:r>
      <w:bookmarkEnd w:id="162"/>
      <w:bookmarkEnd w:id="163"/>
      <w:r>
        <w:rPr>
          <w:rFonts w:ascii="Times New Roman" w:hAnsi="Times New Roman" w:cs="Times New Roman"/>
          <w:noProof/>
        </w:rPr>
        <w:t xml:space="preserve"> </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Commission estimates, on the basis of trends throughout the decade to date, an annual investment by operators of €40 billion that should reach a cumulative investment of €360 billion by 2025. This baseline estimate is based on the projected overall capex for the period, based on continuation of most recent observable trends, and corrected on the basis of assumptions on non-network-related capital expenditure (e.g. terminal equipment such as routers /set-top boxes). </w:t>
      </w:r>
    </w:p>
    <w:p w:rsidR="004C7085" w:rsidRDefault="005163E3">
      <w:pPr>
        <w:pStyle w:val="Corps"/>
        <w:spacing w:after="120"/>
        <w:rPr>
          <w:rFonts w:cs="Times New Roman"/>
          <w:noProof/>
          <w:lang w:val="en-GB"/>
        </w:rPr>
      </w:pPr>
      <w:r>
        <w:rPr>
          <w:rFonts w:cs="Times New Roman"/>
          <w:noProof/>
          <w:lang w:val="en-GB"/>
        </w:rPr>
        <w:t xml:space="preserve">This calculation is in line with the growing interest from the private telecom sector in investing in the network. In November 2014, 10 CEOs of the main telecom and manufacturing companies committed to invest </w:t>
      </w:r>
      <w:r>
        <w:rPr>
          <w:noProof/>
          <w:lang w:val="en-GB"/>
        </w:rPr>
        <w:t>€</w:t>
      </w:r>
      <w:r>
        <w:rPr>
          <w:rFonts w:cs="Times New Roman"/>
          <w:noProof/>
          <w:lang w:val="en-GB"/>
        </w:rPr>
        <w:t>150 billion in CAPEX in Europe over five years, to play a major role in the Commission's agenda for investment, growth and employment</w:t>
      </w:r>
      <w:r>
        <w:rPr>
          <w:rFonts w:cs="Times New Roman"/>
          <w:noProof/>
          <w:vertAlign w:val="superscript"/>
        </w:rPr>
        <w:footnoteReference w:id="60"/>
      </w:r>
      <w:r>
        <w:rPr>
          <w:rFonts w:cs="Times New Roman"/>
          <w:noProof/>
          <w:lang w:val="en-GB"/>
        </w:rPr>
        <w:t xml:space="preserve">. </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This estimate also takes into account that a share of the investment required will be common to all proposed options and that certain synergies can be expected. For instance backhaul high-speed networks can be used across scenarios, and high–speed Internet access to socioeconomic drivers resulting in fibre deepening diminishes also the cost of connecting households in the same area. The exact amount of the spending saved through synergies depends on the scenarios selected and increases with the amount of investment.</w:t>
      </w:r>
    </w:p>
    <w:p w:rsidR="004C7085" w:rsidRDefault="004C7085">
      <w:pPr>
        <w:spacing w:after="120" w:line="240" w:lineRule="auto"/>
        <w:jc w:val="both"/>
        <w:rPr>
          <w:rFonts w:ascii="Times New Roman" w:hAnsi="Times New Roman" w:cs="Times New Roman"/>
          <w:noProof/>
          <w:sz w:val="24"/>
          <w:szCs w:val="24"/>
        </w:rPr>
      </w:pPr>
    </w:p>
    <w:p w:rsidR="004C7085" w:rsidRDefault="005163E3">
      <w:pPr>
        <w:pStyle w:val="Heading2"/>
        <w:spacing w:before="0" w:after="120" w:line="240" w:lineRule="auto"/>
        <w:rPr>
          <w:rFonts w:ascii="Times New Roman" w:hAnsi="Times New Roman" w:cs="Times New Roman"/>
          <w:noProof/>
        </w:rPr>
      </w:pPr>
      <w:bookmarkStart w:id="164" w:name="_Toc458188075"/>
      <w:bookmarkStart w:id="165" w:name="_Toc458188234"/>
      <w:bookmarkStart w:id="166" w:name="_Toc458450299"/>
      <w:bookmarkStart w:id="167" w:name="_Toc458461571"/>
      <w:bookmarkStart w:id="168" w:name="_Toc458467538"/>
      <w:bookmarkStart w:id="169" w:name="_Toc461050807"/>
      <w:r>
        <w:rPr>
          <w:rFonts w:ascii="Times New Roman" w:hAnsi="Times New Roman" w:cs="Times New Roman"/>
          <w:noProof/>
        </w:rPr>
        <w:t>The importance of defining objectives for broadband</w:t>
      </w:r>
      <w:bookmarkEnd w:id="164"/>
      <w:bookmarkEnd w:id="165"/>
      <w:bookmarkEnd w:id="166"/>
      <w:bookmarkEnd w:id="167"/>
      <w:bookmarkEnd w:id="168"/>
      <w:bookmarkEnd w:id="169"/>
    </w:p>
    <w:p w:rsidR="004C7085" w:rsidRDefault="005163E3">
      <w:pPr>
        <w:spacing w:after="120" w:line="240" w:lineRule="auto"/>
        <w:jc w:val="both"/>
        <w:rPr>
          <w:rFonts w:ascii="Times New Roman" w:hAnsi="Times New Roman"/>
          <w:noProof/>
          <w:sz w:val="24"/>
        </w:rPr>
      </w:pPr>
      <w:r>
        <w:rPr>
          <w:rFonts w:ascii="Times New Roman" w:hAnsi="Times New Roman" w:cs="Times New Roman"/>
          <w:noProof/>
          <w:sz w:val="24"/>
          <w:szCs w:val="24"/>
        </w:rPr>
        <w:t xml:space="preserve">In 2010 the Digital Agenda for Europe (DAE) defined objectives for connectivity by 2020: it introduced objectives of universal availability at 30 Mbps to ensure territorial cohesion in Europe and a penetration objective of 100 Mbps (subscription by at least 50% of European households) to anticipate future competitiveness needs.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objectives have progressively become a reference for public policy. </w:t>
      </w:r>
      <w:r>
        <w:rPr>
          <w:rStyle w:val="s12"/>
          <w:rFonts w:ascii="Times New Roman" w:hAnsi="Times New Roman" w:cs="Times New Roman"/>
          <w:noProof/>
          <w:sz w:val="24"/>
          <w:szCs w:val="24"/>
        </w:rPr>
        <w:t xml:space="preserve">In retrospect, the </w:t>
      </w:r>
      <w:r>
        <w:rPr>
          <w:rFonts w:ascii="Times New Roman" w:hAnsi="Times New Roman" w:cs="Times New Roman"/>
          <w:noProof/>
          <w:sz w:val="24"/>
          <w:szCs w:val="24"/>
        </w:rPr>
        <w:t xml:space="preserve">DAE objectives represented a sea change for European digital policy. Despite a lot of early scepticism, in particular from the private sector, the 2010 objectives succeeded in formulating the level of ambition and providing direction, consolidating first public and then increasingly private investment plans around the path towards 2020. The objectives were taken up as a reference point under the rules and guidelines in both the European Structural and Investment Funds and the Connecting Europe Facility (CEF Broadband), as well as under the Broadband State Aid guidelines.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Private sector investment plans are often adjusted to the objectives as well, and the expressed research and innovation ambition with regard to improvement of current technologies often refers to DAE objectives. At national level, setting objectives has become the cornerstone of broadband deployment public policy. Every Member State has today established broadband targets but also, on this basis and as shown in a recent study commissioned by the European Commission on National Broadband Plans in the EU</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adopted or planned a set of funding and regulatory measures aiming at reaching them.</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of objectives, in terms of setting direction and a European common approach based on common minimum standards, is well reflected in the overview of the NGN plans adopted by Member States. Many Member States have indeed aligned their national or regional NGN plans to the DAE speed categories.</w:t>
      </w:r>
    </w:p>
    <w:p w:rsidR="004C7085" w:rsidRDefault="005163E3">
      <w:pPr>
        <w:pStyle w:val="Heading4"/>
        <w:keepNext/>
        <w:rPr>
          <w:noProof/>
        </w:rPr>
      </w:pPr>
      <w:r>
        <w:rPr>
          <w:noProof/>
        </w:rPr>
        <w:t>Figure 22: Overview of the degree of alignment of NBP with DAE objectives: Map</w:t>
      </w:r>
    </w:p>
    <w:p w:rsidR="004C7085" w:rsidRDefault="005163E3">
      <w:pPr>
        <w:jc w:val="center"/>
        <w:rPr>
          <w:rFonts w:ascii="Times New Roman" w:hAnsi="Times New Roman" w:cs="Times New Roman"/>
          <w:i/>
          <w:noProof/>
          <w:color w:val="000000"/>
          <w:sz w:val="24"/>
          <w:u w:val="single"/>
        </w:rPr>
      </w:pPr>
      <w:r>
        <w:rPr>
          <w:rFonts w:ascii="Times New Roman" w:hAnsi="Times New Roman" w:cs="Times New Roman"/>
          <w:noProof/>
          <w:lang w:eastAsia="en-GB"/>
        </w:rPr>
        <w:t xml:space="preserve"> </w:t>
      </w:r>
      <w:r>
        <w:rPr>
          <w:rFonts w:ascii="Times New Roman" w:hAnsi="Times New Roman" w:cs="Times New Roman"/>
          <w:noProof/>
          <w:lang w:eastAsia="en-GB"/>
        </w:rPr>
        <w:drawing>
          <wp:inline distT="0" distB="0" distL="0" distR="0" wp14:anchorId="520312F3" wp14:editId="5AFAE7BE">
            <wp:extent cx="5495925" cy="5506928"/>
            <wp:effectExtent l="0" t="0" r="0" b="0"/>
            <wp:docPr id="291" name="Picture 291" descr="C:\Users\nasarfa.NET1\Desktop\map NBP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sarfa.NET1\Desktop\map NBP rev.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546" cy="5506548"/>
                    </a:xfrm>
                    <a:prstGeom prst="rect">
                      <a:avLst/>
                    </a:prstGeom>
                    <a:noFill/>
                    <a:ln>
                      <a:noFill/>
                    </a:ln>
                  </pic:spPr>
                </pic:pic>
              </a:graphicData>
            </a:graphic>
          </wp:inline>
        </w:drawing>
      </w:r>
      <w:r>
        <w:rPr>
          <w:rFonts w:ascii="Times New Roman" w:hAnsi="Times New Roman" w:cs="Times New Roman"/>
          <w:noProof/>
          <w:lang w:eastAsia="en-GB"/>
        </w:rPr>
        <w:t xml:space="preserve"> </w:t>
      </w:r>
    </w:p>
    <w:p w:rsidR="004C7085" w:rsidRDefault="005163E3">
      <w:pPr>
        <w:rPr>
          <w:rFonts w:ascii="Times New Roman" w:hAnsi="Times New Roman" w:cs="Times New Roman"/>
          <w:i/>
          <w:noProof/>
          <w:sz w:val="24"/>
          <w:u w:val="single"/>
          <w:lang w:val="en-US"/>
        </w:rPr>
      </w:pPr>
      <w:r>
        <w:rPr>
          <w:rFonts w:ascii="Times New Roman" w:hAnsi="Times New Roman" w:cs="Times New Roman"/>
          <w:i/>
          <w:noProof/>
          <w:sz w:val="24"/>
          <w:u w:val="single"/>
          <w:lang w:val="en-US"/>
        </w:rPr>
        <w:br w:type="page"/>
      </w:r>
    </w:p>
    <w:p w:rsidR="004C7085" w:rsidRDefault="005163E3">
      <w:pPr>
        <w:pStyle w:val="Heading4"/>
        <w:keepNext/>
        <w:rPr>
          <w:noProof/>
        </w:rPr>
      </w:pPr>
      <w:r>
        <w:rPr>
          <w:noProof/>
        </w:rPr>
        <w:t>Figure 23: Overview of the degree of alignment of NBP with DAE objectives: Table</w:t>
      </w:r>
    </w:p>
    <w:tbl>
      <w:tblPr>
        <w:tblStyle w:val="MediumList1-Accent5"/>
        <w:tblW w:w="9227" w:type="dxa"/>
        <w:tblLayout w:type="fixed"/>
        <w:tblLook w:val="0000" w:firstRow="0" w:lastRow="0" w:firstColumn="0" w:lastColumn="0" w:noHBand="0" w:noVBand="0"/>
      </w:tblPr>
      <w:tblGrid>
        <w:gridCol w:w="1668"/>
        <w:gridCol w:w="4677"/>
        <w:gridCol w:w="1418"/>
        <w:gridCol w:w="1464"/>
      </w:tblGrid>
      <w:tr w:rsidR="004C7085" w:rsidTr="004C7085">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1668" w:type="dxa"/>
            <w:shd w:val="clear" w:color="auto" w:fill="17365D" w:themeFill="text2" w:themeFillShade="BF"/>
          </w:tcPr>
          <w:p w:rsidR="004C7085" w:rsidRDefault="005163E3">
            <w:pPr>
              <w:jc w:val="center"/>
              <w:rPr>
                <w:rFonts w:ascii="Times New Roman" w:hAnsi="Times New Roman"/>
                <w:noProof/>
                <w:color w:val="FFFFFF" w:themeColor="background1"/>
              </w:rPr>
            </w:pPr>
            <w:r>
              <w:rPr>
                <w:rFonts w:ascii="Times New Roman" w:hAnsi="Times New Roman"/>
                <w:b/>
                <w:noProof/>
                <w:color w:val="FFFFFF" w:themeColor="background1"/>
              </w:rPr>
              <w:t>Member State</w:t>
            </w:r>
          </w:p>
        </w:tc>
        <w:tc>
          <w:tcPr>
            <w:tcW w:w="4677" w:type="dxa"/>
            <w:shd w:val="clear" w:color="auto" w:fill="17365D" w:themeFill="text2" w:themeFillShade="BF"/>
          </w:tcPr>
          <w:p w:rsidR="004C7085" w:rsidRDefault="005163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rPr>
            </w:pPr>
            <w:r>
              <w:rPr>
                <w:rFonts w:ascii="Times New Roman" w:hAnsi="Times New Roman"/>
                <w:b/>
                <w:noProof/>
                <w:color w:val="FFFFFF" w:themeColor="background1"/>
              </w:rPr>
              <w:t>NBP-objectives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17365D" w:themeFill="text2" w:themeFillShade="BF"/>
          </w:tcPr>
          <w:p w:rsidR="004C7085" w:rsidRDefault="005163E3">
            <w:pPr>
              <w:jc w:val="center"/>
              <w:rPr>
                <w:rFonts w:ascii="Times New Roman" w:hAnsi="Times New Roman"/>
                <w:noProof/>
                <w:color w:val="FFFFFF" w:themeColor="background1"/>
              </w:rPr>
            </w:pPr>
            <w:r>
              <w:rPr>
                <w:rFonts w:ascii="Times New Roman" w:hAnsi="Times New Roman"/>
                <w:b/>
                <w:noProof/>
                <w:color w:val="FFFFFF" w:themeColor="background1"/>
              </w:rPr>
              <w:t>National vs Coverage objective</w:t>
            </w:r>
          </w:p>
        </w:tc>
        <w:tc>
          <w:tcPr>
            <w:tcW w:w="1464" w:type="dxa"/>
            <w:shd w:val="clear" w:color="auto" w:fill="17365D" w:themeFill="text2" w:themeFillShade="BF"/>
          </w:tcPr>
          <w:p w:rsidR="004C7085" w:rsidRDefault="005163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rPr>
            </w:pPr>
            <w:r>
              <w:rPr>
                <w:rFonts w:ascii="Times New Roman" w:hAnsi="Times New Roman"/>
                <w:b/>
                <w:noProof/>
                <w:color w:val="FFFFFF" w:themeColor="background1"/>
              </w:rPr>
              <w:t>National vs take up objective</w:t>
            </w:r>
          </w:p>
        </w:tc>
      </w:tr>
      <w:tr w:rsidR="004C7085" w:rsidTr="004C7085">
        <w:trPr>
          <w:trHeight w:val="80"/>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Austria</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99% coverage with 100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Belgium</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50% connections with 1 Gbps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N.A.</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Bulgaria</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of households and 80% of businesses subscribing &gt; 100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Croatia</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Cyprus</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Czech Republic</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80"/>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Denmark</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100 Mbps download and 30 Mbps upload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Estonia</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60% coverage with 100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Finland</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99% of all permanent residences and offices should be located within 2km of an optic fibre network or cable network that enables connections of 100 Mbps</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N.A</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France</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100%coverage with 100 Mbps by 2022</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trHeight w:val="80"/>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Greece</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coverage with 100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Germany</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50 Mbps by 2018</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Hungary</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Ireland</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30Mbps by 2020</w:t>
            </w:r>
            <w:r>
              <w:rPr>
                <w:rFonts w:ascii="Times New Roman" w:hAnsi="Times New Roman"/>
                <w:noProof/>
              </w:rPr>
              <w:br/>
              <w:t>50% HH penetration with 100Mbps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Italy</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100% coverage with 30 Mbps by 2020 </w:t>
            </w:r>
            <w:r>
              <w:rPr>
                <w:rFonts w:ascii="Times New Roman" w:hAnsi="Times New Roman"/>
                <w:noProof/>
              </w:rPr>
              <w:br/>
              <w:t>85% HH coverage to reach 50% penetration of 100 Mbps services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Latvia</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Lithuania</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coverage with 100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Luxembourg</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1 Gbps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Malta</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Netherlands</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Poland</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Portugal</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Romania</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80% coverage with 30 Mbps by 2020</w:t>
            </w:r>
            <w:r>
              <w:rPr>
                <w:rFonts w:ascii="Times New Roman" w:hAnsi="Times New Roman"/>
                <w:noProof/>
              </w:rPr>
              <w:br/>
              <w:t>45%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Slovakia</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Slovenia</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96% coverage with 100 Mbps</w:t>
            </w:r>
            <w:r>
              <w:rPr>
                <w:rFonts w:ascii="Times New Roman" w:hAnsi="Times New Roman"/>
                <w:noProof/>
              </w:rPr>
              <w:br/>
              <w:t>4% coverage 30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Spain</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100% coverage with 30 Mbps by 2020</w:t>
            </w:r>
            <w:r>
              <w:rPr>
                <w:rFonts w:ascii="Times New Roman" w:hAnsi="Times New Roman"/>
                <w:noProof/>
              </w:rPr>
              <w:br/>
              <w:t>50% HH penetration with 100 Mbps service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w:t>
            </w:r>
          </w:p>
        </w:tc>
      </w:tr>
      <w:tr w:rsidR="004C7085" w:rsidTr="004C7085">
        <w:trPr>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Sweden</w:t>
            </w:r>
          </w:p>
        </w:tc>
        <w:tc>
          <w:tcPr>
            <w:tcW w:w="4677"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90% coverage with 100 Mbps by 2020</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N.A.</w:t>
            </w:r>
          </w:p>
        </w:tc>
      </w:tr>
      <w:tr w:rsidR="004C7085" w:rsidTr="004C7085">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668" w:type="dxa"/>
          </w:tcPr>
          <w:p w:rsidR="004C7085" w:rsidRDefault="005163E3">
            <w:pPr>
              <w:rPr>
                <w:rFonts w:ascii="Times New Roman" w:hAnsi="Times New Roman"/>
                <w:noProof/>
              </w:rPr>
            </w:pPr>
            <w:r>
              <w:rPr>
                <w:rFonts w:ascii="Times New Roman" w:hAnsi="Times New Roman"/>
                <w:noProof/>
              </w:rPr>
              <w:t>United Kingdom</w:t>
            </w:r>
          </w:p>
        </w:tc>
        <w:tc>
          <w:tcPr>
            <w:tcW w:w="4677"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95% coverage with superfast broadband by 2017</w:t>
            </w:r>
          </w:p>
        </w:tc>
        <w:tc>
          <w:tcPr>
            <w:cnfStyle w:val="000010000000" w:firstRow="0" w:lastRow="0" w:firstColumn="0" w:lastColumn="0" w:oddVBand="1" w:evenVBand="0" w:oddHBand="0" w:evenHBand="0" w:firstRowFirstColumn="0" w:firstRowLastColumn="0" w:lastRowFirstColumn="0" w:lastRowLastColumn="0"/>
            <w:tcW w:w="1418" w:type="dxa"/>
          </w:tcPr>
          <w:p w:rsidR="004C7085" w:rsidRDefault="005163E3">
            <w:pPr>
              <w:rPr>
                <w:rFonts w:ascii="Times New Roman" w:hAnsi="Times New Roman"/>
                <w:noProof/>
              </w:rPr>
            </w:pPr>
            <w:r>
              <w:rPr>
                <w:rFonts w:ascii="Times New Roman" w:hAnsi="Times New Roman"/>
                <w:noProof/>
              </w:rPr>
              <w:t>-</w:t>
            </w:r>
          </w:p>
        </w:tc>
        <w:tc>
          <w:tcPr>
            <w:tcW w:w="1464" w:type="dxa"/>
          </w:tcPr>
          <w:p w:rsidR="004C7085" w:rsidRDefault="005163E3">
            <w:pP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N.A.</w:t>
            </w:r>
          </w:p>
        </w:tc>
      </w:tr>
    </w:tbl>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i/>
          <w:noProof/>
          <w:sz w:val="20"/>
        </w:rPr>
        <w:t>Source:</w:t>
      </w:r>
      <w:r>
        <w:rPr>
          <w:noProof/>
        </w:rPr>
        <w:t xml:space="preserve"> </w:t>
      </w:r>
      <w:r>
        <w:rPr>
          <w:rFonts w:ascii="Times New Roman" w:hAnsi="Times New Roman" w:cs="Times New Roman"/>
          <w:i/>
          <w:noProof/>
          <w:sz w:val="20"/>
        </w:rPr>
        <w:t>National Broadband Plans in the EU -28 Smart 2014/007; AteneKom</w:t>
      </w:r>
    </w:p>
    <w:p w:rsidR="004C7085" w:rsidRDefault="005163E3">
      <w:pPr>
        <w:pStyle w:val="Heading2"/>
        <w:spacing w:before="0" w:after="120" w:line="240" w:lineRule="auto"/>
        <w:rPr>
          <w:rFonts w:ascii="Times New Roman" w:hAnsi="Times New Roman" w:cs="Times New Roman"/>
          <w:noProof/>
          <w:color w:val="365F91" w:themeColor="accent1" w:themeShade="BF"/>
          <w:sz w:val="28"/>
        </w:rPr>
      </w:pPr>
      <w:r>
        <w:rPr>
          <w:rFonts w:ascii="Times New Roman" w:hAnsi="Times New Roman" w:cs="Times New Roman"/>
          <w:i/>
          <w:noProof/>
          <w:color w:val="000000"/>
          <w:sz w:val="24"/>
          <w:u w:val="single"/>
        </w:rPr>
        <w:br w:type="page"/>
      </w:r>
      <w:bookmarkStart w:id="170" w:name="_Toc458161132"/>
    </w:p>
    <w:p w:rsidR="004C7085" w:rsidRDefault="005163E3">
      <w:pPr>
        <w:pStyle w:val="Heading1"/>
        <w:spacing w:before="0" w:after="120" w:line="240" w:lineRule="auto"/>
        <w:rPr>
          <w:rFonts w:ascii="Times New Roman" w:hAnsi="Times New Roman"/>
          <w:noProof/>
          <w:u w:val="single"/>
        </w:rPr>
      </w:pPr>
      <w:bookmarkStart w:id="171" w:name="_Toc458188078"/>
      <w:bookmarkStart w:id="172" w:name="_Toc458188237"/>
      <w:bookmarkStart w:id="173" w:name="_Toc458450302"/>
      <w:bookmarkStart w:id="174" w:name="_Toc458461574"/>
      <w:bookmarkStart w:id="175" w:name="_Toc458467540"/>
      <w:bookmarkStart w:id="176" w:name="_Toc458257425"/>
      <w:bookmarkStart w:id="177" w:name="_Toc461050808"/>
      <w:r>
        <w:rPr>
          <w:rFonts w:ascii="Times New Roman" w:hAnsi="Times New Roman"/>
          <w:noProof/>
          <w:u w:val="single"/>
        </w:rPr>
        <w:t>Strategic objectives</w:t>
      </w:r>
      <w:bookmarkEnd w:id="170"/>
      <w:bookmarkEnd w:id="171"/>
      <w:bookmarkEnd w:id="172"/>
      <w:bookmarkEnd w:id="173"/>
      <w:bookmarkEnd w:id="174"/>
      <w:bookmarkEnd w:id="175"/>
      <w:bookmarkEnd w:id="176"/>
      <w:r>
        <w:rPr>
          <w:rFonts w:ascii="Times New Roman" w:hAnsi="Times New Roman"/>
          <w:noProof/>
          <w:u w:val="single"/>
        </w:rPr>
        <w:t xml:space="preserve"> for 2025</w:t>
      </w:r>
      <w:bookmarkEnd w:id="177"/>
      <w:r>
        <w:rPr>
          <w:rFonts w:ascii="Times New Roman" w:hAnsi="Times New Roman"/>
          <w:noProof/>
          <w:u w:val="single"/>
        </w:rPr>
        <w:t xml:space="preserve"> </w:t>
      </w:r>
    </w:p>
    <w:p w:rsidR="004C7085" w:rsidRDefault="005163E3">
      <w:pPr>
        <w:pStyle w:val="Heading2"/>
        <w:spacing w:before="0" w:after="120" w:line="240" w:lineRule="auto"/>
        <w:rPr>
          <w:rFonts w:ascii="Times New Roman" w:hAnsi="Times New Roman"/>
          <w:noProof/>
        </w:rPr>
      </w:pPr>
      <w:bookmarkStart w:id="178" w:name="_Toc458450303"/>
      <w:bookmarkStart w:id="179" w:name="_Toc458461575"/>
      <w:bookmarkStart w:id="180" w:name="_Toc458467541"/>
      <w:bookmarkStart w:id="181" w:name="_Toc458257426"/>
      <w:bookmarkStart w:id="182" w:name="_Toc461050809"/>
      <w:r>
        <w:rPr>
          <w:rFonts w:ascii="Times New Roman" w:hAnsi="Times New Roman" w:cs="Times New Roman"/>
          <w:noProof/>
        </w:rPr>
        <w:t xml:space="preserve">The importance of setting realistic political guiding </w:t>
      </w:r>
      <w:bookmarkEnd w:id="178"/>
      <w:bookmarkEnd w:id="179"/>
      <w:bookmarkEnd w:id="180"/>
      <w:bookmarkEnd w:id="181"/>
      <w:r>
        <w:rPr>
          <w:rFonts w:ascii="Times New Roman" w:hAnsi="Times New Roman" w:cs="Times New Roman"/>
          <w:noProof/>
        </w:rPr>
        <w:t>objectives</w:t>
      </w:r>
      <w:bookmarkEnd w:id="182"/>
      <w:r>
        <w:rPr>
          <w:rFonts w:ascii="Times New Roman" w:hAnsi="Times New Roman"/>
          <w:noProof/>
        </w:rPr>
        <w:t xml:space="preserve"> </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The Europe 2020 Strategy</w:t>
      </w:r>
      <w:r>
        <w:rPr>
          <w:rStyle w:val="FootnoteReference"/>
          <w:rFonts w:ascii="Times New Roman" w:hAnsi="Times New Roman" w:cs="Times New Roman"/>
          <w:noProof/>
          <w:sz w:val="24"/>
        </w:rPr>
        <w:footnoteReference w:id="62"/>
      </w:r>
      <w:r>
        <w:rPr>
          <w:rFonts w:ascii="Times New Roman" w:hAnsi="Times New Roman" w:cs="Times New Roman"/>
          <w:noProof/>
          <w:sz w:val="24"/>
        </w:rPr>
        <w:t xml:space="preserve"> set five ambitious objectives - on employment, innovation, education, social inclusion and climate/energy - to be reached by 2020. Each Member State has adopted its own national targets in each of these areas, underpinned by concrete actions at EU and national levels.</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Political objectives – also sometimes called targets - are recognised as a clear signal of priorities to be achieved and as a way of influencing decision-making – by both public and private players – on a continuous and homogeneous basis. By themselves they cannot resolve the </w:t>
      </w:r>
      <w:r>
        <w:rPr>
          <w:rFonts w:ascii="Times New Roman" w:hAnsi="Times New Roman"/>
          <w:noProof/>
          <w:sz w:val="24"/>
          <w:szCs w:val="24"/>
        </w:rPr>
        <w:t>challenges</w:t>
      </w:r>
      <w:r>
        <w:rPr>
          <w:rFonts w:ascii="Times New Roman" w:hAnsi="Times New Roman"/>
          <w:noProof/>
          <w:sz w:val="24"/>
        </w:rPr>
        <w:t xml:space="preserve"> related to</w:t>
      </w:r>
      <w:r>
        <w:rPr>
          <w:rFonts w:ascii="Times New Roman" w:hAnsi="Times New Roman"/>
          <w:noProof/>
          <w:sz w:val="24"/>
          <w:szCs w:val="24"/>
        </w:rPr>
        <w:t xml:space="preserve"> achieving</w:t>
      </w:r>
      <w:r>
        <w:rPr>
          <w:rFonts w:ascii="Times New Roman" w:hAnsi="Times New Roman"/>
          <w:noProof/>
          <w:sz w:val="24"/>
        </w:rPr>
        <w:t xml:space="preserve"> them; additional instruments – policy, funding and legislation, have to be used so that they are fully effective. Well defined objectives can nonetheless have an early effect on private investor decision making if there is a clear public policy commitment to achieve them, by mobilising public support through available instruments, and avoiding public policy interventions which would be counter-effective.</w:t>
      </w:r>
    </w:p>
    <w:p w:rsidR="004C7085" w:rsidRDefault="005163E3">
      <w:pPr>
        <w:pStyle w:val="Corps"/>
        <w:spacing w:after="120"/>
        <w:rPr>
          <w:rFonts w:cs="Times New Roman"/>
          <w:noProof/>
          <w:lang w:val="en-GB"/>
        </w:rPr>
      </w:pPr>
      <w:r>
        <w:rPr>
          <w:rFonts w:cs="Times New Roman"/>
          <w:noProof/>
          <w:lang w:val="en-GB"/>
        </w:rPr>
        <w:t xml:space="preserve">An increasing number of EU Member States is already focusing on new objectives beyond those set in the Europe 2020 Strategy, notably with a view to providing businesses and the public sector with Gigabit connectivity. In Bulgaria, structural funds help connecting community centres. In Poland, all schools will be connected with at least 100 Mbps, and some bigger ones even with 1 Gbps by 2017. Similarly, in Ireland, 750 schools have been connected with 100 Mbps in 2014 and the program is continuing. </w:t>
      </w:r>
    </w:p>
    <w:p w:rsidR="004C7085" w:rsidRDefault="005163E3">
      <w:pPr>
        <w:pStyle w:val="Corps"/>
        <w:spacing w:after="120"/>
        <w:rPr>
          <w:rFonts w:cs="Times New Roman"/>
          <w:noProof/>
          <w:lang w:val="en-GB"/>
        </w:rPr>
      </w:pPr>
      <w:r>
        <w:rPr>
          <w:rFonts w:cs="Times New Roman"/>
          <w:noProof/>
          <w:lang w:val="en-GB"/>
        </w:rPr>
        <w:t>Outside the EU, in South Korea, the Giga Korea project has the ultimate goal of building a digital information distribution infrastructure for a Gbps fixed-line and mobile connection network covering all people by 2020</w:t>
      </w:r>
      <w:r>
        <w:rPr>
          <w:rStyle w:val="FootnoteReference"/>
          <w:rFonts w:cs="Times New Roman"/>
          <w:noProof/>
          <w:lang w:val="en-GB"/>
        </w:rPr>
        <w:footnoteReference w:id="63"/>
      </w:r>
      <w:r>
        <w:rPr>
          <w:rFonts w:cs="Times New Roman"/>
          <w:noProof/>
          <w:lang w:val="en-GB"/>
        </w:rPr>
        <w:t>. The US have the ambition that e</w:t>
      </w:r>
      <w:r>
        <w:rPr>
          <w:rFonts w:cs="Times New Roman"/>
          <w:noProof/>
          <w:lang w:val="en-US"/>
        </w:rPr>
        <w:t xml:space="preserve">very American </w:t>
      </w:r>
      <w:r>
        <w:rPr>
          <w:rFonts w:cs="Times New Roman"/>
          <w:noProof/>
          <w:lang w:val="en-GB"/>
        </w:rPr>
        <w:t>community should have affordable access to at least 1 Gbps broadband service to anchor institutions such as schools, hospitals and government buildings by 2020. Russia plans to make 100 Mbps available to 80% of Russian residents by 2018.</w:t>
      </w:r>
    </w:p>
    <w:p w:rsidR="004C7085" w:rsidRDefault="005163E3">
      <w:pPr>
        <w:spacing w:after="120" w:line="240" w:lineRule="auto"/>
        <w:jc w:val="both"/>
        <w:rPr>
          <w:rFonts w:ascii="Times New Roman" w:eastAsia="Arial Unicode MS" w:hAnsi="Times New Roman" w:cs="Times New Roman"/>
          <w:noProof/>
          <w:color w:val="000000"/>
          <w:sz w:val="24"/>
          <w:szCs w:val="24"/>
          <w:u w:color="000000"/>
          <w:bdr w:val="nil"/>
          <w:lang w:eastAsia="en-GB"/>
        </w:rPr>
      </w:pPr>
      <w:r>
        <w:rPr>
          <w:rFonts w:ascii="Times New Roman" w:eastAsia="Arial Unicode MS" w:hAnsi="Times New Roman" w:cs="Times New Roman"/>
          <w:noProof/>
          <w:color w:val="000000"/>
          <w:sz w:val="24"/>
          <w:szCs w:val="24"/>
          <w:u w:color="000000"/>
          <w:bdr w:val="nil"/>
          <w:lang w:eastAsia="en-GB"/>
        </w:rPr>
        <w:t>Against this background the European Commission has identified 3 strategic objectives for 2025 that will complement those set up for 2020:</w:t>
      </w:r>
    </w:p>
    <w:p w:rsidR="004C7085" w:rsidRDefault="005163E3">
      <w:pPr>
        <w:spacing w:after="120" w:line="240" w:lineRule="auto"/>
        <w:ind w:left="720" w:hanging="720"/>
        <w:jc w:val="both"/>
        <w:rPr>
          <w:rFonts w:ascii="Times New Roman" w:eastAsia="Arial Unicode MS" w:hAnsi="Times New Roman" w:cs="Times New Roman"/>
          <w:noProof/>
          <w:color w:val="000000"/>
          <w:sz w:val="24"/>
          <w:szCs w:val="24"/>
          <w:u w:color="000000"/>
          <w:bdr w:val="nil"/>
          <w:lang w:eastAsia="en-GB"/>
        </w:rPr>
      </w:pPr>
      <w:r>
        <w:rPr>
          <w:rFonts w:ascii="Times New Roman" w:eastAsia="Arial Unicode MS" w:hAnsi="Times New Roman" w:cs="Times New Roman"/>
          <w:noProof/>
          <w:color w:val="000000"/>
          <w:sz w:val="24"/>
          <w:szCs w:val="24"/>
          <w:u w:color="000000"/>
          <w:bdr w:val="nil"/>
          <w:lang w:eastAsia="en-GB"/>
        </w:rPr>
        <w:t>1.</w:t>
      </w:r>
      <w:r>
        <w:rPr>
          <w:rFonts w:ascii="Times New Roman" w:eastAsia="Arial Unicode MS" w:hAnsi="Times New Roman" w:cs="Times New Roman"/>
          <w:noProof/>
          <w:color w:val="000000"/>
          <w:sz w:val="24"/>
          <w:szCs w:val="24"/>
          <w:u w:color="000000"/>
          <w:bdr w:val="nil"/>
          <w:lang w:eastAsia="en-GB"/>
        </w:rPr>
        <w:tab/>
      </w:r>
      <w:r>
        <w:rPr>
          <w:rFonts w:ascii="Times New Roman" w:hAnsi="Times New Roman"/>
          <w:noProof/>
          <w:sz w:val="24"/>
          <w:szCs w:val="24"/>
        </w:rPr>
        <w:t xml:space="preserve">Gigabit connectivity </w:t>
      </w:r>
      <w:r>
        <w:rPr>
          <w:rFonts w:ascii="Times New Roman" w:hAnsi="Times New Roman"/>
          <w:noProof/>
          <w:sz w:val="24"/>
        </w:rPr>
        <w:t xml:space="preserve">for all main </w:t>
      </w:r>
      <w:r>
        <w:rPr>
          <w:rFonts w:ascii="Times New Roman" w:hAnsi="Times New Roman"/>
          <w:noProof/>
          <w:sz w:val="24"/>
          <w:szCs w:val="24"/>
        </w:rPr>
        <w:t>socio</w:t>
      </w:r>
      <w:r>
        <w:rPr>
          <w:rFonts w:ascii="Times New Roman" w:hAnsi="Times New Roman"/>
          <w:noProof/>
          <w:sz w:val="24"/>
        </w:rPr>
        <w:t>-economic drivers such as schools, transport hubs and main providers of public services</w:t>
      </w:r>
      <w:r>
        <w:rPr>
          <w:rStyle w:val="FootnoteReference"/>
          <w:rFonts w:ascii="Times New Roman" w:hAnsi="Times New Roman"/>
          <w:noProof/>
          <w:sz w:val="24"/>
        </w:rPr>
        <w:footnoteReference w:id="64"/>
      </w:r>
      <w:r>
        <w:rPr>
          <w:rFonts w:ascii="Times New Roman" w:hAnsi="Times New Roman"/>
          <w:noProof/>
          <w:sz w:val="24"/>
        </w:rPr>
        <w:t xml:space="preserve"> as well as </w:t>
      </w:r>
      <w:r>
        <w:rPr>
          <w:rFonts w:ascii="Times New Roman" w:hAnsi="Times New Roman"/>
          <w:noProof/>
          <w:sz w:val="24"/>
          <w:szCs w:val="24"/>
        </w:rPr>
        <w:t>digitally intensive enterprises.</w:t>
      </w:r>
    </w:p>
    <w:p w:rsidR="004C7085" w:rsidRDefault="005163E3">
      <w:pPr>
        <w:spacing w:after="120" w:line="240" w:lineRule="auto"/>
        <w:ind w:left="720" w:hanging="720"/>
        <w:jc w:val="both"/>
        <w:rPr>
          <w:rFonts w:ascii="Times New Roman" w:eastAsia="Arial Unicode MS" w:hAnsi="Times New Roman" w:cs="Times New Roman"/>
          <w:noProof/>
          <w:color w:val="000000"/>
          <w:sz w:val="24"/>
          <w:szCs w:val="24"/>
          <w:u w:color="000000"/>
          <w:bdr w:val="nil"/>
          <w:lang w:eastAsia="en-GB"/>
        </w:rPr>
      </w:pPr>
      <w:r>
        <w:rPr>
          <w:rFonts w:ascii="Times New Roman" w:eastAsia="Arial Unicode MS" w:hAnsi="Times New Roman" w:cs="Times New Roman"/>
          <w:noProof/>
          <w:color w:val="000000"/>
          <w:sz w:val="24"/>
          <w:szCs w:val="24"/>
          <w:u w:color="000000"/>
          <w:bdr w:val="nil"/>
          <w:lang w:eastAsia="en-GB"/>
        </w:rPr>
        <w:t>2.</w:t>
      </w:r>
      <w:r>
        <w:rPr>
          <w:rFonts w:ascii="Times New Roman" w:eastAsia="Arial Unicode MS" w:hAnsi="Times New Roman" w:cs="Times New Roman"/>
          <w:noProof/>
          <w:color w:val="000000"/>
          <w:sz w:val="24"/>
          <w:szCs w:val="24"/>
          <w:u w:color="000000"/>
          <w:bdr w:val="nil"/>
          <w:lang w:eastAsia="en-GB"/>
        </w:rPr>
        <w:tab/>
      </w:r>
      <w:r>
        <w:rPr>
          <w:rFonts w:ascii="Times New Roman" w:hAnsi="Times New Roman"/>
          <w:noProof/>
          <w:sz w:val="24"/>
          <w:szCs w:val="24"/>
        </w:rPr>
        <w:t>All urban areas</w:t>
      </w:r>
      <w:r>
        <w:rPr>
          <w:rStyle w:val="FootnoteReference"/>
          <w:rFonts w:ascii="Times New Roman" w:hAnsi="Times New Roman"/>
          <w:noProof/>
          <w:sz w:val="24"/>
          <w:szCs w:val="24"/>
        </w:rPr>
        <w:footnoteReference w:id="65"/>
      </w:r>
      <w:r>
        <w:rPr>
          <w:rFonts w:ascii="Times New Roman" w:hAnsi="Times New Roman"/>
          <w:noProof/>
          <w:sz w:val="24"/>
          <w:szCs w:val="24"/>
        </w:rPr>
        <w:t xml:space="preserve"> and all major terrestrial transport paths</w:t>
      </w:r>
      <w:r>
        <w:rPr>
          <w:rStyle w:val="FootnoteReference"/>
          <w:rFonts w:ascii="Times New Roman" w:hAnsi="Times New Roman"/>
          <w:noProof/>
          <w:sz w:val="24"/>
          <w:szCs w:val="24"/>
        </w:rPr>
        <w:footnoteReference w:id="66"/>
      </w:r>
      <w:r>
        <w:rPr>
          <w:noProof/>
          <w:color w:val="1F497D"/>
        </w:rPr>
        <w:t xml:space="preserve"> </w:t>
      </w:r>
      <w:r>
        <w:rPr>
          <w:rFonts w:ascii="Times New Roman" w:hAnsi="Times New Roman"/>
          <w:noProof/>
          <w:sz w:val="24"/>
          <w:szCs w:val="24"/>
        </w:rPr>
        <w:t>to have uninterrupted 5G coverage.</w:t>
      </w:r>
    </w:p>
    <w:p w:rsidR="004C7085" w:rsidRDefault="005163E3">
      <w:pPr>
        <w:spacing w:after="120" w:line="240" w:lineRule="auto"/>
        <w:ind w:left="720"/>
        <w:jc w:val="both"/>
        <w:rPr>
          <w:rFonts w:ascii="Times New Roman" w:eastAsia="Arial Unicode MS" w:hAnsi="Times New Roman" w:cs="Times New Roman"/>
          <w:noProof/>
          <w:color w:val="000000"/>
          <w:sz w:val="24"/>
          <w:szCs w:val="24"/>
          <w:u w:color="000000"/>
          <w:bdr w:val="nil"/>
          <w:lang w:eastAsia="en-GB"/>
        </w:rPr>
      </w:pPr>
      <w:r>
        <w:rPr>
          <w:rFonts w:ascii="Times New Roman" w:eastAsia="Arial Unicode MS" w:hAnsi="Times New Roman" w:cs="Times New Roman"/>
          <w:noProof/>
          <w:color w:val="000000"/>
          <w:sz w:val="24"/>
          <w:szCs w:val="24"/>
          <w:u w:color="000000"/>
          <w:bdr w:val="nil"/>
          <w:lang w:eastAsia="en-GB"/>
        </w:rPr>
        <w:t>As an Intermediate objective for 2020, 5G connectivity to be available as a fully-fledged commercial service in at least one major city in each Member State, building on commercial introduction in 2018.</w:t>
      </w:r>
    </w:p>
    <w:p w:rsidR="004C7085" w:rsidRDefault="005163E3">
      <w:pPr>
        <w:spacing w:after="120" w:line="240" w:lineRule="auto"/>
        <w:ind w:left="720" w:hanging="720"/>
        <w:jc w:val="both"/>
        <w:rPr>
          <w:rFonts w:ascii="Times New Roman" w:eastAsia="Arial Unicode MS" w:hAnsi="Times New Roman" w:cs="Times New Roman"/>
          <w:noProof/>
          <w:color w:val="000000"/>
          <w:sz w:val="24"/>
          <w:szCs w:val="24"/>
          <w:u w:color="000000"/>
          <w:bdr w:val="nil"/>
          <w:lang w:eastAsia="en-GB"/>
        </w:rPr>
      </w:pPr>
      <w:r>
        <w:rPr>
          <w:rFonts w:ascii="Times New Roman" w:eastAsia="Arial Unicode MS" w:hAnsi="Times New Roman" w:cs="Times New Roman"/>
          <w:noProof/>
          <w:color w:val="000000"/>
          <w:sz w:val="24"/>
          <w:szCs w:val="24"/>
          <w:u w:color="000000"/>
          <w:bdr w:val="nil"/>
          <w:lang w:eastAsia="en-GB"/>
        </w:rPr>
        <w:t>3.</w:t>
      </w:r>
      <w:r>
        <w:rPr>
          <w:rFonts w:ascii="Times New Roman" w:eastAsia="Arial Unicode MS" w:hAnsi="Times New Roman" w:cs="Times New Roman"/>
          <w:noProof/>
          <w:color w:val="000000"/>
          <w:sz w:val="24"/>
          <w:szCs w:val="24"/>
          <w:u w:color="000000"/>
          <w:bdr w:val="nil"/>
          <w:lang w:eastAsia="en-GB"/>
        </w:rPr>
        <w:tab/>
        <w:t>All European households, rural or urban, to have access to Internet connectivity offering a downlink of at least 100 Mbps, upgradable to Gigabit speed.</w:t>
      </w:r>
    </w:p>
    <w:p w:rsidR="004C7085" w:rsidRDefault="005163E3">
      <w:pPr>
        <w:pStyle w:val="Heading2"/>
        <w:spacing w:before="0" w:after="120" w:line="240" w:lineRule="auto"/>
        <w:rPr>
          <w:rFonts w:ascii="Times New Roman" w:hAnsi="Times New Roman"/>
          <w:noProof/>
        </w:rPr>
      </w:pPr>
      <w:bookmarkStart w:id="183" w:name="_Toc458188080"/>
      <w:bookmarkStart w:id="184" w:name="_Toc458188239"/>
      <w:bookmarkStart w:id="185" w:name="_Toc458450304"/>
      <w:bookmarkStart w:id="186" w:name="_Toc458461576"/>
      <w:bookmarkStart w:id="187" w:name="_Toc458467542"/>
      <w:bookmarkStart w:id="188" w:name="_Toc458257427"/>
      <w:bookmarkStart w:id="189" w:name="_Toc461050810"/>
      <w:r>
        <w:rPr>
          <w:rFonts w:ascii="Times New Roman" w:hAnsi="Times New Roman"/>
          <w:noProof/>
        </w:rPr>
        <w:t>Leveraging mutually reinforcing objectives and existing infrastructures</w:t>
      </w:r>
      <w:bookmarkEnd w:id="183"/>
      <w:bookmarkEnd w:id="184"/>
      <w:bookmarkEnd w:id="185"/>
      <w:bookmarkEnd w:id="186"/>
      <w:bookmarkEnd w:id="187"/>
      <w:bookmarkEnd w:id="188"/>
      <w:bookmarkEnd w:id="189"/>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 xml:space="preserve">Demand developments (see section 2.2.) confirm the virtuous dynamic between availability and take-up of VHC broadband services. Given the very slow start of take-up for 100 Mbps services in Europe, the strategic objectives for 2025 need to a) maximise the number of Europeans who have access to VHC networks for a given cost as well as b) enable the most innovative and beneficial connected services to be used throughout the Digital Single Market. </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 xml:space="preserve">The new strategic objectives proposed for 2025 are therefore mutually reinforcing, focusing on entities which are best placed to further stimulate the demand for and use of online services and applications and on encouraging synergies in network expansion. They all require the deployment of VHC networks. </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 xml:space="preserve">The deployment of VHC fixed networks will also contribute to the backhaul needs for the upcoming dense 5G wireless network deployments as close as possible to the end-user, thus strengthening the convergence between mobile and fixed networks. </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The new objectives for 2025 build on the DAE objectives, in particular on the 100 Mbps objective. Indeed, the efforts to reach the 100 Mbps DAE objective will contribute to the achievement of the objectives for 2025.</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 xml:space="preserve">The new strategic objective to reach </w:t>
      </w:r>
      <w:r>
        <w:rPr>
          <w:rFonts w:cs="Times New Roman"/>
          <w:noProof/>
          <w:u w:val="single"/>
          <w:lang w:val="en-GB"/>
        </w:rPr>
        <w:t>all</w:t>
      </w:r>
      <w:r>
        <w:rPr>
          <w:rFonts w:cs="Times New Roman"/>
          <w:noProof/>
          <w:lang w:val="en-GB"/>
        </w:rPr>
        <w:t xml:space="preserve"> European households with 100 Mbps builds on and reinforces the 100 Mbps DAE objective (50% of households having 100 Mbps subscriptions or higher). It is very likely that particularly rural area networks built to reach the 30 Mbps DAE objectives in 2020, will be able to deliver 100 Mbps in 2025, as it is economically advantageous for mobile operators to expand networks coverage into rural areas (e.g. by serving 5G base stations with the same backhaul). </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In addition, reaching the DAE 100 Mbps take-up objective can only be done with far-reaching deployment of VHC networks. Reaching the first and second strategic objectives, can thus benefit from using such deployments, bearing in mind that at least 75-80% of the population has to be covered with such networks for at least 50% of European households to actually subscribe to 100 Mbps services.</w:t>
      </w:r>
    </w:p>
    <w:p w:rsidR="004C7085" w:rsidRDefault="004C7085">
      <w:pPr>
        <w:spacing w:after="120" w:line="240" w:lineRule="auto"/>
        <w:jc w:val="both"/>
        <w:rPr>
          <w:rFonts w:ascii="Times New Roman" w:hAnsi="Times New Roman" w:cs="Times New Roman"/>
          <w:noProof/>
          <w:sz w:val="24"/>
          <w:szCs w:val="24"/>
        </w:rPr>
      </w:pPr>
    </w:p>
    <w:p w:rsidR="004C7085" w:rsidRDefault="005163E3">
      <w:pPr>
        <w:pStyle w:val="Heading2"/>
        <w:spacing w:before="0" w:after="120" w:line="240" w:lineRule="auto"/>
        <w:rPr>
          <w:rFonts w:ascii="Times New Roman" w:hAnsi="Times New Roman" w:cs="Times New Roman"/>
          <w:noProof/>
        </w:rPr>
      </w:pPr>
      <w:bookmarkStart w:id="190" w:name="_Toc458161139"/>
      <w:bookmarkStart w:id="191" w:name="_Toc458188081"/>
      <w:bookmarkStart w:id="192" w:name="_Toc458188240"/>
      <w:bookmarkStart w:id="193" w:name="_Toc458450305"/>
      <w:bookmarkStart w:id="194" w:name="_Toc458461577"/>
      <w:bookmarkStart w:id="195" w:name="_Toc458467543"/>
      <w:bookmarkStart w:id="196" w:name="_Toc458257428"/>
      <w:bookmarkStart w:id="197" w:name="_Toc461050811"/>
      <w:r>
        <w:rPr>
          <w:rFonts w:ascii="Times New Roman" w:hAnsi="Times New Roman" w:cs="Times New Roman"/>
          <w:noProof/>
        </w:rPr>
        <w:t xml:space="preserve">Benefits of the </w:t>
      </w:r>
      <w:r>
        <w:rPr>
          <w:rFonts w:ascii="Times New Roman" w:hAnsi="Times New Roman" w:cs="Times New Roman"/>
          <w:noProof/>
          <w:sz w:val="24"/>
        </w:rPr>
        <w:t>strategic objectives for 2025</w:t>
      </w:r>
      <w:bookmarkEnd w:id="190"/>
      <w:bookmarkEnd w:id="191"/>
      <w:bookmarkEnd w:id="192"/>
      <w:bookmarkEnd w:id="193"/>
      <w:bookmarkEnd w:id="194"/>
      <w:bookmarkEnd w:id="195"/>
      <w:bookmarkEnd w:id="196"/>
      <w:bookmarkEnd w:id="197"/>
      <w:r>
        <w:rPr>
          <w:rFonts w:ascii="Times New Roman" w:hAnsi="Times New Roman" w:cs="Times New Roman"/>
          <w:noProof/>
        </w:rPr>
        <w:t xml:space="preserve"> </w:t>
      </w:r>
    </w:p>
    <w:p w:rsidR="004C7085" w:rsidRDefault="005163E3">
      <w:pPr>
        <w:pStyle w:val="Heading3"/>
        <w:spacing w:before="0" w:after="120" w:line="240" w:lineRule="auto"/>
        <w:jc w:val="both"/>
        <w:rPr>
          <w:rFonts w:ascii="Times New Roman" w:hAnsi="Times New Roman" w:cs="Times New Roman"/>
          <w:noProof/>
          <w:sz w:val="24"/>
          <w:szCs w:val="24"/>
        </w:rPr>
      </w:pPr>
      <w:bookmarkStart w:id="198" w:name="_Toc458199963"/>
      <w:bookmarkStart w:id="199" w:name="_Toc458200053"/>
      <w:bookmarkStart w:id="200" w:name="_Toc461050812"/>
      <w:bookmarkStart w:id="201" w:name="_Toc458188082"/>
      <w:bookmarkStart w:id="202" w:name="_Toc458188241"/>
      <w:bookmarkStart w:id="203" w:name="_Toc458450306"/>
      <w:bookmarkStart w:id="204" w:name="_Toc458461578"/>
      <w:bookmarkStart w:id="205" w:name="_Toc458467544"/>
      <w:bookmarkStart w:id="206" w:name="_Toc458257429"/>
      <w:bookmarkEnd w:id="198"/>
      <w:bookmarkEnd w:id="199"/>
      <w:r>
        <w:rPr>
          <w:rFonts w:ascii="Times New Roman" w:hAnsi="Times New Roman" w:cs="Times New Roman"/>
          <w:noProof/>
          <w:sz w:val="24"/>
          <w:szCs w:val="24"/>
        </w:rPr>
        <w:t>Gigabit connectivity for all main socio-economic drivers such as schools, transport hubs and main providers of public services as well as digitally intensive enterprises</w:t>
      </w:r>
      <w:bookmarkEnd w:id="200"/>
      <w:bookmarkEnd w:id="201"/>
      <w:bookmarkEnd w:id="202"/>
      <w:bookmarkEnd w:id="203"/>
      <w:bookmarkEnd w:id="204"/>
      <w:bookmarkEnd w:id="205"/>
      <w:bookmarkEnd w:id="206"/>
    </w:p>
    <w:p w:rsidR="004C7085" w:rsidRDefault="005163E3">
      <w:pPr>
        <w:spacing w:after="120" w:line="240" w:lineRule="auto"/>
        <w:jc w:val="both"/>
        <w:rPr>
          <w:rFonts w:ascii="Times New Roman" w:hAnsi="Times New Roman"/>
          <w:noProof/>
          <w:sz w:val="24"/>
        </w:rPr>
      </w:pPr>
      <w:r>
        <w:rPr>
          <w:rFonts w:ascii="Times New Roman" w:hAnsi="Times New Roman" w:cs="Times New Roman"/>
          <w:noProof/>
          <w:sz w:val="24"/>
          <w:szCs w:val="24"/>
        </w:rPr>
        <w:t xml:space="preserve">This objective will optimise investment in VHC networks by connecting with priority socio-economic drivers, i.e. physical places or online hubs where people gather or which they visit to learn, to work and to access public services and where a single connection provides Internet to multiple users. </w:t>
      </w:r>
      <w:r>
        <w:rPr>
          <w:rFonts w:ascii="Times New Roman" w:hAnsi="Times New Roman"/>
          <w:noProof/>
          <w:sz w:val="24"/>
        </w:rPr>
        <w:t xml:space="preserve">Providing European socio-economic drivers with VHC connectivity by 2025 will have multiple benefits for the DSM, in particular by: </w:t>
      </w:r>
    </w:p>
    <w:p w:rsidR="004C7085" w:rsidRDefault="005163E3">
      <w:pPr>
        <w:numPr>
          <w:ilvl w:val="0"/>
          <w:numId w:val="11"/>
        </w:numPr>
        <w:spacing w:after="240" w:line="240" w:lineRule="auto"/>
        <w:jc w:val="both"/>
        <w:rPr>
          <w:rFonts w:ascii="Times New Roman" w:hAnsi="Times New Roman"/>
          <w:noProof/>
          <w:sz w:val="24"/>
        </w:rPr>
      </w:pPr>
      <w:r>
        <w:rPr>
          <w:rFonts w:ascii="Times New Roman" w:hAnsi="Times New Roman"/>
          <w:noProof/>
          <w:sz w:val="24"/>
        </w:rPr>
        <w:t>Encouraging such institutions to subscribe to very high-capacity connectivity (Gigabit, symmetrical, low latency, etc.) that will enable the use of the best products, services and applications and to provide the best service to European citizens. This in turn, creates a market for such online services. The Commission estimates that almost 100 million pupils and students, more than 70 million workers as well as almost 2 million doctors and more than 2.5 million patients in hospitals across Europe will benefit directly</w:t>
      </w:r>
      <w:r>
        <w:rPr>
          <w:rStyle w:val="FootnoteReference"/>
          <w:rFonts w:ascii="Times New Roman" w:hAnsi="Times New Roman"/>
          <w:noProof/>
          <w:sz w:val="24"/>
        </w:rPr>
        <w:footnoteReference w:id="67"/>
      </w:r>
      <w:r>
        <w:rPr>
          <w:rFonts w:ascii="Times New Roman" w:hAnsi="Times New Roman"/>
          <w:noProof/>
          <w:sz w:val="24"/>
        </w:rPr>
        <w:t>.</w:t>
      </w:r>
    </w:p>
    <w:p w:rsidR="004C7085" w:rsidRDefault="005163E3">
      <w:pPr>
        <w:numPr>
          <w:ilvl w:val="0"/>
          <w:numId w:val="11"/>
        </w:numPr>
        <w:spacing w:after="240" w:line="240" w:lineRule="auto"/>
        <w:jc w:val="both"/>
        <w:rPr>
          <w:rFonts w:ascii="Times New Roman" w:hAnsi="Times New Roman"/>
          <w:noProof/>
          <w:sz w:val="24"/>
        </w:rPr>
      </w:pPr>
      <w:r>
        <w:rPr>
          <w:rFonts w:ascii="Times New Roman" w:hAnsi="Times New Roman"/>
          <w:noProof/>
          <w:sz w:val="24"/>
        </w:rPr>
        <w:t>Contributing to and stimulating the extension of very high capacity networks and the densification of mobile coverage, including for 5G backhaul needs, would benefit from proximity of very high capacity interconnection and backhaul opportunities.</w:t>
      </w:r>
      <w:r>
        <w:rPr>
          <w:rFonts w:ascii="Times New Roman" w:hAnsi="Times New Roman"/>
          <w:noProof/>
          <w:sz w:val="24"/>
          <w:szCs w:val="24"/>
        </w:rPr>
        <w:t xml:space="preserve"> This will in turn increase the chances for advanced users, i</w:t>
      </w:r>
      <w:r>
        <w:rPr>
          <w:rFonts w:ascii="Times New Roman" w:hAnsi="Times New Roman" w:cs="Times New Roman"/>
          <w:noProof/>
          <w:sz w:val="24"/>
          <w:szCs w:val="24"/>
          <w:lang w:eastAsia="nl-NL"/>
        </w:rPr>
        <w:t xml:space="preserve">ncluding in particular small and micro businesses and home office users, to be served by VHC connections. </w:t>
      </w:r>
    </w:p>
    <w:p w:rsidR="004C7085" w:rsidRDefault="005163E3">
      <w:pPr>
        <w:numPr>
          <w:ilvl w:val="0"/>
          <w:numId w:val="11"/>
        </w:numPr>
        <w:spacing w:after="240" w:line="240" w:lineRule="auto"/>
        <w:jc w:val="both"/>
        <w:rPr>
          <w:rFonts w:ascii="Times New Roman" w:hAnsi="Times New Roman"/>
          <w:noProof/>
          <w:sz w:val="24"/>
        </w:rPr>
      </w:pPr>
      <w:r>
        <w:rPr>
          <w:rFonts w:ascii="Times New Roman" w:hAnsi="Times New Roman"/>
          <w:noProof/>
          <w:sz w:val="24"/>
        </w:rPr>
        <w:t>Creating a spill-over effect on demand for better connectivity in the rest of the economy (business ecosystems) and in the population at large (households), since users who experience very high capacity networks are more likely to subscribe to such services when they become available</w:t>
      </w:r>
      <w:r>
        <w:rPr>
          <w:rStyle w:val="FootnoteReference"/>
          <w:rFonts w:ascii="Times New Roman" w:hAnsi="Times New Roman"/>
          <w:noProof/>
          <w:sz w:val="24"/>
        </w:rPr>
        <w:footnoteReference w:id="68"/>
      </w:r>
      <w:r>
        <w:rPr>
          <w:rFonts w:ascii="Times New Roman" w:hAnsi="Times New Roman"/>
          <w:noProof/>
          <w:sz w:val="24"/>
        </w:rPr>
        <w:t>. Higher take-up will in turn improve the economic case for further investment, as the higher penetration of services results in more users sharing the same connection and the cost of the investment, leading to a decrease of the cost per user..</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The Commission services have considered, on the basis of the findings of Study SMART 2015/0068</w:t>
      </w:r>
      <w:r>
        <w:rPr>
          <w:rStyle w:val="FootnoteReference"/>
          <w:rFonts w:ascii="Times New Roman" w:hAnsi="Times New Roman" w:cs="Times New Roman"/>
          <w:noProof/>
          <w:sz w:val="24"/>
        </w:rPr>
        <w:footnoteReference w:id="69"/>
      </w:r>
      <w:r>
        <w:rPr>
          <w:rFonts w:ascii="Times New Roman" w:hAnsi="Times New Roman" w:cs="Times New Roman"/>
          <w:noProof/>
          <w:sz w:val="24"/>
        </w:rPr>
        <w:t xml:space="preserve">, two main options for this strategic objective: </w:t>
      </w:r>
    </w:p>
    <w:p w:rsidR="004C7085" w:rsidRDefault="005163E3">
      <w:pPr>
        <w:numPr>
          <w:ilvl w:val="0"/>
          <w:numId w:val="14"/>
        </w:numPr>
        <w:spacing w:after="240" w:line="240" w:lineRule="auto"/>
        <w:jc w:val="both"/>
        <w:rPr>
          <w:rFonts w:ascii="Times New Roman" w:hAnsi="Times New Roman" w:cs="Times New Roman"/>
          <w:noProof/>
          <w:sz w:val="24"/>
        </w:rPr>
      </w:pPr>
      <w:r>
        <w:rPr>
          <w:rFonts w:ascii="Times New Roman" w:hAnsi="Times New Roman" w:cs="Times New Roman"/>
          <w:noProof/>
          <w:sz w:val="24"/>
        </w:rPr>
        <w:t xml:space="preserve">Providing all the significant socio-economic drivers (in particular </w:t>
      </w:r>
      <w:r>
        <w:rPr>
          <w:rFonts w:ascii="Times New Roman" w:hAnsi="Times New Roman" w:cs="Times New Roman"/>
          <w:noProof/>
          <w:sz w:val="24"/>
          <w:szCs w:val="24"/>
        </w:rPr>
        <w:t xml:space="preserve">schools, transport hubs digitally intensive enterprises, </w:t>
      </w:r>
      <w:r>
        <w:rPr>
          <w:rFonts w:ascii="Times New Roman" w:hAnsi="Times New Roman" w:cs="Times New Roman"/>
          <w:noProof/>
          <w:sz w:val="24"/>
        </w:rPr>
        <w:t>local authority buildings</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rPr>
        <w:t xml:space="preserve">) with Gigabit connectivity. According to the cost estimates, the investment needs would be approximately </w:t>
      </w:r>
      <w:r>
        <w:rPr>
          <w:rFonts w:ascii="Times New Roman" w:hAnsi="Times New Roman"/>
          <w:noProof/>
          <w:sz w:val="24"/>
        </w:rPr>
        <w:t>€</w:t>
      </w:r>
      <w:r>
        <w:rPr>
          <w:rFonts w:ascii="Times New Roman" w:hAnsi="Times New Roman" w:cs="Times New Roman"/>
          <w:noProof/>
          <w:sz w:val="24"/>
        </w:rPr>
        <w:t xml:space="preserve">46 billion. </w:t>
      </w:r>
    </w:p>
    <w:p w:rsidR="004C7085" w:rsidRDefault="005163E3">
      <w:pPr>
        <w:numPr>
          <w:ilvl w:val="0"/>
          <w:numId w:val="14"/>
        </w:numPr>
        <w:spacing w:after="240" w:line="240" w:lineRule="auto"/>
        <w:jc w:val="both"/>
        <w:rPr>
          <w:rFonts w:ascii="Times New Roman" w:hAnsi="Times New Roman" w:cs="Times New Roman"/>
          <w:noProof/>
          <w:sz w:val="24"/>
        </w:rPr>
      </w:pPr>
      <w:r>
        <w:rPr>
          <w:rFonts w:ascii="Times New Roman" w:hAnsi="Times New Roman" w:cs="Times New Roman"/>
          <w:noProof/>
          <w:sz w:val="24"/>
        </w:rPr>
        <w:t xml:space="preserve">Providing all the socio-economic drivers without exception (in particular, in addition to the significant socio-economic drivers: micro and small enterprises, libraries and museums) with Gigabit connectivity. According to estimates, the investment needs amount to </w:t>
      </w:r>
      <w:r>
        <w:rPr>
          <w:rFonts w:ascii="Times New Roman" w:hAnsi="Times New Roman"/>
          <w:noProof/>
          <w:sz w:val="24"/>
        </w:rPr>
        <w:t>€</w:t>
      </w:r>
      <w:r>
        <w:rPr>
          <w:rFonts w:ascii="Times New Roman" w:hAnsi="Times New Roman" w:cs="Times New Roman"/>
          <w:noProof/>
          <w:sz w:val="24"/>
        </w:rPr>
        <w:t>149 billion</w:t>
      </w:r>
      <w:r>
        <w:rPr>
          <w:rStyle w:val="FootnoteReference"/>
          <w:rFonts w:ascii="Times New Roman" w:hAnsi="Times New Roman" w:cs="Times New Roman"/>
          <w:noProof/>
          <w:sz w:val="24"/>
        </w:rPr>
        <w:footnoteReference w:id="71"/>
      </w:r>
      <w:r>
        <w:rPr>
          <w:rFonts w:ascii="Times New Roman" w:hAnsi="Times New Roman" w:cs="Times New Roman"/>
          <w:noProof/>
          <w:sz w:val="24"/>
        </w:rPr>
        <w:t>.</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Option A has been chosen, primarily on cost-effectiveness grounds. </w:t>
      </w:r>
      <w:r>
        <w:rPr>
          <w:rFonts w:ascii="Times New Roman" w:hAnsi="Times New Roman" w:cs="Times New Roman"/>
          <w:noProof/>
          <w:sz w:val="24"/>
          <w:szCs w:val="24"/>
        </w:rPr>
        <w:t>B</w:t>
      </w:r>
      <w:r>
        <w:rPr>
          <w:rFonts w:ascii="Times New Roman" w:hAnsi="Times New Roman" w:cs="Times New Roman"/>
          <w:noProof/>
          <w:sz w:val="24"/>
        </w:rPr>
        <w:t>y bringing Gigabit connectivity to e.g. over 200.000 schools, over 200.000 public authorities buildings and roughly half a million digitally intensive enterprises</w:t>
      </w:r>
      <w:r>
        <w:rPr>
          <w:rStyle w:val="FootnoteReference"/>
          <w:rFonts w:ascii="Times New Roman" w:hAnsi="Times New Roman" w:cs="Times New Roman"/>
          <w:noProof/>
          <w:sz w:val="24"/>
        </w:rPr>
        <w:footnoteReference w:id="72"/>
      </w:r>
      <w:r>
        <w:rPr>
          <w:rFonts w:ascii="Times New Roman" w:hAnsi="Times New Roman" w:cs="Times New Roman"/>
          <w:noProof/>
          <w:sz w:val="24"/>
        </w:rPr>
        <w:t>, it is already fully relevant to stimulate the extension of further fixed and mobile networks and to create additional appetite for better connectivity.</w:t>
      </w:r>
    </w:p>
    <w:p w:rsidR="004C7085" w:rsidRDefault="005163E3">
      <w:pPr>
        <w:pStyle w:val="Corps"/>
        <w:spacing w:after="120"/>
        <w:rPr>
          <w:rFonts w:cs="Times New Roman"/>
          <w:bCs/>
          <w:noProof/>
          <w:lang w:val="en-GB"/>
        </w:rPr>
      </w:pPr>
      <w:bookmarkStart w:id="207" w:name="_Toc458161140"/>
      <w:r>
        <w:rPr>
          <w:rFonts w:cs="Times New Roman"/>
          <w:noProof/>
          <w:lang w:val="en-GB"/>
        </w:rPr>
        <w:t>It is also worth noting that these efforts will complement the growing investment in the digitalization of industry and other sectors. D</w:t>
      </w:r>
      <w:r>
        <w:rPr>
          <w:rFonts w:cs="Times New Roman"/>
          <w:bCs/>
          <w:noProof/>
          <w:lang w:val="en-GB"/>
        </w:rPr>
        <w:t>igitized products and services generate approximately €110 billion of additional revenues per year for the European industry.</w:t>
      </w:r>
      <w:r>
        <w:rPr>
          <w:rFonts w:cs="Times New Roman"/>
          <w:noProof/>
          <w:lang w:val="en-GB"/>
        </w:rPr>
        <w:t xml:space="preserve"> It is estimated that by 2020, European industrial companies will invest €140 billion annually in industrial internet applications</w:t>
      </w:r>
      <w:r>
        <w:rPr>
          <w:rStyle w:val="FootnoteReference"/>
          <w:rFonts w:cs="Times New Roman"/>
          <w:bCs/>
          <w:noProof/>
          <w:lang w:val="en-GB"/>
        </w:rPr>
        <w:footnoteReference w:id="73"/>
      </w:r>
      <w:r>
        <w:rPr>
          <w:rFonts w:cs="Times New Roman"/>
          <w:bCs/>
          <w:noProof/>
          <w:lang w:val="en-GB"/>
        </w:rPr>
        <w:t>. The European Commission Communication on "</w:t>
      </w:r>
      <w:r>
        <w:rPr>
          <w:rFonts w:cs="Times New Roman"/>
          <w:bCs/>
          <w:i/>
          <w:noProof/>
          <w:lang w:val="en-GB"/>
        </w:rPr>
        <w:t>Digitising European Industry - Reaping the full benefits of a Digital Single Market</w:t>
      </w:r>
      <w:r>
        <w:rPr>
          <w:rFonts w:cs="Times New Roman"/>
          <w:bCs/>
          <w:noProof/>
          <w:lang w:val="en-GB"/>
        </w:rPr>
        <w:t>"</w:t>
      </w:r>
      <w:r>
        <w:rPr>
          <w:rStyle w:val="FootnoteReference"/>
          <w:rFonts w:cs="Times New Roman"/>
          <w:bCs/>
          <w:noProof/>
          <w:lang w:val="en-GB"/>
        </w:rPr>
        <w:footnoteReference w:id="74"/>
      </w:r>
      <w:r>
        <w:rPr>
          <w:rFonts w:cs="Times New Roman"/>
          <w:bCs/>
          <w:noProof/>
          <w:lang w:val="en-GB"/>
        </w:rPr>
        <w:t xml:space="preserve"> proposes actions that are expected to mobilise close to €50 billion of public and private investment in the next 5 years, but which are largely dependent on underlying connectivity provision.</w:t>
      </w:r>
    </w:p>
    <w:p w:rsidR="004C7085" w:rsidRDefault="005163E3">
      <w:pPr>
        <w:pStyle w:val="Corps"/>
        <w:spacing w:after="120"/>
        <w:rPr>
          <w:rFonts w:cs="Times New Roman"/>
          <w:noProof/>
          <w:lang w:val="en-GB"/>
        </w:rPr>
      </w:pPr>
      <w:r>
        <w:rPr>
          <w:rFonts w:cs="Times New Roman"/>
          <w:bCs/>
          <w:noProof/>
          <w:lang w:val="en-GB"/>
        </w:rPr>
        <w:t xml:space="preserve">In this respect, </w:t>
      </w:r>
      <w:r>
        <w:rPr>
          <w:rFonts w:cs="Times New Roman"/>
          <w:noProof/>
          <w:lang w:val="en-GB"/>
        </w:rPr>
        <w:t>ETNO has recently underlined</w:t>
      </w:r>
      <w:r>
        <w:rPr>
          <w:rStyle w:val="FootnoteReference"/>
          <w:rFonts w:cs="Times New Roman"/>
          <w:noProof/>
        </w:rPr>
        <w:footnoteReference w:id="75"/>
      </w:r>
      <w:r>
        <w:rPr>
          <w:rFonts w:cs="Times New Roman"/>
          <w:noProof/>
          <w:lang w:val="en-GB"/>
        </w:rPr>
        <w:t xml:space="preserve"> that digitization is important in all public service domains and should include: i) 100% EU schools and universities connected to at least 1Gbps by 2030, ii) 100% administrative procedures digitised by 2025 and iii) 100% IDs in the EU to be turned into electronic IDs or mobile IDs by 2025 (all the IDs in EU to be digitized and e-administration enabled).</w:t>
      </w:r>
    </w:p>
    <w:p w:rsidR="004C7085" w:rsidRDefault="004C7085">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p>
    <w:p w:rsidR="004C7085" w:rsidRDefault="005163E3">
      <w:pPr>
        <w:pStyle w:val="Heading3"/>
        <w:spacing w:before="0" w:after="120" w:line="240" w:lineRule="auto"/>
        <w:jc w:val="both"/>
        <w:rPr>
          <w:rFonts w:ascii="Times New Roman" w:hAnsi="Times New Roman" w:cs="Times New Roman"/>
          <w:noProof/>
        </w:rPr>
      </w:pPr>
      <w:bookmarkStart w:id="208" w:name="_Toc458188083"/>
      <w:bookmarkStart w:id="209" w:name="_Toc458188242"/>
      <w:bookmarkStart w:id="210" w:name="_Toc458450307"/>
      <w:bookmarkStart w:id="211" w:name="_Toc458461579"/>
      <w:bookmarkStart w:id="212" w:name="_Toc458467545"/>
      <w:bookmarkStart w:id="213" w:name="_Toc458257430"/>
      <w:bookmarkStart w:id="214" w:name="_Toc461050813"/>
      <w:bookmarkEnd w:id="207"/>
      <w:r>
        <w:rPr>
          <w:rFonts w:ascii="Times New Roman" w:hAnsi="Times New Roman"/>
          <w:noProof/>
          <w:sz w:val="24"/>
        </w:rPr>
        <w:t>High performance 5G connectivity: by 2020 a fully-fledged commercial service in at least one major city in each of the 28 Member States and by 2025 uninterrupted 5G coverage of all urban areas and major terrestrial transport paths</w:t>
      </w:r>
      <w:bookmarkEnd w:id="208"/>
      <w:bookmarkEnd w:id="209"/>
      <w:bookmarkEnd w:id="210"/>
      <w:bookmarkEnd w:id="211"/>
      <w:bookmarkEnd w:id="212"/>
      <w:bookmarkEnd w:id="213"/>
      <w:bookmarkEnd w:id="214"/>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5G objective aims at addressing Europe's future competitiveness in wireless technology. 5G services will be crucial to </w:t>
      </w:r>
      <w:r>
        <w:rPr>
          <w:rFonts w:ascii="Times New Roman" w:hAnsi="Times New Roman" w:cs="Times New Roman"/>
          <w:noProof/>
          <w:sz w:val="24"/>
        </w:rPr>
        <w:t>cope</w:t>
      </w:r>
      <w:r>
        <w:rPr>
          <w:rFonts w:ascii="Times New Roman" w:hAnsi="Times New Roman" w:cs="Times New Roman"/>
          <w:noProof/>
          <w:sz w:val="24"/>
          <w:szCs w:val="24"/>
        </w:rPr>
        <w:t xml:space="preserve"> with increasingly demanding connectivity. Media applications, professional-grade communications in various industrial and service sectors such as automotive, transport, manufacturing, health as well as next generation safety and emergency services will have to rely on a seamless, shared, fixed and wireless infrastructure which offers various pre-determined levels of reliability and quality of service tailored to specific business needs. </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Japan, 5G networks have received substantial policy attention, and there are objectives to introduce a system trial in Tokyo in 2017, with implementation in time for the 2020 Olympics and Paralympics. In Europe Teliasonera and Ericsson have already announced that they will launch 5G services in Stockholm and Tallinn in 2018. Building on this experience, a fully-fledged commercial service in at least one major city in each Member State by 2020 is a necessary but reasonable objective and a stepping stone in the process of wider deployment of 5G.</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In addition, as part of the 5G connectivity objective, the Commission aims at achieving by 2025 a 5G coverage of major terrestrial transport paths (defined as motorways, national roads, and railways).</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5G connectivity on railways is needed to address in the long term the train passengers connectivity needs on board. According to estimates, in order to provide railways with 5G connectivity investment needs exceed €5 billion.</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In addition, 5G coverage of road transport routes will be the basis for the development of innovative applications for connected cars. The Commission services have considered the following scenarios</w:t>
      </w:r>
      <w:r>
        <w:rPr>
          <w:rStyle w:val="FootnoteReference"/>
          <w:rFonts w:ascii="Times New Roman" w:hAnsi="Times New Roman" w:cs="Times New Roman"/>
          <w:noProof/>
          <w:sz w:val="24"/>
        </w:rPr>
        <w:footnoteReference w:id="76"/>
      </w:r>
      <w:r>
        <w:rPr>
          <w:rFonts w:ascii="Times New Roman" w:hAnsi="Times New Roman" w:cs="Times New Roman"/>
          <w:noProof/>
          <w:sz w:val="24"/>
        </w:rPr>
        <w:t xml:space="preserve">: </w:t>
      </w:r>
    </w:p>
    <w:p w:rsidR="004C7085" w:rsidRDefault="005163E3">
      <w:pPr>
        <w:numPr>
          <w:ilvl w:val="0"/>
          <w:numId w:val="15"/>
        </w:num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Providing motorways with 5G connectivity. According to estimates, the investment needs would be </w:t>
      </w:r>
      <w:r>
        <w:rPr>
          <w:rFonts w:ascii="Times New Roman" w:hAnsi="Times New Roman"/>
          <w:noProof/>
          <w:sz w:val="24"/>
        </w:rPr>
        <w:t>€</w:t>
      </w:r>
      <w:r>
        <w:rPr>
          <w:rFonts w:ascii="Times New Roman" w:hAnsi="Times New Roman" w:cs="Times New Roman"/>
          <w:noProof/>
          <w:sz w:val="24"/>
        </w:rPr>
        <w:t xml:space="preserve">1.5 billion. </w:t>
      </w:r>
    </w:p>
    <w:p w:rsidR="004C7085" w:rsidRDefault="005163E3">
      <w:pPr>
        <w:numPr>
          <w:ilvl w:val="0"/>
          <w:numId w:val="15"/>
        </w:num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Providing motorways and national/state roads with 5G connectivity. The investment needs would be close to </w:t>
      </w:r>
      <w:r>
        <w:rPr>
          <w:rFonts w:ascii="Times New Roman" w:hAnsi="Times New Roman"/>
          <w:noProof/>
          <w:sz w:val="24"/>
        </w:rPr>
        <w:t>€</w:t>
      </w:r>
      <w:r>
        <w:rPr>
          <w:rFonts w:ascii="Times New Roman" w:hAnsi="Times New Roman" w:cs="Times New Roman"/>
          <w:noProof/>
          <w:sz w:val="24"/>
        </w:rPr>
        <w:t>23 billion.</w:t>
      </w:r>
    </w:p>
    <w:p w:rsidR="004C7085" w:rsidRDefault="005163E3">
      <w:pPr>
        <w:numPr>
          <w:ilvl w:val="0"/>
          <w:numId w:val="15"/>
        </w:num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Providing motorways, national/state roads and provincial roads with 5G connectivity. In this case the investment needs would amount to </w:t>
      </w:r>
      <w:r>
        <w:rPr>
          <w:rFonts w:ascii="Times New Roman" w:hAnsi="Times New Roman"/>
          <w:noProof/>
          <w:sz w:val="24"/>
        </w:rPr>
        <w:t>€</w:t>
      </w:r>
      <w:r>
        <w:rPr>
          <w:rFonts w:ascii="Times New Roman" w:hAnsi="Times New Roman" w:cs="Times New Roman"/>
          <w:noProof/>
          <w:sz w:val="24"/>
        </w:rPr>
        <w:t>98 billion.</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Option B</w:t>
      </w:r>
      <w:r>
        <w:rPr>
          <w:rStyle w:val="FootnoteReference"/>
          <w:rFonts w:ascii="Times New Roman" w:hAnsi="Times New Roman" w:cs="Times New Roman"/>
          <w:noProof/>
          <w:sz w:val="24"/>
        </w:rPr>
        <w:footnoteReference w:id="77"/>
      </w:r>
      <w:r>
        <w:rPr>
          <w:rFonts w:ascii="Times New Roman" w:hAnsi="Times New Roman" w:cs="Times New Roman"/>
          <w:noProof/>
          <w:sz w:val="24"/>
        </w:rPr>
        <w:t xml:space="preserve"> has been chosen because it would allow an EU-wide infrastructure to be developed which is capable of supporting solutions delivering information and entertainment on board and the progressive evolution towards fully autonomous driving, including the delivery of security functions reducing dramatically road casualties in Europe. Option A is considered too restrictive to achieve these goals. As to Option C (including provincial roads), it seems at this stage too costly but could represent a natural future evolution. </w:t>
      </w:r>
    </w:p>
    <w:p w:rsidR="004C7085" w:rsidRDefault="005163E3">
      <w:pPr>
        <w:pStyle w:val="Heading3"/>
        <w:spacing w:before="0" w:after="120" w:line="240" w:lineRule="auto"/>
        <w:jc w:val="both"/>
        <w:rPr>
          <w:rFonts w:ascii="Times New Roman" w:hAnsi="Times New Roman"/>
          <w:noProof/>
          <w:sz w:val="24"/>
        </w:rPr>
      </w:pPr>
      <w:bookmarkStart w:id="215" w:name="_Toc458188084"/>
      <w:bookmarkStart w:id="216" w:name="_Toc458188243"/>
      <w:bookmarkStart w:id="217" w:name="_Toc458450308"/>
      <w:bookmarkStart w:id="218" w:name="_Toc458461580"/>
      <w:bookmarkStart w:id="219" w:name="_Toc458467546"/>
      <w:bookmarkStart w:id="220" w:name="_Toc458257431"/>
      <w:bookmarkStart w:id="221" w:name="_Toc461050814"/>
      <w:r>
        <w:rPr>
          <w:rFonts w:ascii="Times New Roman" w:hAnsi="Times New Roman"/>
          <w:noProof/>
          <w:sz w:val="24"/>
        </w:rPr>
        <w:t>All European households, rural or urban, to have access to Internet connectivity offering a download speed of at least 100 Mbps, upgradable to Gigabit speed.</w:t>
      </w:r>
      <w:bookmarkEnd w:id="215"/>
      <w:bookmarkEnd w:id="216"/>
      <w:bookmarkEnd w:id="217"/>
      <w:bookmarkEnd w:id="218"/>
      <w:bookmarkEnd w:id="219"/>
      <w:bookmarkEnd w:id="220"/>
      <w:bookmarkEnd w:id="221"/>
    </w:p>
    <w:p w:rsidR="004C7085" w:rsidRDefault="005163E3">
      <w:pPr>
        <w:jc w:val="both"/>
        <w:rPr>
          <w:rFonts w:ascii="Times New Roman" w:hAnsi="Times New Roman" w:cs="Times New Roman"/>
          <w:noProof/>
          <w:sz w:val="24"/>
        </w:rPr>
      </w:pPr>
      <w:r>
        <w:rPr>
          <w:rFonts w:ascii="Times New Roman" w:hAnsi="Times New Roman" w:cs="Times New Roman"/>
          <w:noProof/>
          <w:sz w:val="24"/>
        </w:rPr>
        <w:t xml:space="preserve">The challenge of comprehensive coverage objectives that concern all households lies in the last percentages of the population, those living in the most remote areas which are the most difficult and costly to reach. The lack of connectivity has an extremely high cost, not only by forgoing benefits of the digital single market, but also in terms of digital divide, depopulation, lack of cohesion etc. </w:t>
      </w:r>
    </w:p>
    <w:p w:rsidR="004C7085" w:rsidRDefault="005163E3">
      <w:pPr>
        <w:pStyle w:val="Heading4"/>
        <w:keepNext/>
        <w:rPr>
          <w:noProof/>
        </w:rPr>
      </w:pPr>
      <w:r>
        <w:rPr>
          <w:noProof/>
        </w:rPr>
        <w:t>Figure 24: Total cost (cumulative) of connecting countries with FTTP/H depending on the population covered per country (Analysys Mason</w:t>
      </w:r>
      <w:r>
        <w:rPr>
          <w:rStyle w:val="FootnoteReference"/>
          <w:i w:val="0"/>
          <w:noProof/>
          <w:u w:val="none"/>
          <w:lang w:val="en-GB"/>
        </w:rPr>
        <w:footnoteReference w:id="78"/>
      </w:r>
      <w:r>
        <w:rPr>
          <w:noProof/>
        </w:rPr>
        <w:t>)</w:t>
      </w:r>
    </w:p>
    <w:tbl>
      <w:tblPr>
        <w:tblW w:w="8730" w:type="dxa"/>
        <w:tblLayout w:type="fixed"/>
        <w:tblCellMar>
          <w:left w:w="0" w:type="dxa"/>
          <w:right w:w="0" w:type="dxa"/>
        </w:tblCellMar>
        <w:tblLook w:val="04A0" w:firstRow="1" w:lastRow="0" w:firstColumn="1" w:lastColumn="0" w:noHBand="0" w:noVBand="1"/>
      </w:tblPr>
      <w:tblGrid>
        <w:gridCol w:w="4229"/>
        <w:gridCol w:w="272"/>
        <w:gridCol w:w="4229"/>
      </w:tblGrid>
      <w:tr w:rsidR="004C7085">
        <w:tc>
          <w:tcPr>
            <w:tcW w:w="4229" w:type="dxa"/>
            <w:hideMark/>
          </w:tcPr>
          <w:p w:rsidR="004C7085" w:rsidRDefault="004C7085">
            <w:pPr>
              <w:pStyle w:val="Caption"/>
              <w:rPr>
                <w:rFonts w:eastAsia="Calibri"/>
                <w:i/>
                <w:noProof/>
                <w:sz w:val="18"/>
              </w:rPr>
            </w:pPr>
          </w:p>
        </w:tc>
        <w:tc>
          <w:tcPr>
            <w:tcW w:w="272" w:type="dxa"/>
          </w:tcPr>
          <w:p w:rsidR="004C7085" w:rsidRDefault="004C7085">
            <w:pPr>
              <w:spacing w:before="40" w:after="40" w:line="240" w:lineRule="exact"/>
              <w:ind w:right="113"/>
              <w:rPr>
                <w:rFonts w:ascii="Arial" w:hAnsi="Arial"/>
                <w:noProof/>
                <w:sz w:val="18"/>
              </w:rPr>
            </w:pPr>
          </w:p>
        </w:tc>
        <w:tc>
          <w:tcPr>
            <w:tcW w:w="4229" w:type="dxa"/>
          </w:tcPr>
          <w:p w:rsidR="004C7085" w:rsidRDefault="004C7085">
            <w:pPr>
              <w:keepNext/>
              <w:pBdr>
                <w:bottom w:val="single" w:sz="6" w:space="3" w:color="A6A6A6" w:themeColor="background1" w:themeShade="A6"/>
              </w:pBdr>
              <w:tabs>
                <w:tab w:val="left" w:pos="2041"/>
              </w:tabs>
              <w:spacing w:after="160" w:line="320" w:lineRule="atLeast"/>
              <w:rPr>
                <w:rFonts w:ascii="Arial" w:eastAsia="Calibri" w:hAnsi="Arial" w:cs="Arial"/>
                <w:bCs/>
                <w:i/>
                <w:noProof/>
                <w:sz w:val="18"/>
                <w:szCs w:val="18"/>
              </w:rPr>
            </w:pPr>
          </w:p>
        </w:tc>
      </w:tr>
      <w:tr w:rsidR="004C7085">
        <w:tc>
          <w:tcPr>
            <w:tcW w:w="4229" w:type="dxa"/>
            <w:hideMark/>
          </w:tcPr>
          <w:p w:rsidR="004C7085" w:rsidRDefault="005163E3">
            <w:pPr>
              <w:spacing w:after="0" w:line="320" w:lineRule="atLeast"/>
              <w:jc w:val="center"/>
              <w:rPr>
                <w:rFonts w:ascii="Times New Roman" w:eastAsia="Calibri" w:hAnsi="Times New Roman" w:cs="Times New Roman"/>
                <w:noProof/>
                <w:sz w:val="20"/>
                <w:szCs w:val="20"/>
              </w:rPr>
            </w:pPr>
            <w:r>
              <w:rPr>
                <w:rFonts w:ascii="Times New Roman" w:eastAsia="Calibri" w:hAnsi="Times New Roman" w:cs="Times New Roman"/>
                <w:noProof/>
                <w:lang w:eastAsia="en-GB"/>
              </w:rPr>
              <w:drawing>
                <wp:inline distT="0" distB="0" distL="0" distR="0" wp14:anchorId="66993A57" wp14:editId="1F5FFF0A">
                  <wp:extent cx="2647950" cy="3111500"/>
                  <wp:effectExtent l="0" t="0" r="0" b="0"/>
                  <wp:docPr id="20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3111500"/>
                          </a:xfrm>
                          <a:prstGeom prst="rect">
                            <a:avLst/>
                          </a:prstGeom>
                          <a:noFill/>
                          <a:ln>
                            <a:noFill/>
                          </a:ln>
                        </pic:spPr>
                      </pic:pic>
                    </a:graphicData>
                  </a:graphic>
                </wp:inline>
              </w:drawing>
            </w:r>
          </w:p>
        </w:tc>
        <w:tc>
          <w:tcPr>
            <w:tcW w:w="272" w:type="dxa"/>
          </w:tcPr>
          <w:p w:rsidR="004C7085" w:rsidRDefault="004C7085">
            <w:pPr>
              <w:spacing w:before="40" w:after="40" w:line="240" w:lineRule="exact"/>
              <w:ind w:right="113"/>
              <w:rPr>
                <w:rFonts w:ascii="Arial" w:eastAsia="Calibri" w:hAnsi="Arial" w:cs="Arial"/>
                <w:noProof/>
                <w:sz w:val="18"/>
                <w:szCs w:val="18"/>
              </w:rPr>
            </w:pPr>
          </w:p>
        </w:tc>
        <w:tc>
          <w:tcPr>
            <w:tcW w:w="4229" w:type="dxa"/>
            <w:hideMark/>
          </w:tcPr>
          <w:p w:rsidR="004C7085" w:rsidRDefault="005163E3">
            <w:pPr>
              <w:spacing w:after="0" w:line="320" w:lineRule="atLeast"/>
              <w:jc w:val="center"/>
              <w:rPr>
                <w:rFonts w:ascii="Times New Roman" w:eastAsia="Calibri" w:hAnsi="Times New Roman" w:cs="Times New Roman"/>
                <w:noProof/>
                <w:sz w:val="20"/>
                <w:szCs w:val="20"/>
              </w:rPr>
            </w:pPr>
            <w:r>
              <w:rPr>
                <w:rFonts w:ascii="Times New Roman" w:eastAsia="Calibri" w:hAnsi="Times New Roman" w:cs="Times New Roman"/>
                <w:noProof/>
                <w:lang w:eastAsia="en-GB"/>
              </w:rPr>
              <w:drawing>
                <wp:inline distT="0" distB="0" distL="0" distR="0" wp14:anchorId="40C7D788" wp14:editId="4DA45F63">
                  <wp:extent cx="2647950" cy="3111500"/>
                  <wp:effectExtent l="0" t="0" r="0" b="0"/>
                  <wp:docPr id="20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3111500"/>
                          </a:xfrm>
                          <a:prstGeom prst="rect">
                            <a:avLst/>
                          </a:prstGeom>
                          <a:noFill/>
                          <a:ln>
                            <a:noFill/>
                          </a:ln>
                        </pic:spPr>
                      </pic:pic>
                    </a:graphicData>
                  </a:graphic>
                </wp:inline>
              </w:drawing>
            </w:r>
          </w:p>
        </w:tc>
      </w:tr>
    </w:tbl>
    <w:p w:rsidR="004C7085" w:rsidRDefault="004C7085">
      <w:pPr>
        <w:rPr>
          <w:rFonts w:ascii="Times New Roman" w:hAnsi="Times New Roman"/>
          <w:i/>
          <w:noProof/>
          <w:sz w:val="24"/>
          <w:u w:val="single"/>
        </w:rPr>
      </w:pP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objective aims at making sure that no one is left behind in the digital world. It is to be seen against a wider ambition that there should be access to mobile data connectivity throughout the territory, in all places where people live, work, travel and gather.</w:t>
      </w:r>
    </w:p>
    <w:p w:rsidR="004C7085" w:rsidRDefault="005163E3">
      <w:pPr>
        <w:spacing w:after="120" w:line="240" w:lineRule="auto"/>
        <w:jc w:val="both"/>
        <w:rPr>
          <w:rFonts w:ascii="Times New Roman" w:hAnsi="Times New Roman" w:cs="Times New Roman"/>
          <w:noProof/>
        </w:rPr>
      </w:pPr>
      <w:r>
        <w:rPr>
          <w:rFonts w:ascii="Times New Roman" w:hAnsi="Times New Roman" w:cs="Times New Roman"/>
          <w:noProof/>
          <w:sz w:val="24"/>
          <w:szCs w:val="24"/>
        </w:rPr>
        <w:t xml:space="preserve">In most rural and remote areas connectivity plays an essential role in rural development and agriculture, as well as in preventing digital divide, isolation and depopulation. It also enables remote or rural businesses to reduce the costs of commercial activities through video-conferencing, access to online administration, e-commerce, or data storage in the cloud. European households, rural or urban, will require a minimum level of fixed or mobile connectivity in 2025 much higher than it is today due to the growing needs for connectivity. </w:t>
      </w:r>
    </w:p>
    <w:p w:rsidR="004C7085" w:rsidRDefault="005163E3">
      <w:pPr>
        <w:spacing w:after="120" w:line="240" w:lineRule="auto"/>
        <w:rPr>
          <w:rFonts w:ascii="Times New Roman" w:hAnsi="Times New Roman" w:cs="Times New Roman"/>
          <w:noProof/>
          <w:sz w:val="24"/>
        </w:rPr>
      </w:pPr>
      <w:r>
        <w:rPr>
          <w:rFonts w:ascii="Times New Roman" w:hAnsi="Times New Roman" w:cs="Times New Roman"/>
          <w:noProof/>
          <w:sz w:val="24"/>
        </w:rPr>
        <w:t>The investment needs for 100% household coverage of at least 100 Mbps will depend on the type(s) of infrastructure deployed. According to estimates</w:t>
      </w:r>
      <w:r>
        <w:rPr>
          <w:rStyle w:val="FootnoteReference"/>
          <w:rFonts w:ascii="Times New Roman" w:hAnsi="Times New Roman" w:cs="Times New Roman"/>
          <w:noProof/>
          <w:sz w:val="24"/>
        </w:rPr>
        <w:footnoteReference w:id="79"/>
      </w:r>
      <w:r>
        <w:rPr>
          <w:rFonts w:ascii="Times New Roman" w:hAnsi="Times New Roman" w:cs="Times New Roman"/>
          <w:noProof/>
          <w:sz w:val="24"/>
        </w:rPr>
        <w:t>:</w:t>
      </w:r>
    </w:p>
    <w:p w:rsidR="004C7085" w:rsidRDefault="005163E3">
      <w:pPr>
        <w:numPr>
          <w:ilvl w:val="0"/>
          <w:numId w:val="12"/>
        </w:num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investment needs to provide 100% of the households with a (macro cell) wireless connectivity offering at least a download speed of 100 Mbps amount to </w:t>
      </w:r>
      <w:r>
        <w:rPr>
          <w:rFonts w:ascii="Times New Roman" w:hAnsi="Times New Roman"/>
          <w:noProof/>
          <w:sz w:val="24"/>
        </w:rPr>
        <w:t>€</w:t>
      </w:r>
      <w:r>
        <w:rPr>
          <w:rFonts w:ascii="Times New Roman" w:hAnsi="Times New Roman" w:cs="Times New Roman"/>
          <w:noProof/>
          <w:sz w:val="24"/>
        </w:rPr>
        <w:t>79 billion.</w:t>
      </w:r>
    </w:p>
    <w:p w:rsidR="004C7085" w:rsidRDefault="005163E3">
      <w:pPr>
        <w:numPr>
          <w:ilvl w:val="0"/>
          <w:numId w:val="12"/>
        </w:num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investment needs to provide 100% of the households with a (micro cell) wireless connectivity offering at least a download speed of 1 Gbps would cost </w:t>
      </w:r>
      <w:r>
        <w:rPr>
          <w:rFonts w:ascii="Times New Roman" w:hAnsi="Times New Roman"/>
          <w:noProof/>
          <w:sz w:val="24"/>
        </w:rPr>
        <w:t>€</w:t>
      </w:r>
      <w:r>
        <w:rPr>
          <w:rFonts w:ascii="Times New Roman" w:hAnsi="Times New Roman" w:cs="Times New Roman"/>
          <w:noProof/>
          <w:sz w:val="24"/>
        </w:rPr>
        <w:t>143 billion.</w:t>
      </w:r>
    </w:p>
    <w:p w:rsidR="004C7085" w:rsidRDefault="005163E3">
      <w:pPr>
        <w:numPr>
          <w:ilvl w:val="0"/>
          <w:numId w:val="12"/>
        </w:num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investment needs to provide 100% of the households with a fixed (FTTH) symmetrical Gigabit connectivity offering at least a download speed of 1 Gbps amount to </w:t>
      </w:r>
      <w:r>
        <w:rPr>
          <w:rFonts w:ascii="Times New Roman" w:hAnsi="Times New Roman"/>
          <w:noProof/>
          <w:sz w:val="24"/>
        </w:rPr>
        <w:t>€</w:t>
      </w:r>
      <w:r>
        <w:rPr>
          <w:rFonts w:ascii="Times New Roman" w:hAnsi="Times New Roman" w:cs="Times New Roman"/>
          <w:noProof/>
          <w:sz w:val="24"/>
        </w:rPr>
        <w:t>183 billion.</w:t>
      </w:r>
    </w:p>
    <w:p w:rsidR="004C7085" w:rsidRDefault="005163E3">
      <w:pPr>
        <w:pStyle w:val="Corps"/>
        <w:pBdr>
          <w:top w:val="none" w:sz="0" w:space="0" w:color="auto"/>
          <w:left w:val="none" w:sz="0" w:space="0" w:color="auto"/>
          <w:bottom w:val="none" w:sz="0" w:space="0" w:color="auto"/>
          <w:right w:val="none" w:sz="0" w:space="0" w:color="auto"/>
        </w:pBdr>
        <w:spacing w:after="120"/>
        <w:rPr>
          <w:rFonts w:cs="Times New Roman"/>
          <w:noProof/>
          <w:lang w:val="en-GB"/>
        </w:rPr>
      </w:pPr>
      <w:r>
        <w:rPr>
          <w:rFonts w:cs="Times New Roman"/>
          <w:noProof/>
          <w:lang w:val="en-GB"/>
        </w:rPr>
        <w:t xml:space="preserve">On the assumption that each type of infrastructure will account for an equal part of the future deployment (macro and micro cells for wireless and FTTH for fixed connectivity, mostly in urban areas), the investment needs for improved rural connectivity are estimated to amount to </w:t>
      </w:r>
      <w:r>
        <w:rPr>
          <w:noProof/>
          <w:lang w:val="en-GB"/>
        </w:rPr>
        <w:t>€</w:t>
      </w:r>
      <w:r>
        <w:rPr>
          <w:rFonts w:cs="Times New Roman"/>
          <w:noProof/>
          <w:lang w:val="en-GB"/>
        </w:rPr>
        <w:t xml:space="preserve">127 billion; including </w:t>
      </w:r>
      <w:r>
        <w:rPr>
          <w:noProof/>
          <w:lang w:val="en-GB"/>
        </w:rPr>
        <w:t>€</w:t>
      </w:r>
      <w:r>
        <w:rPr>
          <w:rFonts w:cs="Times New Roman"/>
          <w:noProof/>
          <w:lang w:val="en-GB"/>
        </w:rPr>
        <w:t xml:space="preserve">24 billion to cover the last 5% (around 11 million households) with wireless connectivity offering at least a download speed of 100 Mbps. </w:t>
      </w:r>
    </w:p>
    <w:p w:rsidR="004C7085" w:rsidRDefault="004C7085">
      <w:pPr>
        <w:spacing w:after="120" w:line="240" w:lineRule="auto"/>
        <w:rPr>
          <w:rFonts w:ascii="Times New Roman" w:hAnsi="Times New Roman"/>
          <w:noProof/>
          <w:color w:val="000000"/>
          <w:sz w:val="24"/>
          <w:u w:color="000000"/>
          <w:bdr w:val="nil"/>
        </w:rPr>
      </w:pPr>
    </w:p>
    <w:p w:rsidR="004C7085" w:rsidRDefault="005163E3">
      <w:pPr>
        <w:pStyle w:val="Heading2"/>
        <w:spacing w:before="0" w:after="120" w:line="240" w:lineRule="auto"/>
        <w:jc w:val="both"/>
        <w:rPr>
          <w:rFonts w:ascii="Times New Roman" w:hAnsi="Times New Roman" w:cs="Times New Roman"/>
          <w:noProof/>
        </w:rPr>
      </w:pPr>
      <w:bookmarkStart w:id="222" w:name="_Toc457320817"/>
      <w:bookmarkStart w:id="223" w:name="_Toc457386846"/>
      <w:bookmarkStart w:id="224" w:name="_Toc461050815"/>
      <w:bookmarkStart w:id="225" w:name="_Toc458467547"/>
      <w:bookmarkEnd w:id="222"/>
      <w:bookmarkEnd w:id="223"/>
      <w:r>
        <w:rPr>
          <w:rFonts w:ascii="Times New Roman" w:hAnsi="Times New Roman" w:cs="Times New Roman"/>
          <w:noProof/>
        </w:rPr>
        <w:t>The need</w:t>
      </w:r>
      <w:r>
        <w:rPr>
          <w:rFonts w:ascii="Times New Roman" w:hAnsi="Times New Roman"/>
          <w:noProof/>
        </w:rPr>
        <w:t xml:space="preserve"> to </w:t>
      </w:r>
      <w:r>
        <w:rPr>
          <w:rFonts w:ascii="Times New Roman" w:hAnsi="Times New Roman" w:cs="Times New Roman"/>
          <w:noProof/>
        </w:rPr>
        <w:t>prioritise investments</w:t>
      </w:r>
      <w:bookmarkEnd w:id="224"/>
      <w:r>
        <w:rPr>
          <w:rFonts w:ascii="Times New Roman" w:hAnsi="Times New Roman" w:cs="Times New Roman"/>
          <w:noProof/>
        </w:rPr>
        <w:t xml:space="preserve"> </w:t>
      </w:r>
      <w:bookmarkEnd w:id="225"/>
    </w:p>
    <w:p w:rsidR="004C7085" w:rsidRDefault="005163E3">
      <w:pPr>
        <w:spacing w:after="120" w:line="240" w:lineRule="auto"/>
        <w:jc w:val="both"/>
        <w:rPr>
          <w:rStyle w:val="Corpsdutexte"/>
          <w:rFonts w:ascii="Times New Roman" w:hAnsi="Times New Roman" w:cs="Times New Roman"/>
          <w:noProof/>
          <w:sz w:val="24"/>
          <w:szCs w:val="24"/>
        </w:rPr>
      </w:pPr>
      <w:r>
        <w:rPr>
          <w:rStyle w:val="Corpsdutexte"/>
          <w:rFonts w:ascii="Times New Roman" w:hAnsi="Times New Roman" w:cs="Times New Roman"/>
          <w:noProof/>
          <w:sz w:val="24"/>
          <w:szCs w:val="24"/>
        </w:rPr>
        <w:t>The proposed additional objectives for 2025 are based on a focused approach choosing objectives that are designed to maximise societal and economic benefits relative to costs, but continue to ensure adequate connectivity even in rural areas and at the same time widen the approach to take into account the growing importance</w:t>
      </w:r>
      <w:r>
        <w:rPr>
          <w:rStyle w:val="Corpsdutexte"/>
          <w:rFonts w:ascii="Times New Roman" w:hAnsi="Times New Roman"/>
          <w:noProof/>
          <w:sz w:val="24"/>
        </w:rPr>
        <w:t xml:space="preserve"> of the </w:t>
      </w:r>
      <w:r>
        <w:rPr>
          <w:rStyle w:val="Corpsdutexte"/>
          <w:rFonts w:ascii="Times New Roman" w:hAnsi="Times New Roman" w:cs="Times New Roman"/>
          <w:noProof/>
          <w:sz w:val="24"/>
          <w:szCs w:val="24"/>
        </w:rPr>
        <w:t xml:space="preserve">mobile/wireless dimension of broadband. This can unlock significant additional benefits, including for the equipment </w:t>
      </w:r>
      <w:r>
        <w:rPr>
          <w:rStyle w:val="Corpsdutexte"/>
          <w:rFonts w:ascii="Times New Roman" w:hAnsi="Times New Roman"/>
          <w:noProof/>
          <w:sz w:val="24"/>
        </w:rPr>
        <w:t>industry</w:t>
      </w:r>
      <w:r>
        <w:rPr>
          <w:rStyle w:val="Corpsdutexte"/>
          <w:rFonts w:ascii="Times New Roman" w:hAnsi="Times New Roman" w:cs="Times New Roman"/>
          <w:noProof/>
          <w:sz w:val="24"/>
          <w:szCs w:val="24"/>
        </w:rPr>
        <w:t xml:space="preserve"> and for various "vertical" sectors (automotive, health, audiovisual) in which European leadership in the </w:t>
      </w:r>
      <w:r>
        <w:rPr>
          <w:rStyle w:val="Corpsdutexte"/>
          <w:rFonts w:ascii="Times New Roman" w:hAnsi="Times New Roman"/>
          <w:noProof/>
          <w:sz w:val="24"/>
        </w:rPr>
        <w:t xml:space="preserve">connected </w:t>
      </w:r>
      <w:r>
        <w:rPr>
          <w:rStyle w:val="Corpsdutexte"/>
          <w:rFonts w:ascii="Times New Roman" w:hAnsi="Times New Roman" w:cs="Times New Roman"/>
          <w:noProof/>
          <w:sz w:val="24"/>
          <w:szCs w:val="24"/>
        </w:rPr>
        <w:t>transformation</w:t>
      </w:r>
      <w:r>
        <w:rPr>
          <w:rStyle w:val="Corpsdutexte"/>
          <w:rFonts w:ascii="Times New Roman" w:hAnsi="Times New Roman"/>
          <w:noProof/>
          <w:sz w:val="24"/>
        </w:rPr>
        <w:t xml:space="preserve"> is </w:t>
      </w:r>
      <w:r>
        <w:rPr>
          <w:rStyle w:val="Corpsdutexte"/>
          <w:rFonts w:ascii="Times New Roman" w:hAnsi="Times New Roman" w:cs="Times New Roman"/>
          <w:noProof/>
          <w:sz w:val="24"/>
          <w:szCs w:val="24"/>
        </w:rPr>
        <w:t xml:space="preserve">attainable. </w:t>
      </w:r>
    </w:p>
    <w:p w:rsidR="004C7085" w:rsidRDefault="005163E3">
      <w:pPr>
        <w:spacing w:after="120" w:line="240" w:lineRule="auto"/>
        <w:jc w:val="both"/>
        <w:rPr>
          <w:rStyle w:val="Corpsdutexte"/>
          <w:rFonts w:ascii="Times New Roman" w:hAnsi="Times New Roman" w:cs="Times New Roman"/>
          <w:noProof/>
          <w:sz w:val="24"/>
          <w:szCs w:val="24"/>
        </w:rPr>
      </w:pPr>
      <w:r>
        <w:rPr>
          <w:rStyle w:val="Corpsdutexte"/>
          <w:rFonts w:ascii="Times New Roman" w:hAnsi="Times New Roman" w:cs="Times New Roman"/>
          <w:noProof/>
          <w:sz w:val="24"/>
          <w:szCs w:val="24"/>
        </w:rPr>
        <w:t>The Commission services have therefore examined strategic needs and corresponding objectives of three types:</w:t>
      </w:r>
    </w:p>
    <w:p w:rsidR="004C7085" w:rsidRDefault="005163E3">
      <w:pPr>
        <w:pStyle w:val="ListParagraph"/>
        <w:numPr>
          <w:ilvl w:val="0"/>
          <w:numId w:val="30"/>
        </w:numPr>
        <w:spacing w:after="120" w:line="240" w:lineRule="auto"/>
        <w:rPr>
          <w:rStyle w:val="Corpsdutexte"/>
          <w:rFonts w:ascii="Times New Roman" w:hAnsi="Times New Roman"/>
          <w:noProof/>
          <w:sz w:val="24"/>
          <w:szCs w:val="24"/>
        </w:rPr>
      </w:pPr>
      <w:r>
        <w:rPr>
          <w:rStyle w:val="Corpsdutexte"/>
          <w:rFonts w:ascii="Times New Roman" w:hAnsi="Times New Roman"/>
          <w:noProof/>
          <w:sz w:val="24"/>
          <w:szCs w:val="24"/>
        </w:rPr>
        <w:t>for leader institutions, with significant user numbers and an important place in national and local economies and societies – the socio-economic drivers – which can be expected to have especially important connectivity needs;</w:t>
      </w:r>
    </w:p>
    <w:p w:rsidR="004C7085" w:rsidRDefault="005163E3">
      <w:pPr>
        <w:pStyle w:val="ListParagraph"/>
        <w:numPr>
          <w:ilvl w:val="0"/>
          <w:numId w:val="30"/>
        </w:numPr>
        <w:spacing w:after="120" w:line="240" w:lineRule="auto"/>
        <w:rPr>
          <w:rStyle w:val="Corpsdutexte"/>
          <w:rFonts w:ascii="Times New Roman" w:hAnsi="Times New Roman"/>
          <w:noProof/>
          <w:sz w:val="24"/>
          <w:szCs w:val="24"/>
        </w:rPr>
      </w:pPr>
      <w:r>
        <w:rPr>
          <w:rStyle w:val="Corpsdutexte"/>
          <w:rFonts w:ascii="Times New Roman" w:hAnsi="Times New Roman"/>
          <w:noProof/>
          <w:sz w:val="24"/>
          <w:szCs w:val="24"/>
        </w:rPr>
        <w:t>for wireless connectivity, by reference to the next (5G) technology generation;</w:t>
      </w:r>
    </w:p>
    <w:p w:rsidR="004C7085" w:rsidRDefault="005163E3">
      <w:pPr>
        <w:pStyle w:val="ListParagraph"/>
        <w:numPr>
          <w:ilvl w:val="0"/>
          <w:numId w:val="30"/>
        </w:numPr>
        <w:spacing w:after="120" w:line="240" w:lineRule="auto"/>
        <w:rPr>
          <w:rStyle w:val="Corpsdutexte"/>
          <w:rFonts w:ascii="Times New Roman" w:hAnsi="Times New Roman"/>
          <w:noProof/>
          <w:sz w:val="24"/>
          <w:szCs w:val="24"/>
        </w:rPr>
      </w:pPr>
      <w:r>
        <w:rPr>
          <w:rStyle w:val="Corpsdutexte"/>
          <w:rFonts w:ascii="Times New Roman" w:hAnsi="Times New Roman"/>
          <w:noProof/>
          <w:sz w:val="24"/>
          <w:szCs w:val="24"/>
        </w:rPr>
        <w:t>for universal coverage, including of rural households.</w:t>
      </w:r>
    </w:p>
    <w:p w:rsidR="004C7085" w:rsidRDefault="005163E3">
      <w:pPr>
        <w:spacing w:after="120" w:line="240" w:lineRule="auto"/>
        <w:jc w:val="both"/>
        <w:rPr>
          <w:rFonts w:ascii="Times New Roman" w:hAnsi="Times New Roman" w:cs="Times New Roman"/>
          <w:noProof/>
          <w:sz w:val="24"/>
          <w:szCs w:val="24"/>
        </w:rPr>
      </w:pPr>
      <w:r>
        <w:rPr>
          <w:rStyle w:val="Corpsdutexte"/>
          <w:rFonts w:ascii="Times New Roman" w:hAnsi="Times New Roman" w:cs="Times New Roman"/>
          <w:noProof/>
          <w:sz w:val="24"/>
          <w:szCs w:val="24"/>
        </w:rPr>
        <w:t>The Commission has sought expert advice to cost some specific scenarios for 2025 defined on the basis of the criteria described above. This includes the already mentioned study "Costing the new potential connectivity needs"</w:t>
      </w:r>
      <w:r>
        <w:rPr>
          <w:rStyle w:val="FootnoteReference"/>
          <w:rFonts w:ascii="Times New Roman" w:hAnsi="Times New Roman" w:cs="Times New Roman"/>
          <w:noProof/>
          <w:sz w:val="24"/>
          <w:szCs w:val="24"/>
        </w:rPr>
        <w:footnoteReference w:id="80"/>
      </w:r>
      <w:r>
        <w:rPr>
          <w:rStyle w:val="Corpsdutexte"/>
          <w:rFonts w:ascii="Times New Roman" w:hAnsi="Times New Roman" w:cs="Times New Roman"/>
          <w:noProof/>
          <w:sz w:val="24"/>
          <w:szCs w:val="24"/>
        </w:rPr>
        <w:t>and has been complemented by further work by its own services.</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szCs w:val="24"/>
        </w:rPr>
        <w:t>The total estimated cost for the fulfilment of the three proposed objectives by 2025 is c. €515 billion. This entails an additional</w:t>
      </w:r>
      <w:r>
        <w:rPr>
          <w:rFonts w:ascii="Times New Roman" w:hAnsi="Times New Roman"/>
          <w:noProof/>
          <w:sz w:val="24"/>
        </w:rPr>
        <w:t xml:space="preserve"> investment </w:t>
      </w:r>
      <w:r>
        <w:rPr>
          <w:rFonts w:ascii="Times New Roman" w:hAnsi="Times New Roman" w:cs="Times New Roman"/>
          <w:noProof/>
          <w:sz w:val="24"/>
          <w:szCs w:val="24"/>
        </w:rPr>
        <w:t xml:space="preserve">of </w:t>
      </w:r>
      <w:r>
        <w:rPr>
          <w:rFonts w:ascii="Times New Roman" w:hAnsi="Times New Roman" w:cs="Times New Roman"/>
          <w:noProof/>
          <w:sz w:val="24"/>
        </w:rPr>
        <w:t>€155 billion, to complement the investment of €360 billion that can already be expected in a "business as usual" or baseline scenario from telecommunications operators over the 2016 to 2025 period (see section 4.4).</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In more detail, the individual amounts necessary to achieve the three objectives, not counting synergies between them, are estimated as follows, based on plausible assumptions about the proportion of underlying infrastructure needs that would in each area already be met by "business as usual" market activity (e.g. fibre along motorways):</w:t>
      </w:r>
    </w:p>
    <w:p w:rsidR="004C7085" w:rsidRDefault="005163E3">
      <w:pPr>
        <w:pStyle w:val="ListParagraph"/>
        <w:numPr>
          <w:ilvl w:val="0"/>
          <w:numId w:val="8"/>
        </w:numPr>
        <w:spacing w:after="120" w:line="240" w:lineRule="auto"/>
        <w:rPr>
          <w:rFonts w:ascii="Times New Roman" w:hAnsi="Times New Roman"/>
          <w:noProof/>
          <w:sz w:val="24"/>
          <w:szCs w:val="24"/>
        </w:rPr>
      </w:pPr>
      <w:r>
        <w:rPr>
          <w:rFonts w:ascii="Times New Roman" w:hAnsi="Times New Roman"/>
          <w:noProof/>
          <w:sz w:val="24"/>
          <w:szCs w:val="24"/>
        </w:rPr>
        <w:t xml:space="preserve">Gigabit connectivity for socio-economic drivers: Providing all main European socio-economic drivers with gigabit connectivity by 2025 will require an additional €46 billion investment on very high capacity fixed networks to connect primary and secondary schools, local authority buildings, digitally intensive enterprises, business parks, universities, research centres, doctors' surgeries, hospitals, stadiums, train stations, ports and airports. This will amount </w:t>
      </w:r>
      <w:r>
        <w:rPr>
          <w:rFonts w:ascii="Times New Roman" w:hAnsi="Times New Roman"/>
          <w:i/>
          <w:noProof/>
          <w:sz w:val="24"/>
          <w:szCs w:val="24"/>
        </w:rPr>
        <w:t>on average</w:t>
      </w:r>
      <w:r>
        <w:rPr>
          <w:rFonts w:ascii="Times New Roman" w:hAnsi="Times New Roman"/>
          <w:noProof/>
          <w:sz w:val="24"/>
          <w:szCs w:val="24"/>
        </w:rPr>
        <w:t xml:space="preserve"> to an estimated maximum additional connectivity cost for each socio-economic driver institution of roughly €3500-4000 annually. In the case of a school of 20 classes with 25 students this would translate into an additional annual connectivity cost of €7-8 per student,</w:t>
      </w:r>
      <w:r>
        <w:rPr>
          <w:rStyle w:val="FootnoteReference"/>
          <w:rFonts w:ascii="Times New Roman" w:hAnsi="Times New Roman"/>
          <w:noProof/>
          <w:sz w:val="24"/>
        </w:rPr>
        <w:footnoteReference w:id="81"/>
      </w:r>
      <w:r>
        <w:rPr>
          <w:rFonts w:ascii="Times New Roman" w:hAnsi="Times New Roman"/>
          <w:noProof/>
          <w:sz w:val="24"/>
          <w:szCs w:val="24"/>
        </w:rPr>
        <w:t>.</w:t>
      </w:r>
    </w:p>
    <w:p w:rsidR="004C7085" w:rsidRDefault="005163E3">
      <w:pPr>
        <w:pStyle w:val="ListParagraph"/>
        <w:numPr>
          <w:ilvl w:val="0"/>
          <w:numId w:val="8"/>
        </w:numPr>
        <w:spacing w:after="120" w:line="240" w:lineRule="auto"/>
        <w:rPr>
          <w:rFonts w:ascii="Times New Roman" w:hAnsi="Times New Roman"/>
          <w:noProof/>
          <w:sz w:val="24"/>
        </w:rPr>
      </w:pPr>
      <w:r>
        <w:rPr>
          <w:rFonts w:ascii="Times New Roman" w:hAnsi="Times New Roman"/>
          <w:noProof/>
          <w:sz w:val="24"/>
        </w:rPr>
        <w:t>High performance 5G connectivity along main transport corridors including railways, motorways and national roads will require another €28 billion investment in mixed fix and wireless networks: €5.2 billion to connect railways, €1.5 billion to connect motorways, and €21 billion to connect national roads. In comparison with the scale of the automotive industry providing jobs for 12 million people and accounting for 4% of the EU’s GDP (more than €400 billion) the investment is not huge and would be a logical step in the process of innovation of the transport sector.</w:t>
      </w:r>
    </w:p>
    <w:p w:rsidR="004C7085" w:rsidRDefault="005163E3">
      <w:pPr>
        <w:pStyle w:val="ListParagraph"/>
        <w:numPr>
          <w:ilvl w:val="0"/>
          <w:numId w:val="8"/>
        </w:numPr>
        <w:spacing w:after="120" w:line="240" w:lineRule="auto"/>
        <w:rPr>
          <w:rFonts w:ascii="Times New Roman" w:hAnsi="Times New Roman"/>
          <w:noProof/>
          <w:sz w:val="24"/>
        </w:rPr>
      </w:pPr>
      <w:r>
        <w:rPr>
          <w:rFonts w:ascii="Times New Roman" w:hAnsi="Times New Roman"/>
          <w:noProof/>
          <w:sz w:val="24"/>
        </w:rPr>
        <w:t>Improved connectivity in rural areas will require a €127 billion investment in a combination of fixed, wireless large and small cell-based networks:</w:t>
      </w:r>
    </w:p>
    <w:p w:rsidR="004C7085" w:rsidRDefault="005163E3">
      <w:pPr>
        <w:pStyle w:val="ListParagraph"/>
        <w:numPr>
          <w:ilvl w:val="1"/>
          <w:numId w:val="8"/>
        </w:numPr>
        <w:spacing w:after="120" w:line="240" w:lineRule="auto"/>
        <w:rPr>
          <w:rFonts w:ascii="Times New Roman" w:hAnsi="Times New Roman"/>
          <w:noProof/>
          <w:sz w:val="24"/>
        </w:rPr>
      </w:pPr>
      <w:r>
        <w:rPr>
          <w:rFonts w:ascii="Times New Roman" w:hAnsi="Times New Roman"/>
          <w:noProof/>
          <w:sz w:val="24"/>
        </w:rPr>
        <w:t>The cost per user grows exponentially as the network reaches less and less populated areas, where the number of users sharing it is smaller. While the first 50% population coverage requires 20-25% of the total investment the last 5% are the most costly and difficult to connect. For this reason, the last 5% of households, roughly 11 million households, are assumed to be covered by macro cell infrastructure only (with very high capacity backhaul). Deployment of wireless connectivity offering the last 5% at least a download speed of 100 Mbps is estimated to cost over €24 billion. It is clear that this investment will require public intervention – public investment or publicly enabled investment.</w:t>
      </w:r>
    </w:p>
    <w:p w:rsidR="004C7085" w:rsidRDefault="005163E3">
      <w:pPr>
        <w:pStyle w:val="ListParagraph"/>
        <w:numPr>
          <w:ilvl w:val="1"/>
          <w:numId w:val="8"/>
        </w:numPr>
        <w:spacing w:after="120" w:line="240" w:lineRule="auto"/>
        <w:rPr>
          <w:rFonts w:ascii="Times New Roman" w:hAnsi="Times New Roman"/>
          <w:noProof/>
          <w:sz w:val="24"/>
        </w:rPr>
      </w:pPr>
      <w:r>
        <w:rPr>
          <w:rFonts w:ascii="Times New Roman" w:hAnsi="Times New Roman"/>
          <w:noProof/>
          <w:sz w:val="24"/>
        </w:rPr>
        <w:t>For the other 95% of households, we expect a variety of approaches, between macro and micro cells for wireless and FTTH/B for fixed connectivity. On the assumption that each type of infrastructure will account for an equal part of the future deployment, the investment needs would amount to €103 billion,</w:t>
      </w:r>
    </w:p>
    <w:p w:rsidR="004C7085" w:rsidRDefault="005163E3">
      <w:pPr>
        <w:spacing w:after="120" w:line="240" w:lineRule="auto"/>
        <w:jc w:val="both"/>
        <w:rPr>
          <w:rFonts w:ascii="Times New Roman" w:hAnsi="Times New Roman"/>
          <w:noProof/>
          <w:sz w:val="24"/>
        </w:rPr>
      </w:pPr>
      <w:r>
        <w:rPr>
          <w:rFonts w:ascii="Times New Roman" w:hAnsi="Times New Roman" w:cs="Times New Roman"/>
          <w:noProof/>
          <w:sz w:val="24"/>
        </w:rPr>
        <w:t>The total of €201 billion, being the sum of all three options, does not take into consideration economies of scale and the synergies which could be used in combining more than one scenario. Based on the study by Analysys Mason we assume in particular that the re-use of the fibre networks rollout for reaching the first objective could produce up to € 46 billion savings in the third one. Therefore the final additional investment needed would be approximately € 155 billion.</w:t>
      </w:r>
    </w:p>
    <w:p w:rsidR="004C7085" w:rsidRDefault="004C7085">
      <w:pPr>
        <w:tabs>
          <w:tab w:val="center" w:pos="4513"/>
        </w:tabs>
        <w:spacing w:after="120" w:line="240" w:lineRule="auto"/>
        <w:jc w:val="both"/>
        <w:rPr>
          <w:rFonts w:ascii="Times New Roman" w:hAnsi="Times New Roman" w:cs="Times New Roman"/>
          <w:i/>
          <w:noProof/>
          <w:sz w:val="18"/>
          <w:lang w:eastAsia="nl-NL"/>
        </w:rPr>
      </w:pPr>
    </w:p>
    <w:p w:rsidR="004C7085" w:rsidRDefault="005163E3">
      <w:pPr>
        <w:rPr>
          <w:rFonts w:ascii="Times New Roman" w:hAnsi="Times New Roman" w:cs="Times New Roman"/>
          <w:b/>
          <w:noProof/>
          <w:sz w:val="32"/>
        </w:rPr>
      </w:pPr>
      <w:bookmarkStart w:id="226" w:name="_Toc457320820"/>
      <w:bookmarkStart w:id="227" w:name="_Toc457386849"/>
      <w:bookmarkStart w:id="228" w:name="_Toc457320821"/>
      <w:bookmarkStart w:id="229" w:name="_Toc457386850"/>
      <w:bookmarkStart w:id="230" w:name="_Toc457320850"/>
      <w:bookmarkStart w:id="231" w:name="_Toc457386877"/>
      <w:bookmarkStart w:id="232" w:name="_Toc457320872"/>
      <w:bookmarkStart w:id="233" w:name="_Toc457386899"/>
      <w:bookmarkStart w:id="234" w:name="_Toc457386900"/>
      <w:bookmarkStart w:id="235" w:name="_Toc457386901"/>
      <w:bookmarkStart w:id="236" w:name="_Toc457386902"/>
      <w:bookmarkStart w:id="237" w:name="_Toc457386903"/>
      <w:bookmarkStart w:id="238" w:name="_Toc457386904"/>
      <w:bookmarkStart w:id="239" w:name="_Toc457386905"/>
      <w:bookmarkStart w:id="240" w:name="_Toc457386906"/>
      <w:bookmarkStart w:id="241" w:name="_Toc457386907"/>
      <w:bookmarkStart w:id="242" w:name="_Toc457386908"/>
      <w:bookmarkStart w:id="243" w:name="_Toc457386909"/>
      <w:bookmarkStart w:id="244" w:name="_Toc457386911"/>
      <w:bookmarkStart w:id="245" w:name="_Toc457386913"/>
      <w:bookmarkStart w:id="246" w:name="_Toc457386915"/>
      <w:bookmarkStart w:id="247" w:name="_Toc457386927"/>
      <w:bookmarkStart w:id="248" w:name="_Toc457386929"/>
      <w:bookmarkStart w:id="249" w:name="_Toc457386933"/>
      <w:bookmarkStart w:id="250" w:name="_Toc457386934"/>
      <w:bookmarkStart w:id="251" w:name="_Toc457386935"/>
      <w:bookmarkStart w:id="252" w:name="_Toc457386936"/>
      <w:bookmarkStart w:id="253" w:name="_Toc457386938"/>
      <w:bookmarkStart w:id="254" w:name="_Toc457386944"/>
      <w:bookmarkStart w:id="255" w:name="_Toc457386945"/>
      <w:bookmarkStart w:id="256" w:name="_Toc457386946"/>
      <w:bookmarkStart w:id="257" w:name="_Toc457386951"/>
      <w:bookmarkStart w:id="258" w:name="_Toc457386954"/>
      <w:bookmarkStart w:id="259" w:name="_Toc457386956"/>
      <w:bookmarkStart w:id="260" w:name="_Toc457386957"/>
      <w:bookmarkStart w:id="261" w:name="_Toc457386958"/>
      <w:bookmarkStart w:id="262" w:name="_Toc457386959"/>
      <w:bookmarkStart w:id="263" w:name="_Toc457386960"/>
      <w:bookmarkStart w:id="264" w:name="_Toc457386961"/>
      <w:bookmarkStart w:id="265" w:name="_Toc457386962"/>
      <w:bookmarkStart w:id="266" w:name="_Toc457386963"/>
      <w:bookmarkStart w:id="267" w:name="_Toc457386965"/>
      <w:bookmarkStart w:id="268" w:name="_Toc457386966"/>
      <w:bookmarkStart w:id="269" w:name="_Toc457386967"/>
      <w:bookmarkStart w:id="270" w:name="_Toc457386968"/>
      <w:bookmarkStart w:id="271" w:name="_Toc457386969"/>
      <w:bookmarkStart w:id="272" w:name="_Toc457386970"/>
      <w:bookmarkStart w:id="273" w:name="_Toc457386971"/>
      <w:bookmarkStart w:id="274" w:name="_Toc457386973"/>
      <w:bookmarkStart w:id="275" w:name="_Toc457386975"/>
      <w:bookmarkStart w:id="276" w:name="_Toc457386976"/>
      <w:bookmarkStart w:id="277" w:name="_Toc457386977"/>
      <w:bookmarkStart w:id="278" w:name="_Toc457386978"/>
      <w:bookmarkStart w:id="279" w:name="_Toc457386979"/>
      <w:bookmarkStart w:id="280" w:name="_Toc457386980"/>
      <w:bookmarkStart w:id="281" w:name="_Toc457386981"/>
      <w:bookmarkStart w:id="282" w:name="_Toc457386982"/>
      <w:bookmarkStart w:id="283" w:name="_Toc457386983"/>
      <w:bookmarkStart w:id="284" w:name="_Toc457386984"/>
      <w:bookmarkStart w:id="285" w:name="_Toc457386985"/>
      <w:bookmarkStart w:id="286" w:name="_Toc457386987"/>
      <w:bookmarkStart w:id="287" w:name="_Toc457386988"/>
      <w:bookmarkStart w:id="288" w:name="_Toc457386989"/>
      <w:bookmarkStart w:id="289" w:name="_Toc457386990"/>
      <w:bookmarkStart w:id="290" w:name="_Toc457386991"/>
      <w:bookmarkStart w:id="291" w:name="_Toc457386992"/>
      <w:bookmarkStart w:id="292" w:name="_Toc457320887"/>
      <w:bookmarkStart w:id="293" w:name="_Toc457387003"/>
      <w:bookmarkStart w:id="294" w:name="_Toc457320889"/>
      <w:bookmarkStart w:id="295" w:name="_Toc457387005"/>
      <w:bookmarkStart w:id="296" w:name="_Toc457320891"/>
      <w:bookmarkStart w:id="297" w:name="_Toc457387007"/>
      <w:bookmarkStart w:id="298" w:name="_Toc457320897"/>
      <w:bookmarkStart w:id="299" w:name="_Toc457387013"/>
      <w:bookmarkStart w:id="300" w:name="_Toc458161143"/>
      <w:bookmarkStart w:id="301" w:name="_Toc458450309"/>
      <w:bookmarkStart w:id="302" w:name="_Toc458461581"/>
      <w:bookmarkStart w:id="303" w:name="_Toc458467548"/>
      <w:bookmarkStart w:id="304" w:name="_Toc45825743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rFonts w:ascii="Times New Roman" w:hAnsi="Times New Roman" w:cs="Times New Roman"/>
          <w:b/>
          <w:noProof/>
          <w:sz w:val="32"/>
        </w:rPr>
        <w:br w:type="page"/>
      </w:r>
    </w:p>
    <w:p w:rsidR="004C7085" w:rsidRDefault="005163E3">
      <w:pPr>
        <w:spacing w:after="120" w:line="240" w:lineRule="auto"/>
        <w:rPr>
          <w:rFonts w:ascii="Times New Roman" w:hAnsi="Times New Roman" w:cs="Times New Roman"/>
          <w:noProof/>
          <w:sz w:val="32"/>
        </w:rPr>
      </w:pPr>
      <w:r>
        <w:rPr>
          <w:rFonts w:ascii="Times New Roman" w:hAnsi="Times New Roman" w:cs="Times New Roman"/>
          <w:b/>
          <w:noProof/>
          <w:sz w:val="32"/>
        </w:rPr>
        <w:t xml:space="preserve">Annex: </w:t>
      </w:r>
      <w:r>
        <w:rPr>
          <w:rFonts w:ascii="Times New Roman" w:hAnsi="Times New Roman" w:cs="Times New Roman"/>
          <w:b/>
          <w:noProof/>
          <w:sz w:val="32"/>
        </w:rPr>
        <w:tab/>
        <w:t>Technological developments</w:t>
      </w:r>
      <w:bookmarkEnd w:id="300"/>
      <w:bookmarkEnd w:id="301"/>
      <w:bookmarkEnd w:id="302"/>
      <w:bookmarkEnd w:id="303"/>
      <w:bookmarkEnd w:id="304"/>
      <w:r>
        <w:rPr>
          <w:rFonts w:ascii="Times New Roman" w:hAnsi="Times New Roman" w:cs="Times New Roman"/>
          <w:b/>
          <w:noProof/>
          <w:sz w:val="32"/>
        </w:rPr>
        <w:t xml:space="preserve"> </w:t>
      </w:r>
    </w:p>
    <w:p w:rsidR="004C7085" w:rsidRDefault="004C7085">
      <w:pPr>
        <w:spacing w:after="120" w:line="240" w:lineRule="auto"/>
        <w:rPr>
          <w:rFonts w:ascii="Times New Roman" w:hAnsi="Times New Roman" w:cs="Times New Roman"/>
          <w:noProof/>
        </w:rPr>
      </w:pPr>
    </w:p>
    <w:p w:rsidR="004C7085" w:rsidRDefault="005163E3">
      <w:pPr>
        <w:pStyle w:val="Heading2"/>
        <w:numPr>
          <w:ilvl w:val="0"/>
          <w:numId w:val="16"/>
        </w:numPr>
        <w:spacing w:before="0" w:after="120" w:line="240" w:lineRule="auto"/>
        <w:rPr>
          <w:rFonts w:ascii="Times New Roman" w:hAnsi="Times New Roman" w:cs="Times New Roman"/>
          <w:noProof/>
        </w:rPr>
      </w:pPr>
      <w:bookmarkStart w:id="305" w:name="_Toc458161144"/>
      <w:bookmarkStart w:id="306" w:name="_Toc458188086"/>
      <w:bookmarkStart w:id="307" w:name="_Toc458188245"/>
      <w:bookmarkStart w:id="308" w:name="_Toc458450310"/>
      <w:bookmarkStart w:id="309" w:name="_Toc458461582"/>
      <w:bookmarkStart w:id="310" w:name="_Toc458467549"/>
      <w:bookmarkStart w:id="311" w:name="_Toc458257433"/>
      <w:bookmarkStart w:id="312" w:name="_Toc461050816"/>
      <w:r>
        <w:rPr>
          <w:rFonts w:ascii="Times New Roman" w:hAnsi="Times New Roman" w:cs="Times New Roman"/>
          <w:noProof/>
        </w:rPr>
        <w:t>Which technology?</w:t>
      </w:r>
      <w:bookmarkEnd w:id="305"/>
      <w:bookmarkEnd w:id="306"/>
      <w:bookmarkEnd w:id="307"/>
      <w:bookmarkEnd w:id="308"/>
      <w:bookmarkEnd w:id="309"/>
      <w:bookmarkEnd w:id="310"/>
      <w:bookmarkEnd w:id="311"/>
      <w:bookmarkEnd w:id="312"/>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 xml:space="preserve">Each year more and more fibre is being laid in Europe increasing the capacity, reliability and speed of the network. The deepening of the fibre (bringing it closer to the user) is taking place in a growing number of densely populated areas. However, the picture is not homogeneous. Even in more prosperous Member States, there are wide variations – attributable in part to differences in costs, in availability of duct infrastructure, in digital literacy and demand, but also no doubt to differences in commercial strategy – while some poorer Member States are leap-frogging. </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A key question for policy-makers as well as investors is how will technological developments impact network performance and, in particular, i) whether future bandwidth requirements can be met through incremental upgrades of existing twisted pair copper and coax networks or require new investment notably in fibre networks reaching the user (FTTH/B); and ii) whether evolution of mobile technologies may enable some degree of substitution with fixed networks.</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 xml:space="preserve">While in new greenfield deployments fibre will be the technology of choice, in the presence of a network constituted of twisted copper pairs, operators must decide whether to prolong the life of the existing network through new technologies, often replacing a limited part of the network with fibre, or roll out an entirely new fibre network. </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Twisted copper pairs may be able to cope with downlink demand for video until 2024, when 8KTV (the current highest ultra-high definition television resolution in digital television and digital cinematography) will become available</w:t>
      </w:r>
      <w:r>
        <w:rPr>
          <w:rStyle w:val="FootnoteReference"/>
          <w:rFonts w:ascii="Times New Roman" w:hAnsi="Times New Roman" w:cs="Times New Roman"/>
          <w:noProof/>
          <w:sz w:val="24"/>
          <w:szCs w:val="24"/>
          <w:lang w:eastAsia="nl-NL"/>
        </w:rPr>
        <w:footnoteReference w:id="82"/>
      </w:r>
      <w:r>
        <w:rPr>
          <w:rFonts w:ascii="Times New Roman" w:hAnsi="Times New Roman" w:cs="Times New Roman"/>
          <w:noProof/>
          <w:sz w:val="24"/>
          <w:szCs w:val="24"/>
          <w:lang w:eastAsia="nl-NL"/>
        </w:rPr>
        <w:t xml:space="preserve">. However the result is different in a demand scenario taking account of cloud and small business and home office usage where customers also have increased requirements for traffic symmetry (similar upload and download capabilities). In this scenario, very high capacity (VHC) technologies (G.Fast very close to the end user/FTTB, DOCSIS 3.1 and FTTH) would be needed at an earlier stage to meet the challenge. </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In due course and as an alternative to the fixed last mile, it will be most likely possible to connect the customer with wireless high capacity networks, including wireless fixed links which focus on serving specific premises rather than supporting mobile use throughout an area. However, this will also require fibre connectivity to the base station, which will translate into a few hundred meters from the user depending on the spectrum availability.</w:t>
      </w:r>
    </w:p>
    <w:p w:rsidR="004C7085" w:rsidRDefault="005163E3">
      <w:pPr>
        <w:spacing w:after="120" w:line="240" w:lineRule="auto"/>
        <w:jc w:val="both"/>
        <w:rPr>
          <w:rStyle w:val="Corpsdutexte"/>
          <w:rFonts w:ascii="Times New Roman" w:eastAsia="Times New Roman" w:hAnsi="Times New Roman" w:cs="Times New Roman"/>
          <w:noProof/>
          <w:color w:val="000000"/>
          <w:sz w:val="24"/>
          <w:szCs w:val="24"/>
          <w:lang w:val="en-US"/>
        </w:rPr>
      </w:pPr>
      <w:r>
        <w:rPr>
          <w:rStyle w:val="Corpsdutexte"/>
          <w:rFonts w:ascii="Times New Roman" w:eastAsia="Times New Roman" w:hAnsi="Times New Roman" w:cs="Times New Roman"/>
          <w:noProof/>
          <w:color w:val="000000"/>
          <w:sz w:val="24"/>
          <w:szCs w:val="24"/>
          <w:lang w:val="en-US"/>
        </w:rPr>
        <w:t xml:space="preserve">This having been said, it should be noted that no data exists that would allow the estimation of future bandwidth needs of those sections of today's society that can be considered "digital natives " (below 25 years old) and which are driving data consumption already today. </w:t>
      </w:r>
    </w:p>
    <w:p w:rsidR="004C7085" w:rsidRDefault="005163E3">
      <w:pPr>
        <w:spacing w:after="120" w:line="240" w:lineRule="auto"/>
        <w:jc w:val="both"/>
        <w:rPr>
          <w:rStyle w:val="Corpsdutexte"/>
          <w:rFonts w:ascii="Times New Roman" w:eastAsia="Times New Roman" w:hAnsi="Times New Roman" w:cs="Times New Roman"/>
          <w:noProof/>
          <w:color w:val="000000"/>
          <w:sz w:val="24"/>
          <w:szCs w:val="24"/>
          <w:lang w:val="en-US"/>
        </w:rPr>
      </w:pPr>
      <w:r>
        <w:rPr>
          <w:rFonts w:ascii="Times New Roman" w:hAnsi="Times New Roman" w:cs="Times New Roman"/>
          <w:noProof/>
          <w:sz w:val="24"/>
          <w:szCs w:val="24"/>
        </w:rPr>
        <w:t>Overall, fully or almost fully fibre-based networks are clearly in a better position to handle the challenges of improve connectivity parameters than their VDSL or cable competitors, although technological evolution such as the advent of DOCSIS 3.1 may alleviate several of the latter's constraints, though probably not offering all the benefits and characteristics</w:t>
      </w:r>
      <w:r>
        <w:rPr>
          <w:noProof/>
        </w:rPr>
        <w:t xml:space="preserve"> of </w:t>
      </w:r>
      <w:r>
        <w:rPr>
          <w:rFonts w:ascii="Times New Roman" w:hAnsi="Times New Roman" w:cs="Times New Roman"/>
          <w:noProof/>
          <w:sz w:val="24"/>
          <w:szCs w:val="24"/>
        </w:rPr>
        <w:t xml:space="preserve">fully fibre-based networks (see section IV below). It must also be acknowledged that the quality of a fully fibred network can also vary depending on design choices of the operator, including as regards active equipment. </w:t>
      </w:r>
      <w:r>
        <w:rPr>
          <w:rStyle w:val="Corpsdutexte"/>
          <w:rFonts w:ascii="Times New Roman" w:eastAsia="Times New Roman" w:hAnsi="Times New Roman" w:cs="Times New Roman"/>
          <w:noProof/>
          <w:color w:val="000000"/>
          <w:sz w:val="24"/>
          <w:szCs w:val="24"/>
          <w:lang w:val="en-US"/>
        </w:rPr>
        <w:t>There is an emerging consensus among industry players and investors that, in the medium and long run, connectivity providers, both fixed and mobile, will have to rely on ubiquitous</w:t>
      </w:r>
      <w:r>
        <w:rPr>
          <w:rStyle w:val="Corpsdutexte"/>
          <w:rFonts w:ascii="Times New Roman" w:eastAsia="Times New Roman" w:hAnsi="Times New Roman" w:cs="Times New Roman"/>
          <w:noProof/>
          <w:color w:val="000000"/>
          <w:sz w:val="24"/>
          <w:szCs w:val="24"/>
        </w:rPr>
        <w:t xml:space="preserve"> fibre</w:t>
      </w:r>
      <w:r>
        <w:rPr>
          <w:rStyle w:val="Corpsdutexte"/>
          <w:rFonts w:ascii="Times New Roman" w:eastAsia="Times New Roman" w:hAnsi="Times New Roman" w:cs="Times New Roman"/>
          <w:noProof/>
          <w:color w:val="000000"/>
          <w:sz w:val="24"/>
          <w:szCs w:val="24"/>
          <w:lang w:val="en-US"/>
        </w:rPr>
        <w:t xml:space="preserve"> infrastructures deployed very close to end-users' premises (buildings, wireless small cells) to support their business. </w:t>
      </w:r>
    </w:p>
    <w:p w:rsidR="004C7085" w:rsidRDefault="005163E3">
      <w:pPr>
        <w:spacing w:after="120" w:line="240" w:lineRule="auto"/>
        <w:jc w:val="both"/>
        <w:rPr>
          <w:rStyle w:val="Corpsdutexte"/>
          <w:rFonts w:ascii="Times New Roman" w:eastAsia="Times New Roman" w:hAnsi="Times New Roman" w:cs="Times New Roman"/>
          <w:noProof/>
          <w:color w:val="000000"/>
          <w:sz w:val="24"/>
          <w:szCs w:val="24"/>
          <w:lang w:val="en-US"/>
        </w:rPr>
      </w:pPr>
      <w:r>
        <w:rPr>
          <w:rStyle w:val="Corpsdutexte"/>
          <w:rFonts w:ascii="Times New Roman" w:eastAsia="Times New Roman" w:hAnsi="Times New Roman" w:cs="Times New Roman"/>
          <w:noProof/>
          <w:color w:val="000000"/>
          <w:sz w:val="24"/>
          <w:szCs w:val="24"/>
          <w:lang w:val="en-US"/>
        </w:rPr>
        <w:t xml:space="preserve">There are also differences of view as to what the timeline should be, which may be founded on genuinely different assessments as regards the pick-up in demand, the materialization of new services and applications, and the progress that can be made through intermediate technical solutions linked to legacy infrastructures – but can also be influenced by strategic considerations of operators who currently own such legacy infrastructures and may consider it to be profit-maximizing to delay such a transition, even at the cost of beneficial externalities for society as a whole. </w:t>
      </w:r>
    </w:p>
    <w:p w:rsidR="004C7085" w:rsidRDefault="004C7085">
      <w:pPr>
        <w:spacing w:after="120" w:line="240" w:lineRule="auto"/>
        <w:rPr>
          <w:rFonts w:ascii="Times New Roman" w:hAnsi="Times New Roman" w:cs="Times New Roman"/>
          <w:noProof/>
          <w:lang w:val="en-US"/>
        </w:rPr>
      </w:pPr>
    </w:p>
    <w:p w:rsidR="004C7085" w:rsidRDefault="005163E3">
      <w:pPr>
        <w:pStyle w:val="Heading2"/>
        <w:numPr>
          <w:ilvl w:val="0"/>
          <w:numId w:val="16"/>
        </w:numPr>
        <w:spacing w:before="0" w:after="120" w:line="240" w:lineRule="auto"/>
        <w:rPr>
          <w:rFonts w:ascii="Times New Roman" w:hAnsi="Times New Roman"/>
          <w:noProof/>
          <w:sz w:val="24"/>
        </w:rPr>
      </w:pPr>
      <w:bookmarkStart w:id="313" w:name="_Toc458188087"/>
      <w:bookmarkStart w:id="314" w:name="_Toc458161145"/>
      <w:bookmarkStart w:id="315" w:name="_Toc458188088"/>
      <w:bookmarkStart w:id="316" w:name="_Toc458188246"/>
      <w:bookmarkStart w:id="317" w:name="_Toc458450311"/>
      <w:bookmarkStart w:id="318" w:name="_Toc458461583"/>
      <w:bookmarkStart w:id="319" w:name="_Toc458257434"/>
      <w:bookmarkStart w:id="320" w:name="_Toc458467550"/>
      <w:bookmarkStart w:id="321" w:name="_Toc461050817"/>
      <w:bookmarkEnd w:id="313"/>
      <w:r>
        <w:rPr>
          <w:rFonts w:ascii="Times New Roman" w:hAnsi="Times New Roman" w:cs="Times New Roman"/>
          <w:noProof/>
        </w:rPr>
        <w:t>What will technology deliver</w:t>
      </w:r>
      <w:bookmarkEnd w:id="314"/>
      <w:bookmarkEnd w:id="315"/>
      <w:bookmarkEnd w:id="316"/>
      <w:bookmarkEnd w:id="317"/>
      <w:bookmarkEnd w:id="318"/>
      <w:bookmarkEnd w:id="319"/>
      <w:bookmarkEnd w:id="320"/>
      <w:bookmarkEnd w:id="321"/>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The next figure illustrates that physical capabilities of the technologies or transmission media set barriers to certain applications – some of which derive directly from the laws of physics (the speed of light relative to the transmission of electrons). For example, the last arrow, showing the efficiency range for technologies, illustrates that the high-speed copper solutions give rapidly declining performance at more than 250 metres from the end-user, thus requiring fibre to be deployed to a drop point situated at that maximum distance from the end user premises to be effective.</w:t>
      </w:r>
    </w:p>
    <w:p w:rsidR="004C7085" w:rsidRDefault="004C7085">
      <w:pPr>
        <w:spacing w:after="120" w:line="240" w:lineRule="auto"/>
        <w:jc w:val="both"/>
        <w:rPr>
          <w:rFonts w:ascii="Times New Roman" w:eastAsia="Times New Roman" w:hAnsi="Times New Roman" w:cs="Times New Roman"/>
          <w:i/>
          <w:noProof/>
          <w:sz w:val="24"/>
          <w:szCs w:val="24"/>
          <w:u w:val="single"/>
          <w:lang w:eastAsia="de-DE"/>
        </w:rPr>
      </w:pPr>
    </w:p>
    <w:p w:rsidR="004C7085" w:rsidRDefault="005163E3">
      <w:pPr>
        <w:pStyle w:val="Heading4"/>
        <w:keepNext/>
        <w:rPr>
          <w:noProof/>
        </w:rPr>
      </w:pPr>
      <w:r>
        <w:rPr>
          <w:noProof/>
        </w:rPr>
        <w:t>Figure 25: Physical capabilities of the technologies or transmission media</w:t>
      </w:r>
    </w:p>
    <w:p w:rsidR="004C7085" w:rsidRDefault="004C7085">
      <w:pPr>
        <w:pStyle w:val="Heading4"/>
        <w:keepNext/>
        <w:rPr>
          <w:noProof/>
        </w:rPr>
      </w:pP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 xml:space="preserve"> </w:t>
      </w:r>
      <w:r>
        <w:rPr>
          <w:rFonts w:ascii="Times New Roman" w:hAnsi="Times New Roman" w:cs="Times New Roman"/>
          <w:noProof/>
          <w:sz w:val="24"/>
          <w:szCs w:val="24"/>
          <w:lang w:eastAsia="en-GB"/>
        </w:rPr>
        <w:drawing>
          <wp:inline distT="0" distB="0" distL="0" distR="0" wp14:anchorId="35EC30C8" wp14:editId="41183E00">
            <wp:extent cx="5459996" cy="3000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0513" cy="3006154"/>
                    </a:xfrm>
                    <a:prstGeom prst="rect">
                      <a:avLst/>
                    </a:prstGeom>
                    <a:noFill/>
                  </pic:spPr>
                </pic:pic>
              </a:graphicData>
            </a:graphic>
          </wp:inline>
        </w:drawing>
      </w:r>
    </w:p>
    <w:p w:rsidR="004C7085" w:rsidRDefault="004C7085">
      <w:pPr>
        <w:spacing w:after="120" w:line="240" w:lineRule="auto"/>
        <w:jc w:val="both"/>
        <w:rPr>
          <w:rFonts w:ascii="Times New Roman" w:hAnsi="Times New Roman" w:cs="Times New Roman"/>
          <w:noProof/>
          <w:sz w:val="24"/>
          <w:szCs w:val="24"/>
          <w:lang w:eastAsia="nl-NL"/>
        </w:rPr>
      </w:pPr>
    </w:p>
    <w:p w:rsidR="004C7085" w:rsidRDefault="005163E3">
      <w:pPr>
        <w:pStyle w:val="Heading2"/>
        <w:numPr>
          <w:ilvl w:val="0"/>
          <w:numId w:val="16"/>
        </w:numPr>
        <w:spacing w:before="0" w:after="120" w:line="240" w:lineRule="auto"/>
        <w:rPr>
          <w:rFonts w:ascii="Times New Roman" w:hAnsi="Times New Roman" w:cs="Times New Roman"/>
          <w:noProof/>
        </w:rPr>
      </w:pPr>
      <w:bookmarkStart w:id="322" w:name="_Toc458161146"/>
      <w:bookmarkStart w:id="323" w:name="_Toc458188089"/>
      <w:bookmarkStart w:id="324" w:name="_Toc458188247"/>
      <w:bookmarkStart w:id="325" w:name="_Toc458450312"/>
      <w:bookmarkStart w:id="326" w:name="_Toc458461584"/>
      <w:bookmarkStart w:id="327" w:name="_Toc458467551"/>
      <w:bookmarkStart w:id="328" w:name="_Toc458257435"/>
      <w:bookmarkStart w:id="329" w:name="_Toc461050818"/>
      <w:r>
        <w:rPr>
          <w:rFonts w:ascii="Times New Roman" w:hAnsi="Times New Roman" w:cs="Times New Roman"/>
          <w:noProof/>
        </w:rPr>
        <w:t>Copper based technologies</w:t>
      </w:r>
      <w:bookmarkEnd w:id="322"/>
      <w:bookmarkEnd w:id="323"/>
      <w:bookmarkEnd w:id="324"/>
      <w:bookmarkEnd w:id="325"/>
      <w:bookmarkEnd w:id="326"/>
      <w:bookmarkEnd w:id="327"/>
      <w:bookmarkEnd w:id="328"/>
      <w:bookmarkEnd w:id="329"/>
      <w:r>
        <w:rPr>
          <w:rFonts w:ascii="Times New Roman" w:hAnsi="Times New Roman" w:cs="Times New Roman"/>
          <w:noProof/>
        </w:rPr>
        <w:t xml:space="preserve"> </w:t>
      </w:r>
    </w:p>
    <w:p w:rsidR="004C7085" w:rsidRDefault="005163E3">
      <w:pPr>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Twisted pair copper cables have been widely deployed in the past to provide telephony). In western European countries they have reached almost 100% of homes, although in central European countries the deployment has peaked at approx. 60% as mobile wireless access has filled the gaps.</w:t>
      </w:r>
      <w:r>
        <w:rPr>
          <w:rStyle w:val="FootnoteReference"/>
          <w:rFonts w:ascii="Times New Roman" w:hAnsi="Times New Roman" w:cs="Times New Roman"/>
          <w:noProof/>
          <w:sz w:val="24"/>
          <w:szCs w:val="24"/>
          <w:lang w:eastAsia="nl-NL"/>
        </w:rPr>
        <w:footnoteReference w:id="83"/>
      </w:r>
      <w:r>
        <w:rPr>
          <w:rFonts w:ascii="Times New Roman" w:hAnsi="Times New Roman" w:cs="Times New Roman"/>
          <w:noProof/>
          <w:sz w:val="24"/>
          <w:szCs w:val="24"/>
          <w:lang w:eastAsia="nl-NL"/>
        </w:rPr>
        <w:t xml:space="preserve"> </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Internet access over twisted copper pairs has evolved over time. New technologies such as ADSL have made possible to provide higher data rates over copper networks. Figure 26 shows the progress in the theoretical data rates of the various DSL access technologies.</w:t>
      </w:r>
      <w:r>
        <w:rPr>
          <w:rFonts w:ascii="Times New Roman" w:hAnsi="Times New Roman" w:cs="Times New Roman"/>
          <w:noProof/>
          <w:sz w:val="24"/>
          <w:szCs w:val="24"/>
          <w:lang w:eastAsia="nl-NL"/>
        </w:rPr>
        <w:fldChar w:fldCharType="begin"/>
      </w:r>
      <w:r>
        <w:rPr>
          <w:rFonts w:ascii="Times New Roman" w:hAnsi="Times New Roman" w:cs="Times New Roman"/>
          <w:noProof/>
          <w:sz w:val="24"/>
          <w:szCs w:val="24"/>
          <w:lang w:eastAsia="nl-NL"/>
        </w:rPr>
        <w:instrText xml:space="preserve"> ADDIN EN.CITE &lt;EndNote&gt;&lt;Cite&gt;&lt;Author&gt;FttH Council&lt;/Author&gt;&lt;Year&gt;2014&lt;/Year&gt;&lt;RecNum&gt;3276&lt;/RecNum&gt;&lt;DisplayText&gt;(FttH Council Europe, 2014b)&lt;/DisplayText&gt;&lt;record&gt;&lt;rec-number&gt;3276&lt;/rec-number&gt;&lt;foreign-keys&gt;&lt;key app="EN" db-id="555prw9r82edt3ep9xsp92py0rt25f9xr2fx"&gt;3276&lt;/key&gt;&lt;/foreign-keys&gt;&lt;ref-type name="Report"&gt;27&lt;/ref-type&gt;&lt;contributors&gt;&lt;authors&gt;&lt;author&gt;FttH Council Europe,&lt;/author&gt;&lt;/authors&gt;&lt;/contributors&gt;&lt;titles&gt;&lt;title&gt;G.fast&lt;/title&gt;&lt;/titles&gt;&lt;dates&gt;&lt;year&gt;2014&lt;/year&gt;&lt;/dates&gt;&lt;pub-location&gt;Brussels&lt;/pub-location&gt;&lt;publisher&gt;FttH Council Europe&lt;/publisher&gt;&lt;urls&gt;&lt;/urls&gt;&lt;/record&gt;&lt;/Cite&gt;&lt;/EndNote&gt;</w:instrText>
      </w:r>
      <w:r>
        <w:rPr>
          <w:rFonts w:ascii="Times New Roman" w:hAnsi="Times New Roman" w:cs="Times New Roman"/>
          <w:noProof/>
          <w:sz w:val="24"/>
          <w:lang w:eastAsia="nl-NL"/>
        </w:rPr>
        <w:fldChar w:fldCharType="end"/>
      </w:r>
      <w:r>
        <w:rPr>
          <w:rFonts w:ascii="Times New Roman" w:hAnsi="Times New Roman" w:cs="Times New Roman"/>
          <w:noProof/>
          <w:sz w:val="24"/>
          <w:szCs w:val="24"/>
          <w:lang w:eastAsia="nl-NL"/>
        </w:rPr>
        <w:t xml:space="preserve"> It is notable that the introduction of VDSL2 vectoring is likely to raise download speed capabilities to 100 Mbps, while G.Fast could reach 1Gbps in a 2020 timeframe. However, the faster the DSL technology, the shorter is the distance from the drop point (where the fibre component of the network ends) to the customer that can still be covered on the basis of an upgraded copper network.</w:t>
      </w:r>
    </w:p>
    <w:p w:rsidR="004C7085" w:rsidRDefault="005163E3">
      <w:pPr>
        <w:pStyle w:val="Heading4"/>
        <w:keepNext/>
        <w:rPr>
          <w:noProof/>
        </w:rPr>
      </w:pPr>
      <w:r>
        <w:rPr>
          <w:noProof/>
        </w:rPr>
        <w:t>Figure 26: Evolution of DSL data rates, 1995-2020</w:t>
      </w:r>
    </w:p>
    <w:p w:rsidR="004C7085" w:rsidRDefault="005163E3">
      <w:pPr>
        <w:keepNext/>
        <w:keepLine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5A0F5B91" wp14:editId="1A38B427">
            <wp:extent cx="5426075" cy="29845"/>
            <wp:effectExtent l="0" t="0" r="0" b="0"/>
            <wp:docPr id="3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6075" cy="29845"/>
                    </a:xfrm>
                    <a:prstGeom prst="rect">
                      <a:avLst/>
                    </a:prstGeom>
                    <a:noFill/>
                    <a:ln>
                      <a:noFill/>
                    </a:ln>
                  </pic:spPr>
                </pic:pic>
              </a:graphicData>
            </a:graphic>
          </wp:inline>
        </w:drawing>
      </w:r>
    </w:p>
    <w:p w:rsidR="004C7085" w:rsidRDefault="005163E3">
      <w:pPr>
        <w:keepNext/>
        <w:keepLine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C63F3EB" wp14:editId="7191373D">
            <wp:extent cx="4572635" cy="2877820"/>
            <wp:effectExtent l="0" t="0" r="0" b="0"/>
            <wp:docPr id="36" name="Grafik 1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2877820"/>
                    </a:xfrm>
                    <a:prstGeom prst="rect">
                      <a:avLst/>
                    </a:prstGeom>
                    <a:noFill/>
                  </pic:spPr>
                </pic:pic>
              </a:graphicData>
            </a:graphic>
          </wp:inline>
        </w:drawing>
      </w:r>
    </w:p>
    <w:p w:rsidR="004C7085" w:rsidRDefault="005163E3">
      <w:pPr>
        <w:keepNext/>
        <w:keepLine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6B011A31" wp14:editId="2456AD62">
            <wp:extent cx="5588635" cy="280670"/>
            <wp:effectExtent l="0" t="0" r="0" b="5080"/>
            <wp:docPr id="37" name="Grafi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8635" cy="280670"/>
                    </a:xfrm>
                    <a:prstGeom prst="rect">
                      <a:avLst/>
                    </a:prstGeom>
                    <a:noFill/>
                    <a:ln>
                      <a:noFill/>
                    </a:ln>
                  </pic:spPr>
                </pic:pic>
              </a:graphicData>
            </a:graphic>
          </wp:inline>
        </w:drawing>
      </w:r>
    </w:p>
    <w:p w:rsidR="004C7085" w:rsidRDefault="005163E3">
      <w:pPr>
        <w:pStyle w:val="Quelle"/>
        <w:spacing w:before="0" w:after="120"/>
        <w:rPr>
          <w:rFonts w:ascii="Times New Roman" w:hAnsi="Times New Roman"/>
          <w:i/>
          <w:noProof/>
          <w:sz w:val="20"/>
        </w:rPr>
      </w:pPr>
      <w:r>
        <w:rPr>
          <w:rFonts w:ascii="Times New Roman" w:hAnsi="Times New Roman"/>
          <w:i/>
          <w:noProof/>
          <w:sz w:val="20"/>
        </w:rPr>
        <w:t xml:space="preserve">Source: </w:t>
      </w:r>
      <w:r>
        <w:rPr>
          <w:rFonts w:ascii="Times New Roman" w:hAnsi="Times New Roman"/>
          <w:i/>
          <w:noProof/>
          <w:sz w:val="20"/>
        </w:rPr>
        <w:tab/>
        <w:t>FttH Council Europe (2014). G.Fast. Brussels: FttH Council Europe</w:t>
      </w:r>
    </w:p>
    <w:p w:rsidR="004C7085" w:rsidRDefault="005163E3">
      <w:pPr>
        <w:spacing w:after="120" w:line="240" w:lineRule="auto"/>
        <w:jc w:val="both"/>
        <w:rPr>
          <w:noProof/>
        </w:rPr>
      </w:pPr>
      <w:r>
        <w:rPr>
          <w:rFonts w:ascii="Times New Roman" w:hAnsi="Times New Roman"/>
          <w:noProof/>
          <w:sz w:val="24"/>
          <w:u w:val="single"/>
        </w:rPr>
        <w:t>The practical consequence is that operators which are relying on improvements in copper technology to drive higher speeds must ultimately deploy fibre and locate associated active equipment ever closer to the customer</w:t>
      </w:r>
      <w:r>
        <w:rPr>
          <w:rStyle w:val="FootnoteReference"/>
          <w:rFonts w:ascii="Times New Roman" w:hAnsi="Times New Roman"/>
          <w:noProof/>
          <w:sz w:val="24"/>
          <w:u w:val="single"/>
        </w:rPr>
        <w:footnoteReference w:id="84"/>
      </w:r>
      <w:r>
        <w:rPr>
          <w:rFonts w:ascii="Times New Roman" w:hAnsi="Times New Roman"/>
          <w:noProof/>
          <w:sz w:val="24"/>
          <w:u w:val="single"/>
        </w:rPr>
        <w:t>.</w:t>
      </w:r>
      <w:r>
        <w:rPr>
          <w:noProof/>
        </w:rPr>
        <w:t xml:space="preserve"> </w:t>
      </w:r>
    </w:p>
    <w:p w:rsidR="004C7085" w:rsidRDefault="005163E3">
      <w:pPr>
        <w:pStyle w:val="Heading4"/>
        <w:keepNext/>
        <w:rPr>
          <w:noProof/>
        </w:rPr>
      </w:pPr>
      <w:r>
        <w:rPr>
          <w:noProof/>
        </w:rPr>
        <w:t>Figure 27: Copper access line use migration: Higher bandwidth over shorter sub-loops (source WIK)</w:t>
      </w:r>
    </w:p>
    <w:p w:rsidR="004C7085" w:rsidRDefault="005163E3">
      <w:pPr>
        <w:spacing w:after="120" w:line="240" w:lineRule="auto"/>
        <w:jc w:val="both"/>
        <w:rPr>
          <w:rFonts w:ascii="Times New Roman" w:hAnsi="Times New Roman"/>
          <w:noProof/>
          <w:sz w:val="24"/>
          <w:u w:val="single"/>
        </w:rPr>
      </w:pPr>
      <w:r>
        <w:rPr>
          <w:rFonts w:ascii="Times New Roman" w:hAnsi="Times New Roman"/>
          <w:noProof/>
          <w:sz w:val="24"/>
          <w:u w:val="single"/>
          <w:lang w:eastAsia="en-GB"/>
        </w:rPr>
        <w:drawing>
          <wp:inline distT="0" distB="0" distL="0" distR="0" wp14:anchorId="2C464B84" wp14:editId="1FCBC24C">
            <wp:extent cx="4803775" cy="2639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3775" cy="2639695"/>
                    </a:xfrm>
                    <a:prstGeom prst="rect">
                      <a:avLst/>
                    </a:prstGeom>
                    <a:noFill/>
                  </pic:spPr>
                </pic:pic>
              </a:graphicData>
            </a:graphic>
          </wp:inline>
        </w:drawing>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nl-NL"/>
        </w:rPr>
        <w:t xml:space="preserve">Figure 28 shows the historic technological developments and speed ranges in Belgium from Proximus and Telenet to </w:t>
      </w:r>
      <w:r>
        <w:rPr>
          <w:rFonts w:ascii="Times New Roman" w:hAnsi="Times New Roman" w:cs="Times New Roman"/>
          <w:noProof/>
          <w:sz w:val="24"/>
          <w:szCs w:val="24"/>
        </w:rPr>
        <w:t>the period 2015 and a forecast for subsequent years.</w:t>
      </w:r>
      <w:r>
        <w:rPr>
          <w:rStyle w:val="FootnoteReference"/>
          <w:rFonts w:ascii="Times New Roman" w:hAnsi="Times New Roman" w:cs="Times New Roman"/>
          <w:noProof/>
          <w:sz w:val="24"/>
          <w:szCs w:val="24"/>
        </w:rPr>
        <w:footnoteReference w:id="85"/>
      </w:r>
    </w:p>
    <w:p w:rsidR="004C7085" w:rsidRDefault="005163E3">
      <w:pPr>
        <w:pStyle w:val="Heading4"/>
        <w:keepNext/>
        <w:rPr>
          <w:noProof/>
        </w:rPr>
      </w:pPr>
      <w:r>
        <w:rPr>
          <w:noProof/>
        </w:rPr>
        <w:t>Figure 28: The useful life of copper, 2025 perspective</w:t>
      </w:r>
    </w:p>
    <w:p w:rsidR="004C7085" w:rsidRDefault="005163E3">
      <w:pPr>
        <w:keepNext/>
        <w:keepLine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66E9B20D" wp14:editId="2E6091C3">
            <wp:extent cx="5426075" cy="29845"/>
            <wp:effectExtent l="0" t="0" r="0" b="0"/>
            <wp:docPr id="3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6075" cy="29845"/>
                    </a:xfrm>
                    <a:prstGeom prst="rect">
                      <a:avLst/>
                    </a:prstGeom>
                    <a:noFill/>
                    <a:ln>
                      <a:noFill/>
                    </a:ln>
                  </pic:spPr>
                </pic:pic>
              </a:graphicData>
            </a:graphic>
          </wp:inline>
        </w:drawing>
      </w:r>
    </w:p>
    <w:p w:rsidR="004C7085" w:rsidRDefault="005163E3">
      <w:pPr>
        <w:keepNext/>
        <w:keepLine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58247" behindDoc="0" locked="0" layoutInCell="1" allowOverlap="1" wp14:anchorId="49C4B50A" wp14:editId="1A621A40">
                <wp:simplePos x="0" y="0"/>
                <wp:positionH relativeFrom="column">
                  <wp:posOffset>-31750</wp:posOffset>
                </wp:positionH>
                <wp:positionV relativeFrom="paragraph">
                  <wp:posOffset>2673350</wp:posOffset>
                </wp:positionV>
                <wp:extent cx="565150" cy="241300"/>
                <wp:effectExtent l="0" t="0" r="6350" b="6350"/>
                <wp:wrapNone/>
                <wp:docPr id="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1300"/>
                        </a:xfrm>
                        <a:prstGeom prst="rect">
                          <a:avLst/>
                        </a:prstGeom>
                        <a:solidFill>
                          <a:srgbClr val="FFFFFF"/>
                        </a:solidFill>
                        <a:ln w="9525">
                          <a:noFill/>
                          <a:miter lim="800000"/>
                          <a:headEnd/>
                          <a:tailEnd/>
                        </a:ln>
                      </wps:spPr>
                      <wps:txbx>
                        <w:txbxContent>
                          <w:p w:rsidR="005163E3" w:rsidRDefault="005163E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pt;margin-top:210.5pt;width:44.5pt;height:1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" stroked="f">
                <v:textbox>
                  <w:txbxContent>
                    <w:p w:rsidR="005163E3" w:rsidRDefault="005163E3">
                      <w:pPr>
                        <w:rPr>
                          <w:sz w:val="14"/>
                        </w:rPr>
                      </w:pPr>
                    </w:p>
                  </w:txbxContent>
                </v:textbox>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658246" behindDoc="0" locked="0" layoutInCell="1" allowOverlap="1" wp14:anchorId="4095C604" wp14:editId="4CDA6D35">
                <wp:simplePos x="0" y="0"/>
                <wp:positionH relativeFrom="column">
                  <wp:posOffset>-31750</wp:posOffset>
                </wp:positionH>
                <wp:positionV relativeFrom="paragraph">
                  <wp:posOffset>2146300</wp:posOffset>
                </wp:positionV>
                <wp:extent cx="565150" cy="241300"/>
                <wp:effectExtent l="0" t="0" r="6350" b="6350"/>
                <wp:wrapNone/>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1300"/>
                        </a:xfrm>
                        <a:prstGeom prst="rect">
                          <a:avLst/>
                        </a:prstGeom>
                        <a:solidFill>
                          <a:srgbClr val="FFFFFF"/>
                        </a:solidFill>
                        <a:ln w="9525">
                          <a:noFill/>
                          <a:miter lim="800000"/>
                          <a:headEnd/>
                          <a:tailEnd/>
                        </a:ln>
                      </wps:spPr>
                      <wps:txbx>
                        <w:txbxContent>
                          <w:p w:rsidR="005163E3" w:rsidRDefault="005163E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pt;margin-top:169pt;width:44.5pt;height:1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" stroked="f">
                <v:textbox>
                  <w:txbxContent>
                    <w:p w:rsidR="005163E3" w:rsidRDefault="005163E3">
                      <w:pPr>
                        <w:rPr>
                          <w:sz w:val="14"/>
                        </w:rPr>
                      </w:pPr>
                    </w:p>
                  </w:txbxContent>
                </v:textbox>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658245" behindDoc="0" locked="0" layoutInCell="1" allowOverlap="1" wp14:anchorId="729C575A" wp14:editId="72D01460">
                <wp:simplePos x="0" y="0"/>
                <wp:positionH relativeFrom="column">
                  <wp:posOffset>-31750</wp:posOffset>
                </wp:positionH>
                <wp:positionV relativeFrom="paragraph">
                  <wp:posOffset>1625600</wp:posOffset>
                </wp:positionV>
                <wp:extent cx="565150" cy="241300"/>
                <wp:effectExtent l="0" t="0" r="6350" b="6350"/>
                <wp:wrapNone/>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1300"/>
                        </a:xfrm>
                        <a:prstGeom prst="rect">
                          <a:avLst/>
                        </a:prstGeom>
                        <a:solidFill>
                          <a:srgbClr val="FFFFFF"/>
                        </a:solidFill>
                        <a:ln w="9525">
                          <a:noFill/>
                          <a:miter lim="800000"/>
                          <a:headEnd/>
                          <a:tailEnd/>
                        </a:ln>
                      </wps:spPr>
                      <wps:txbx>
                        <w:txbxContent>
                          <w:p w:rsidR="005163E3" w:rsidRDefault="005163E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pt;margin-top:128pt;width:44.5pt;height:1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wKIgIAACQ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" stroked="f">
                <v:textbox>
                  <w:txbxContent>
                    <w:p w:rsidR="005163E3" w:rsidRDefault="005163E3">
                      <w:pPr>
                        <w:rPr>
                          <w:sz w:val="14"/>
                        </w:rPr>
                      </w:pPr>
                    </w:p>
                  </w:txbxContent>
                </v:textbox>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658244" behindDoc="0" locked="0" layoutInCell="1" allowOverlap="1" wp14:anchorId="33AA8A4E" wp14:editId="3088ADAD">
                <wp:simplePos x="0" y="0"/>
                <wp:positionH relativeFrom="column">
                  <wp:posOffset>-31750</wp:posOffset>
                </wp:positionH>
                <wp:positionV relativeFrom="paragraph">
                  <wp:posOffset>1130300</wp:posOffset>
                </wp:positionV>
                <wp:extent cx="565150" cy="241300"/>
                <wp:effectExtent l="0" t="0" r="6350" b="6350"/>
                <wp:wrapNone/>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1300"/>
                        </a:xfrm>
                        <a:prstGeom prst="rect">
                          <a:avLst/>
                        </a:prstGeom>
                        <a:solidFill>
                          <a:srgbClr val="FFFFFF"/>
                        </a:solidFill>
                        <a:ln w="9525">
                          <a:noFill/>
                          <a:miter lim="800000"/>
                          <a:headEnd/>
                          <a:tailEnd/>
                        </a:ln>
                      </wps:spPr>
                      <wps:txbx>
                        <w:txbxContent>
                          <w:p w:rsidR="005163E3" w:rsidRDefault="005163E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pt;margin-top:89pt;width:44.5pt;height:1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" stroked="f">
                <v:textbox>
                  <w:txbxContent>
                    <w:p w:rsidR="005163E3" w:rsidRDefault="005163E3">
                      <w:pPr>
                        <w:rPr>
                          <w:sz w:val="14"/>
                        </w:rPr>
                      </w:pPr>
                    </w:p>
                  </w:txbxContent>
                </v:textbox>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658243" behindDoc="0" locked="0" layoutInCell="1" allowOverlap="1" wp14:anchorId="067B8970" wp14:editId="4C543B05">
                <wp:simplePos x="0" y="0"/>
                <wp:positionH relativeFrom="column">
                  <wp:posOffset>-31750</wp:posOffset>
                </wp:positionH>
                <wp:positionV relativeFrom="paragraph">
                  <wp:posOffset>660400</wp:posOffset>
                </wp:positionV>
                <wp:extent cx="565150" cy="241300"/>
                <wp:effectExtent l="0" t="0" r="6350" b="6350"/>
                <wp:wrapNone/>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1300"/>
                        </a:xfrm>
                        <a:prstGeom prst="rect">
                          <a:avLst/>
                        </a:prstGeom>
                        <a:solidFill>
                          <a:srgbClr val="FFFFFF"/>
                        </a:solidFill>
                        <a:ln w="9525">
                          <a:noFill/>
                          <a:miter lim="800000"/>
                          <a:headEnd/>
                          <a:tailEnd/>
                        </a:ln>
                      </wps:spPr>
                      <wps:txbx>
                        <w:txbxContent>
                          <w:p w:rsidR="005163E3" w:rsidRDefault="005163E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pt;margin-top:52pt;width:44.5pt;height: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" stroked="f">
                <v:textbox>
                  <w:txbxContent>
                    <w:p w:rsidR="005163E3" w:rsidRDefault="005163E3">
                      <w:pPr>
                        <w:rPr>
                          <w:sz w:val="14"/>
                        </w:rPr>
                      </w:pPr>
                    </w:p>
                  </w:txbxContent>
                </v:textbox>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658242" behindDoc="0" locked="0" layoutInCell="1" allowOverlap="1" wp14:anchorId="56690489" wp14:editId="15DFCDD2">
                <wp:simplePos x="0" y="0"/>
                <wp:positionH relativeFrom="column">
                  <wp:posOffset>-31750</wp:posOffset>
                </wp:positionH>
                <wp:positionV relativeFrom="paragraph">
                  <wp:posOffset>82550</wp:posOffset>
                </wp:positionV>
                <wp:extent cx="565150" cy="241300"/>
                <wp:effectExtent l="0" t="0" r="6350" b="6350"/>
                <wp:wrapNone/>
                <wp:docPr id="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1300"/>
                        </a:xfrm>
                        <a:prstGeom prst="rect">
                          <a:avLst/>
                        </a:prstGeom>
                        <a:solidFill>
                          <a:srgbClr val="FFFFFF"/>
                        </a:solidFill>
                        <a:ln w="9525">
                          <a:noFill/>
                          <a:miter lim="800000"/>
                          <a:headEnd/>
                          <a:tailEnd/>
                        </a:ln>
                      </wps:spPr>
                      <wps:txbx>
                        <w:txbxContent>
                          <w:p w:rsidR="005163E3" w:rsidRDefault="005163E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pt;margin-top:6.5pt;width:44.5pt;height:1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" stroked="f">
                <v:textbox>
                  <w:txbxContent>
                    <w:p w:rsidR="005163E3" w:rsidRDefault="005163E3">
                      <w:pPr>
                        <w:rPr>
                          <w:sz w:val="14"/>
                        </w:rPr>
                      </w:pPr>
                    </w:p>
                  </w:txbxContent>
                </v:textbox>
              </v:shape>
            </w:pict>
          </mc:Fallback>
        </mc:AlternateContent>
      </w:r>
      <w:r>
        <w:rPr>
          <w:rFonts w:ascii="Times New Roman" w:hAnsi="Times New Roman" w:cs="Times New Roman"/>
          <w:noProof/>
          <w:sz w:val="24"/>
          <w:lang w:eastAsia="en-GB"/>
        </w:rPr>
        <w:drawing>
          <wp:inline distT="0" distB="0" distL="0" distR="0" wp14:anchorId="45E7A0CB" wp14:editId="62106BBA">
            <wp:extent cx="4773295" cy="3627120"/>
            <wp:effectExtent l="0" t="0" r="8255" b="0"/>
            <wp:docPr id="39" name="Grafik 1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3295" cy="3627120"/>
                    </a:xfrm>
                    <a:prstGeom prst="rect">
                      <a:avLst/>
                    </a:prstGeom>
                    <a:noFill/>
                  </pic:spPr>
                </pic:pic>
              </a:graphicData>
            </a:graphic>
          </wp:inline>
        </w:drawing>
      </w:r>
    </w:p>
    <w:p w:rsidR="004C7085" w:rsidRDefault="005163E3">
      <w:pPr>
        <w:keepNext/>
        <w:keepLine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B01B290" wp14:editId="7B2BF8AE">
            <wp:extent cx="5588635" cy="280670"/>
            <wp:effectExtent l="0" t="0" r="0" b="5080"/>
            <wp:docPr id="40" name="Grafik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8635" cy="280670"/>
                    </a:xfrm>
                    <a:prstGeom prst="rect">
                      <a:avLst/>
                    </a:prstGeom>
                    <a:noFill/>
                    <a:ln>
                      <a:noFill/>
                    </a:ln>
                  </pic:spPr>
                </pic:pic>
              </a:graphicData>
            </a:graphic>
          </wp:inline>
        </w:drawing>
      </w:r>
    </w:p>
    <w:p w:rsidR="004C7085" w:rsidRDefault="005163E3">
      <w:pPr>
        <w:pStyle w:val="Quelle"/>
        <w:spacing w:before="0" w:after="120"/>
        <w:rPr>
          <w:rFonts w:ascii="Times New Roman" w:hAnsi="Times New Roman"/>
          <w:i/>
          <w:noProof/>
          <w:sz w:val="20"/>
        </w:rPr>
      </w:pPr>
      <w:r>
        <w:rPr>
          <w:rFonts w:ascii="Times New Roman" w:hAnsi="Times New Roman"/>
          <w:i/>
          <w:noProof/>
          <w:sz w:val="20"/>
        </w:rPr>
        <w:t xml:space="preserve">Source: </w:t>
      </w:r>
      <w:r>
        <w:rPr>
          <w:rFonts w:ascii="Times New Roman" w:hAnsi="Times New Roman"/>
          <w:i/>
          <w:noProof/>
          <w:sz w:val="20"/>
        </w:rPr>
        <w:tab/>
        <w:t>Wolter Lemstra</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rPr>
        <w:t>T</w:t>
      </w:r>
      <w:r>
        <w:rPr>
          <w:rFonts w:ascii="Times New Roman" w:hAnsi="Times New Roman" w:cs="Times New Roman"/>
          <w:noProof/>
          <w:sz w:val="24"/>
          <w:szCs w:val="24"/>
          <w:lang w:eastAsia="nl-NL"/>
        </w:rPr>
        <w:t xml:space="preserve">his scenario projects an average data rate of 50 Mbps and an average peak rate of approx. 220 Mbps downstream for the year 2025. </w:t>
      </w:r>
      <w:r>
        <w:rPr>
          <w:rFonts w:ascii="Times New Roman" w:hAnsi="Times New Roman" w:cs="Times New Roman"/>
          <w:noProof/>
          <w:sz w:val="24"/>
          <w:szCs w:val="24"/>
        </w:rPr>
        <w:t xml:space="preserve">The chart reflects the early and wide deployment of vectoring by Proximus. </w:t>
      </w:r>
      <w:r>
        <w:rPr>
          <w:rFonts w:ascii="Times New Roman" w:hAnsi="Times New Roman" w:cs="Times New Roman"/>
          <w:noProof/>
          <w:sz w:val="24"/>
          <w:szCs w:val="24"/>
          <w:lang w:eastAsia="nl-NL"/>
        </w:rPr>
        <w:t xml:space="preserve">With many G.Fast trials underway and the first commercial deployments being announced, broad deployment of G.Fast could start in 2018. The predicted capacity of FttDP </w:t>
      </w:r>
      <w:r>
        <w:rPr>
          <w:rStyle w:val="FootnoteReference"/>
          <w:rFonts w:ascii="Times New Roman" w:hAnsi="Times New Roman" w:cs="Times New Roman"/>
          <w:noProof/>
          <w:sz w:val="24"/>
          <w:szCs w:val="24"/>
          <w:lang w:eastAsia="nl-NL"/>
        </w:rPr>
        <w:footnoteReference w:id="86"/>
      </w:r>
      <w:r>
        <w:rPr>
          <w:rFonts w:ascii="Times New Roman" w:hAnsi="Times New Roman" w:cs="Times New Roman"/>
          <w:noProof/>
          <w:sz w:val="24"/>
          <w:szCs w:val="24"/>
          <w:lang w:eastAsia="nl-NL"/>
        </w:rPr>
        <w:t>+G.fast+G.vector on copper loops of 100 meters or less is given as at least 250 Mbps symmetrical. Under this scenario the useful life of twisted pair copper in the cable drop and in-house cable segment would be extended well beyond 2025. However, it should be noted that G.Fast requires the deployment of fibre very close to the end-user (FttDP), as well as continued OPEX heavy management of the energy and maintenance needs of active equipment at many points close to the edge of the network. It is thus not a costless solution.</w:t>
      </w:r>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DOCSIS 3.0</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could meet projected demand up to 2020, this scenario suggests an average peak connection rate in excess of 100 Mbps for 2020. However, within the next 5 years period Telenet will be in a position to upgrade from DOCSIS 3.0 to DOCSIS 3.1 and hence will be able to meet – and generate - growing demand under this scenario.</w:t>
      </w:r>
      <w:r>
        <w:rPr>
          <w:rStyle w:val="FootnoteReference"/>
          <w:rFonts w:ascii="Times New Roman" w:hAnsi="Times New Roman" w:cs="Times New Roman"/>
          <w:noProof/>
          <w:sz w:val="24"/>
          <w:szCs w:val="24"/>
        </w:rPr>
        <w:footnoteReference w:id="88"/>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rPr>
        <w:t>In conclusion, this case analysis suggests the possibility of an ‘extended life’ for copper-based access technologies towards the 2025 horizon, but only as the "last mile", which in practical terms means few hundred meters or less.</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However, the above discussion concerns the demand on the downlink. Demand on the uplink has traditionally been much smaller than on the down link, but a shift towards more balanced use is expected as a result of an increase in the use of cloud services, social media and more business usage from the customer premises. G.Fast is said to support 250 Mbps symmetrical, while DOCSIS3.1 supports 10G/1G in a shared configuration and the ratios can be adapted to market demand. Hence, both technologies appear to have ‘head room’ on the uplink for a "business as usual" evolution.</w:t>
      </w:r>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In addition, beyond the traditional focus on speed, quality (in particular jitter and packet loss) as well as responsiveness (in particular latency) of the network are increasingly relevant. Figure 25 shows that while incremental upgrades of copper networks through technologies such as vectoring and G.Fast can deliver higher speeds in particular in short distances (e.g. G-fast up to 250m), fibre networks seem to be in a better position than copper-enhanced networks to handle challenges such as symmetry between up- and download, low latency, jitter and packet loss due to the physical parameters of the medium (e.g. electric vs optical signal).</w:t>
      </w:r>
    </w:p>
    <w:p w:rsidR="004C7085" w:rsidRDefault="004C7085">
      <w:pPr>
        <w:spacing w:after="120" w:line="240" w:lineRule="auto"/>
        <w:jc w:val="both"/>
        <w:rPr>
          <w:rFonts w:ascii="Times New Roman" w:hAnsi="Times New Roman" w:cs="Times New Roman"/>
          <w:noProof/>
          <w:sz w:val="24"/>
          <w:szCs w:val="24"/>
          <w:lang w:eastAsia="nl-NL"/>
        </w:rPr>
      </w:pPr>
    </w:p>
    <w:p w:rsidR="004C7085" w:rsidRDefault="005163E3">
      <w:pPr>
        <w:pStyle w:val="Heading2"/>
        <w:numPr>
          <w:ilvl w:val="0"/>
          <w:numId w:val="16"/>
        </w:numPr>
        <w:spacing w:before="0" w:after="120" w:line="240" w:lineRule="auto"/>
        <w:rPr>
          <w:rFonts w:ascii="Times New Roman" w:hAnsi="Times New Roman" w:cs="Times New Roman"/>
          <w:noProof/>
        </w:rPr>
      </w:pPr>
      <w:bookmarkStart w:id="330" w:name="_Toc458161147"/>
      <w:bookmarkStart w:id="331" w:name="_Toc458188090"/>
      <w:bookmarkStart w:id="332" w:name="_Toc458188248"/>
      <w:bookmarkStart w:id="333" w:name="_Toc458450313"/>
      <w:bookmarkStart w:id="334" w:name="_Toc458461585"/>
      <w:bookmarkStart w:id="335" w:name="_Toc458467552"/>
      <w:bookmarkStart w:id="336" w:name="_Toc458257436"/>
      <w:bookmarkStart w:id="337" w:name="_Toc461050819"/>
      <w:r>
        <w:rPr>
          <w:rFonts w:ascii="Times New Roman" w:hAnsi="Times New Roman" w:cs="Times New Roman"/>
          <w:noProof/>
        </w:rPr>
        <w:t>Optical fibre – a new generation of networks</w:t>
      </w:r>
      <w:bookmarkEnd w:id="330"/>
      <w:bookmarkEnd w:id="331"/>
      <w:bookmarkEnd w:id="332"/>
      <w:bookmarkEnd w:id="333"/>
      <w:bookmarkEnd w:id="334"/>
      <w:bookmarkEnd w:id="335"/>
      <w:bookmarkEnd w:id="336"/>
      <w:bookmarkEnd w:id="337"/>
    </w:p>
    <w:p w:rsidR="004C7085" w:rsidRDefault="005163E3">
      <w:pPr>
        <w:spacing w:after="120" w:line="240" w:lineRule="auto"/>
        <w:jc w:val="both"/>
        <w:rPr>
          <w:rFonts w:ascii="Times New Roman" w:hAnsi="Times New Roman" w:cs="Times New Roman"/>
          <w:noProof/>
          <w:sz w:val="24"/>
          <w:szCs w:val="24"/>
          <w:lang w:eastAsia="nl-NL"/>
        </w:rPr>
      </w:pPr>
      <w:r>
        <w:rPr>
          <w:rFonts w:ascii="Times New Roman" w:hAnsi="Times New Roman" w:cs="Times New Roman"/>
          <w:noProof/>
          <w:sz w:val="24"/>
          <w:szCs w:val="24"/>
          <w:lang w:eastAsia="nl-NL"/>
        </w:rPr>
        <w:t>In order to meet growing demand from the users, access with new technologies will be necessary and the most appropriate technology mix would be a combination of the fixed and wireless networks proving the most efficient mix at a reasonable price. Whatever technology is selected as the access to the customer in the final mile, the core network and backhaul will require optical fibre. Similarly, fibre deepening to a large degree is a prerequisite to all the other technologies, which deliver high connectivity.</w:t>
      </w:r>
    </w:p>
    <w:p w:rsidR="004C7085" w:rsidRDefault="005163E3">
      <w:pPr>
        <w:spacing w:after="120" w:line="240" w:lineRule="auto"/>
        <w:jc w:val="both"/>
        <w:rPr>
          <w:rFonts w:ascii="Times New Roman" w:hAnsi="Times New Roman" w:cs="Times New Roman"/>
          <w:noProof/>
          <w:sz w:val="24"/>
          <w:lang w:eastAsia="nl-NL"/>
        </w:rPr>
      </w:pPr>
      <w:r>
        <w:rPr>
          <w:rFonts w:ascii="Times New Roman" w:hAnsi="Times New Roman" w:cs="Times New Roman"/>
          <w:noProof/>
          <w:sz w:val="24"/>
          <w:lang w:eastAsia="nl-NL"/>
        </w:rPr>
        <w:t>Optical fibre-based transmission is probably the most robust high-throughput technology available today. It has seen wide deployment in long-distance networks following the liberalization in the late 1980s, in support of the growing needs from the booming Internet and mobile communication services.</w:t>
      </w:r>
      <w:r>
        <w:rPr>
          <w:rStyle w:val="FootnoteReference"/>
          <w:rFonts w:ascii="Times New Roman" w:hAnsi="Times New Roman" w:cs="Times New Roman"/>
          <w:noProof/>
          <w:sz w:val="24"/>
          <w:lang w:eastAsia="nl-NL"/>
        </w:rPr>
        <w:footnoteReference w:id="89"/>
      </w:r>
      <w:r>
        <w:rPr>
          <w:rFonts w:ascii="Times New Roman" w:hAnsi="Times New Roman" w:cs="Times New Roman"/>
          <w:noProof/>
          <w:sz w:val="24"/>
          <w:lang w:eastAsia="nl-NL"/>
        </w:rPr>
        <w:t xml:space="preserve"> </w:t>
      </w:r>
    </w:p>
    <w:p w:rsidR="004C7085" w:rsidRDefault="005163E3">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Apart from output fibre networks offer quite a few beneficial characteristics:</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Low latency: </w:t>
      </w:r>
      <w:r>
        <w:rPr>
          <w:rFonts w:ascii="Times New Roman" w:hAnsi="Times New Roman"/>
          <w:noProof/>
          <w:color w:val="000000"/>
          <w:sz w:val="24"/>
          <w:szCs w:val="24"/>
        </w:rPr>
        <w:t xml:space="preserve">the ability to support instantaneous connections and transit data without almost any ‘delay’, measured in just Milliseconds over distances greater than 1000km, and only microseconds at distances in the 100’s of KM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Availability: </w:t>
      </w:r>
      <w:r>
        <w:rPr>
          <w:rFonts w:ascii="Times New Roman" w:hAnsi="Times New Roman"/>
          <w:noProof/>
          <w:color w:val="000000"/>
          <w:sz w:val="24"/>
          <w:szCs w:val="24"/>
        </w:rPr>
        <w:t xml:space="preserve">these networks are inherently stable, offering extremely high availability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Security: </w:t>
      </w:r>
      <w:r>
        <w:rPr>
          <w:rFonts w:ascii="Times New Roman" w:hAnsi="Times New Roman"/>
          <w:noProof/>
          <w:color w:val="000000"/>
          <w:sz w:val="24"/>
          <w:szCs w:val="24"/>
        </w:rPr>
        <w:t xml:space="preserve">such networks, given the physical and often buried, nature of the cable, are harder to interfere with than wireless networks (or even ‘radiating’ copper based cables)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Packet loss &amp; low jitter: </w:t>
      </w:r>
      <w:r>
        <w:rPr>
          <w:rFonts w:ascii="Times New Roman" w:hAnsi="Times New Roman"/>
          <w:noProof/>
          <w:color w:val="000000"/>
          <w:sz w:val="24"/>
          <w:szCs w:val="24"/>
        </w:rPr>
        <w:t xml:space="preserve">near zero packet loss and variance in packet delay, i.e. “smooth signals”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Distance agnostic: </w:t>
      </w:r>
      <w:r>
        <w:rPr>
          <w:rFonts w:ascii="Times New Roman" w:hAnsi="Times New Roman"/>
          <w:noProof/>
          <w:color w:val="000000"/>
          <w:sz w:val="24"/>
          <w:szCs w:val="24"/>
        </w:rPr>
        <w:t xml:space="preserve">grade of service is essentially the same almost regardless of distance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Dynamic symmetry: </w:t>
      </w:r>
      <w:r>
        <w:rPr>
          <w:rFonts w:ascii="Times New Roman" w:hAnsi="Times New Roman"/>
          <w:noProof/>
          <w:color w:val="000000"/>
          <w:sz w:val="24"/>
          <w:szCs w:val="24"/>
        </w:rPr>
        <w:t xml:space="preserve">such networks can be configured to allow flexibility in assigning upload and download throughput for each connection, depending on the use case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Low maintenance: </w:t>
      </w:r>
      <w:r>
        <w:rPr>
          <w:rFonts w:ascii="Times New Roman" w:hAnsi="Times New Roman"/>
          <w:noProof/>
          <w:color w:val="000000"/>
          <w:sz w:val="24"/>
          <w:szCs w:val="24"/>
        </w:rPr>
        <w:t xml:space="preserve">fibre is inherently reliable, hence little maintenance is needed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Future proof: </w:t>
      </w:r>
      <w:r>
        <w:rPr>
          <w:rFonts w:ascii="Times New Roman" w:hAnsi="Times New Roman"/>
          <w:noProof/>
          <w:color w:val="000000"/>
          <w:sz w:val="24"/>
          <w:szCs w:val="24"/>
        </w:rPr>
        <w:t xml:space="preserve">transmitting equipment can be easily replaced and raw medium is future proof </w:t>
      </w:r>
    </w:p>
    <w:p w:rsidR="004C7085" w:rsidRDefault="005163E3">
      <w:pPr>
        <w:pStyle w:val="ListParagraph"/>
        <w:numPr>
          <w:ilvl w:val="0"/>
          <w:numId w:val="7"/>
        </w:numPr>
        <w:autoSpaceDE w:val="0"/>
        <w:autoSpaceDN w:val="0"/>
        <w:adjustRightInd w:val="0"/>
        <w:spacing w:after="120" w:line="240" w:lineRule="auto"/>
        <w:rPr>
          <w:rFonts w:ascii="Times New Roman" w:hAnsi="Times New Roman"/>
          <w:noProof/>
          <w:color w:val="000000"/>
          <w:sz w:val="24"/>
          <w:szCs w:val="24"/>
        </w:rPr>
      </w:pPr>
      <w:r>
        <w:rPr>
          <w:rFonts w:ascii="Times New Roman" w:hAnsi="Times New Roman"/>
          <w:b/>
          <w:bCs/>
          <w:noProof/>
          <w:color w:val="000000"/>
          <w:sz w:val="24"/>
          <w:szCs w:val="24"/>
        </w:rPr>
        <w:t xml:space="preserve">No radio frequency interference: </w:t>
      </w:r>
      <w:r>
        <w:rPr>
          <w:rFonts w:ascii="Times New Roman" w:hAnsi="Times New Roman"/>
          <w:noProof/>
          <w:color w:val="000000"/>
          <w:sz w:val="24"/>
          <w:szCs w:val="24"/>
        </w:rPr>
        <w:t>signals travelling over fibre are not subject to radio frequency interference versus copper which is susceptible.</w:t>
      </w:r>
    </w:p>
    <w:p w:rsidR="004C7085" w:rsidRDefault="005163E3">
      <w:pPr>
        <w:pStyle w:val="Heading4"/>
        <w:keepNext/>
        <w:rPr>
          <w:noProof/>
        </w:rPr>
      </w:pPr>
      <w:r>
        <w:rPr>
          <w:noProof/>
        </w:rPr>
        <w:t>Figure 29: What is throughput? – measured as “time to download*”</w:t>
      </w:r>
    </w:p>
    <w:tbl>
      <w:tblPr>
        <w:tblStyle w:val="Grilledutableau1"/>
        <w:tblW w:w="0" w:type="auto"/>
        <w:tblLayout w:type="fixed"/>
        <w:tblLook w:val="0000" w:firstRow="0" w:lastRow="0" w:firstColumn="0" w:lastColumn="0" w:noHBand="0" w:noVBand="0"/>
      </w:tblPr>
      <w:tblGrid>
        <w:gridCol w:w="3227"/>
        <w:gridCol w:w="1701"/>
        <w:gridCol w:w="1559"/>
        <w:gridCol w:w="1441"/>
      </w:tblGrid>
      <w:tr w:rsidR="004C7085" w:rsidTr="004C7085">
        <w:trPr>
          <w:cnfStyle w:val="000000100000" w:firstRow="0" w:lastRow="0" w:firstColumn="0" w:lastColumn="0" w:oddVBand="0" w:evenVBand="0" w:oddHBand="1" w:evenHBand="0" w:firstRowFirstColumn="0" w:firstRowLastColumn="0" w:lastRowFirstColumn="0" w:lastRowLastColumn="0"/>
          <w:trHeight w:val="85"/>
        </w:trPr>
        <w:tc>
          <w:tcPr>
            <w:tcW w:w="3227" w:type="dxa"/>
            <w:shd w:val="clear" w:color="auto" w:fill="95B3D7" w:themeFill="accent1" w:themeFillTint="99"/>
          </w:tcPr>
          <w:p w:rsidR="004C7085" w:rsidRDefault="005163E3">
            <w:pPr>
              <w:autoSpaceDE w:val="0"/>
              <w:autoSpaceDN w:val="0"/>
              <w:adjustRightInd w:val="0"/>
              <w:spacing w:after="120"/>
              <w:jc w:val="both"/>
              <w:rPr>
                <w:rFonts w:ascii="Times New Roman" w:hAnsi="Times New Roman"/>
                <w:noProof/>
                <w:color w:val="000000"/>
                <w:lang w:val="en-GB"/>
              </w:rPr>
            </w:pPr>
            <w:r>
              <w:rPr>
                <w:rFonts w:ascii="Times New Roman" w:hAnsi="Times New Roman"/>
                <w:b/>
                <w:bCs/>
                <w:i/>
                <w:iCs/>
                <w:noProof/>
                <w:color w:val="000000"/>
                <w:szCs w:val="18"/>
              </w:rPr>
              <w:t xml:space="preserve">Digital item (examples) </w:t>
            </w:r>
          </w:p>
        </w:tc>
        <w:tc>
          <w:tcPr>
            <w:tcW w:w="1701" w:type="dxa"/>
            <w:shd w:val="clear" w:color="auto" w:fill="95B3D7" w:themeFill="accent1" w:themeFillTint="99"/>
          </w:tcPr>
          <w:p w:rsidR="004C7085" w:rsidRDefault="005163E3">
            <w:pPr>
              <w:autoSpaceDE w:val="0"/>
              <w:autoSpaceDN w:val="0"/>
              <w:adjustRightInd w:val="0"/>
              <w:spacing w:after="120"/>
              <w:jc w:val="both"/>
              <w:rPr>
                <w:rFonts w:ascii="Times New Roman" w:hAnsi="Times New Roman"/>
                <w:noProof/>
                <w:color w:val="000000"/>
                <w:lang w:val="en-GB"/>
              </w:rPr>
            </w:pPr>
            <w:r>
              <w:rPr>
                <w:rFonts w:ascii="Times New Roman" w:hAnsi="Times New Roman"/>
                <w:b/>
                <w:noProof/>
                <w:color w:val="000000"/>
              </w:rPr>
              <w:t xml:space="preserve">Typical size </w:t>
            </w:r>
          </w:p>
        </w:tc>
        <w:tc>
          <w:tcPr>
            <w:tcW w:w="1559" w:type="dxa"/>
            <w:shd w:val="clear" w:color="auto" w:fill="95B3D7" w:themeFill="accent1" w:themeFillTint="99"/>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b/>
                <w:noProof/>
                <w:color w:val="000000"/>
              </w:rPr>
              <w:t xml:space="preserve">Legacy network </w:t>
            </w:r>
          </w:p>
        </w:tc>
        <w:tc>
          <w:tcPr>
            <w:tcW w:w="1441" w:type="dxa"/>
            <w:shd w:val="clear" w:color="auto" w:fill="95B3D7" w:themeFill="accent1" w:themeFillTint="99"/>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b/>
                <w:noProof/>
                <w:color w:val="000000"/>
              </w:rPr>
              <w:t xml:space="preserve">FTTH network </w:t>
            </w:r>
          </w:p>
        </w:tc>
      </w:tr>
      <w:tr w:rsidR="004C7085" w:rsidTr="004C7085">
        <w:trPr>
          <w:cnfStyle w:val="000000010000" w:firstRow="0" w:lastRow="0" w:firstColumn="0" w:lastColumn="0" w:oddVBand="0" w:evenVBand="0" w:oddHBand="0" w:evenHBand="1"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i/>
                <w:noProof/>
                <w:color w:val="000000"/>
              </w:rPr>
              <w:t xml:space="preserve">Average Kindle eBook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2.6 megabyte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1 second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50 ms </w:t>
            </w:r>
          </w:p>
        </w:tc>
      </w:tr>
      <w:tr w:rsidR="004C7085" w:rsidTr="004C7085">
        <w:trPr>
          <w:cnfStyle w:val="000000100000" w:firstRow="0" w:lastRow="0" w:firstColumn="0" w:lastColumn="0" w:oddVBand="0" w:evenVBand="0" w:oddHBand="1" w:evenHBand="0"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lang w:val="en-GB"/>
              </w:rPr>
            </w:pPr>
            <w:r>
              <w:rPr>
                <w:rFonts w:ascii="Times New Roman" w:hAnsi="Times New Roman"/>
                <w:i/>
                <w:iCs/>
                <w:noProof/>
                <w:color w:val="000000"/>
                <w:szCs w:val="18"/>
                <w:lang w:val="en-GB"/>
              </w:rPr>
              <w:t xml:space="preserve">CT scan (sent across hospitals)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2 gigabyte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14 minutes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40 seconds </w:t>
            </w:r>
          </w:p>
        </w:tc>
      </w:tr>
      <w:tr w:rsidR="004C7085" w:rsidTr="004C7085">
        <w:trPr>
          <w:cnfStyle w:val="000000010000" w:firstRow="0" w:lastRow="0" w:firstColumn="0" w:lastColumn="0" w:oddVBand="0" w:evenVBand="0" w:oddHBand="0" w:evenHBand="1"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i/>
                <w:noProof/>
                <w:color w:val="000000"/>
              </w:rPr>
              <w:t xml:space="preserve">Virtual reality game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5 gigabyte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34 minutes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1.7 minutes </w:t>
            </w:r>
          </w:p>
        </w:tc>
      </w:tr>
      <w:tr w:rsidR="004C7085" w:rsidTr="004C7085">
        <w:trPr>
          <w:cnfStyle w:val="000000100000" w:firstRow="0" w:lastRow="0" w:firstColumn="0" w:lastColumn="0" w:oddVBand="0" w:evenVBand="0" w:oddHBand="1" w:evenHBand="0"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i/>
                <w:noProof/>
                <w:color w:val="000000"/>
              </w:rPr>
              <w:t xml:space="preserve">Blu-ray movie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25 gigabyte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2.8 hours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8 minutes </w:t>
            </w:r>
          </w:p>
        </w:tc>
      </w:tr>
      <w:tr w:rsidR="004C7085" w:rsidTr="004C7085">
        <w:trPr>
          <w:cnfStyle w:val="000000010000" w:firstRow="0" w:lastRow="0" w:firstColumn="0" w:lastColumn="0" w:oddVBand="0" w:evenVBand="0" w:oddHBand="0" w:evenHBand="1"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i/>
                <w:noProof/>
                <w:color w:val="000000"/>
              </w:rPr>
              <w:t xml:space="preserve">Galaxy S7 storage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32 gigabyte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3.6 hours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11 minutes </w:t>
            </w:r>
          </w:p>
        </w:tc>
      </w:tr>
      <w:tr w:rsidR="004C7085" w:rsidTr="004C7085">
        <w:trPr>
          <w:cnfStyle w:val="000000100000" w:firstRow="0" w:lastRow="0" w:firstColumn="0" w:lastColumn="0" w:oddVBand="0" w:evenVBand="0" w:oddHBand="1" w:evenHBand="0"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i/>
                <w:noProof/>
                <w:color w:val="000000"/>
              </w:rPr>
              <w:t xml:space="preserve">4K movie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100 gigabyte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11 hours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33 minutes </w:t>
            </w:r>
          </w:p>
        </w:tc>
      </w:tr>
      <w:tr w:rsidR="004C7085" w:rsidTr="004C7085">
        <w:trPr>
          <w:cnfStyle w:val="000000010000" w:firstRow="0" w:lastRow="0" w:firstColumn="0" w:lastColumn="0" w:oddVBand="0" w:evenVBand="0" w:oddHBand="0" w:evenHBand="1"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lang w:val="en-GB"/>
              </w:rPr>
            </w:pPr>
            <w:r>
              <w:rPr>
                <w:rFonts w:ascii="Times New Roman" w:hAnsi="Times New Roman"/>
                <w:i/>
                <w:iCs/>
                <w:noProof/>
                <w:color w:val="000000"/>
                <w:szCs w:val="18"/>
                <w:lang w:val="en-GB"/>
              </w:rPr>
              <w:t xml:space="preserve">Hard disc of a PC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240 gigabyte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27 hours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1.3 hours </w:t>
            </w:r>
          </w:p>
        </w:tc>
      </w:tr>
      <w:tr w:rsidR="004C7085" w:rsidTr="004C7085">
        <w:trPr>
          <w:cnfStyle w:val="000000100000" w:firstRow="0" w:lastRow="0" w:firstColumn="0" w:lastColumn="0" w:oddVBand="0" w:evenVBand="0" w:oddHBand="1" w:evenHBand="0"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lang w:val="en-GB"/>
              </w:rPr>
            </w:pPr>
            <w:r>
              <w:rPr>
                <w:rFonts w:ascii="Times New Roman" w:hAnsi="Times New Roman"/>
                <w:i/>
                <w:iCs/>
                <w:noProof/>
                <w:color w:val="000000"/>
                <w:szCs w:val="18"/>
                <w:lang w:val="en-GB"/>
              </w:rPr>
              <w:t xml:space="preserve">Medium sized corporate server restore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6 terabytes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28 days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33 hours </w:t>
            </w:r>
          </w:p>
        </w:tc>
      </w:tr>
      <w:tr w:rsidR="004C7085" w:rsidTr="004C7085">
        <w:trPr>
          <w:cnfStyle w:val="000000010000" w:firstRow="0" w:lastRow="0" w:firstColumn="0" w:lastColumn="0" w:oddVBand="0" w:evenVBand="0" w:oddHBand="0" w:evenHBand="1" w:firstRowFirstColumn="0" w:firstRowLastColumn="0" w:lastRowFirstColumn="0" w:lastRowLastColumn="0"/>
          <w:trHeight w:val="85"/>
        </w:trPr>
        <w:tc>
          <w:tcPr>
            <w:tcW w:w="3227"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i/>
                <w:noProof/>
                <w:color w:val="000000"/>
              </w:rPr>
              <w:t xml:space="preserve">Human genome (uncompressed) </w:t>
            </w:r>
          </w:p>
        </w:tc>
        <w:tc>
          <w:tcPr>
            <w:tcW w:w="170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7 terabytes </w:t>
            </w:r>
          </w:p>
        </w:tc>
        <w:tc>
          <w:tcPr>
            <w:tcW w:w="1559"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33 days </w:t>
            </w:r>
          </w:p>
        </w:tc>
        <w:tc>
          <w:tcPr>
            <w:tcW w:w="1441" w:type="dxa"/>
          </w:tcPr>
          <w:p w:rsidR="004C7085" w:rsidRDefault="005163E3">
            <w:pPr>
              <w:autoSpaceDE w:val="0"/>
              <w:autoSpaceDN w:val="0"/>
              <w:adjustRightInd w:val="0"/>
              <w:spacing w:after="120"/>
              <w:jc w:val="both"/>
              <w:rPr>
                <w:rFonts w:ascii="Times New Roman" w:hAnsi="Times New Roman"/>
                <w:noProof/>
                <w:color w:val="000000"/>
              </w:rPr>
            </w:pPr>
            <w:r>
              <w:rPr>
                <w:rFonts w:ascii="Times New Roman" w:hAnsi="Times New Roman"/>
                <w:noProof/>
                <w:color w:val="000000"/>
              </w:rPr>
              <w:t xml:space="preserve">39 hours </w:t>
            </w:r>
          </w:p>
        </w:tc>
      </w:tr>
    </w:tbl>
    <w:p w:rsidR="004C7085" w:rsidRDefault="005163E3">
      <w:pPr>
        <w:spacing w:after="120" w:line="240" w:lineRule="auto"/>
        <w:jc w:val="both"/>
        <w:rPr>
          <w:rFonts w:ascii="Times New Roman" w:hAnsi="Times New Roman" w:cs="Times New Roman"/>
          <w:i/>
          <w:noProof/>
          <w:lang w:eastAsia="nl-NL"/>
        </w:rPr>
      </w:pPr>
      <w:r>
        <w:rPr>
          <w:rFonts w:ascii="Times New Roman" w:hAnsi="Times New Roman" w:cs="Times New Roman"/>
          <w:i/>
          <w:noProof/>
          <w:lang w:eastAsia="nl-NL"/>
        </w:rPr>
        <w:t>*</w:t>
      </w:r>
      <w:r>
        <w:rPr>
          <w:noProof/>
        </w:rPr>
        <w:t xml:space="preserve"> </w:t>
      </w:r>
      <w:r>
        <w:rPr>
          <w:rFonts w:ascii="Times New Roman" w:hAnsi="Times New Roman" w:cs="Times New Roman"/>
          <w:i/>
          <w:noProof/>
          <w:lang w:eastAsia="nl-NL"/>
        </w:rPr>
        <w:t>Today’s actual effective download speeds illustrated a 20Mbps for a typical European ‘legacy network’ (usually ADSL2+ type) and 0.4Gbps for FTTH network</w:t>
      </w:r>
    </w:p>
    <w:p w:rsidR="004C7085" w:rsidRDefault="005163E3">
      <w:pPr>
        <w:spacing w:after="120" w:line="240" w:lineRule="auto"/>
        <w:jc w:val="both"/>
        <w:rPr>
          <w:rFonts w:ascii="Times New Roman" w:hAnsi="Times New Roman"/>
          <w:i/>
          <w:noProof/>
          <w:lang w:eastAsia="nl-NL"/>
        </w:rPr>
      </w:pPr>
      <w:r>
        <w:rPr>
          <w:rFonts w:ascii="Times New Roman" w:hAnsi="Times New Roman"/>
          <w:i/>
          <w:noProof/>
          <w:lang w:eastAsia="nl-NL"/>
        </w:rPr>
        <w:t>Source: Creating a Gigabit Society; Arthur D. Little for Vodafone</w:t>
      </w:r>
      <w:r>
        <w:rPr>
          <w:rStyle w:val="FootnoteReference"/>
          <w:rFonts w:ascii="Times New Roman" w:hAnsi="Times New Roman"/>
          <w:i/>
          <w:noProof/>
          <w:lang w:eastAsia="nl-NL"/>
        </w:rPr>
        <w:footnoteReference w:id="90"/>
      </w:r>
    </w:p>
    <w:p w:rsidR="004C7085" w:rsidRDefault="005163E3">
      <w:pPr>
        <w:pStyle w:val="Heading2"/>
        <w:numPr>
          <w:ilvl w:val="1"/>
          <w:numId w:val="16"/>
        </w:numPr>
        <w:spacing w:before="0" w:after="120" w:line="240" w:lineRule="auto"/>
        <w:rPr>
          <w:rFonts w:ascii="Times New Roman" w:hAnsi="Times New Roman" w:cs="Times New Roman"/>
          <w:noProof/>
        </w:rPr>
      </w:pPr>
      <w:bookmarkStart w:id="338" w:name="_Toc458161148"/>
      <w:bookmarkStart w:id="339" w:name="_Toc458188091"/>
      <w:bookmarkStart w:id="340" w:name="_Toc458188249"/>
      <w:bookmarkStart w:id="341" w:name="_Toc458450314"/>
      <w:bookmarkStart w:id="342" w:name="_Toc458461586"/>
      <w:bookmarkStart w:id="343" w:name="_Toc458467553"/>
      <w:bookmarkStart w:id="344" w:name="_Toc458257437"/>
      <w:bookmarkStart w:id="345" w:name="_Toc461050820"/>
      <w:r>
        <w:rPr>
          <w:rFonts w:ascii="Times New Roman" w:hAnsi="Times New Roman" w:cs="Times New Roman"/>
          <w:noProof/>
        </w:rPr>
        <w:t>Fibre-to-the-Business</w:t>
      </w:r>
      <w:bookmarkEnd w:id="338"/>
      <w:bookmarkEnd w:id="339"/>
      <w:bookmarkEnd w:id="340"/>
      <w:bookmarkEnd w:id="341"/>
      <w:bookmarkEnd w:id="342"/>
      <w:bookmarkEnd w:id="343"/>
      <w:bookmarkEnd w:id="344"/>
      <w:bookmarkEnd w:id="345"/>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As business users have higher demand than consumers and are typically located in business districts or business parks, the business case for providing a new network technology by digging up the streets has largely been positive. In many cases we can observe competing fibre-based services being offered to business users. This includes the incumbents, locally as well as from abroad, but also new entrant providers specializing in servicing the business community.</w:t>
      </w:r>
    </w:p>
    <w:p w:rsidR="004C7085" w:rsidRDefault="004C7085">
      <w:pPr>
        <w:spacing w:after="120" w:line="240" w:lineRule="auto"/>
        <w:jc w:val="both"/>
        <w:rPr>
          <w:rFonts w:ascii="Times New Roman" w:hAnsi="Times New Roman" w:cs="Times New Roman"/>
          <w:noProof/>
          <w:sz w:val="24"/>
        </w:rPr>
      </w:pPr>
    </w:p>
    <w:p w:rsidR="004C7085" w:rsidRDefault="005163E3">
      <w:pPr>
        <w:pStyle w:val="Heading2"/>
        <w:numPr>
          <w:ilvl w:val="1"/>
          <w:numId w:val="16"/>
        </w:numPr>
        <w:spacing w:before="0" w:after="120" w:line="240" w:lineRule="auto"/>
        <w:rPr>
          <w:rFonts w:ascii="Times New Roman" w:hAnsi="Times New Roman" w:cs="Times New Roman"/>
          <w:noProof/>
        </w:rPr>
      </w:pPr>
      <w:bookmarkStart w:id="346" w:name="_Toc458161149"/>
      <w:bookmarkStart w:id="347" w:name="_Toc458188092"/>
      <w:bookmarkStart w:id="348" w:name="_Toc458188250"/>
      <w:bookmarkStart w:id="349" w:name="_Toc458450315"/>
      <w:bookmarkStart w:id="350" w:name="_Toc458461587"/>
      <w:bookmarkStart w:id="351" w:name="_Toc458467554"/>
      <w:bookmarkStart w:id="352" w:name="_Toc458257438"/>
      <w:bookmarkStart w:id="353" w:name="_Toc461050821"/>
      <w:r>
        <w:rPr>
          <w:rFonts w:ascii="Times New Roman" w:hAnsi="Times New Roman" w:cs="Times New Roman"/>
          <w:noProof/>
        </w:rPr>
        <w:t>Fibre-to-the-Home</w:t>
      </w:r>
      <w:bookmarkEnd w:id="346"/>
      <w:bookmarkEnd w:id="347"/>
      <w:bookmarkEnd w:id="348"/>
      <w:bookmarkEnd w:id="349"/>
      <w:bookmarkEnd w:id="350"/>
      <w:bookmarkEnd w:id="351"/>
      <w:bookmarkEnd w:id="352"/>
      <w:bookmarkEnd w:id="353"/>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Two standards are prevailing in the market place in Europe: the GPON standard providing 2.5 Gbps downstream and 1.25 Gbps upstream, shared by a maximum of 64 users; and the</w:t>
      </w:r>
      <w:r>
        <w:rPr>
          <w:rFonts w:ascii="Times New Roman" w:hAnsi="Times New Roman" w:cs="Times New Roman"/>
          <w:noProof/>
          <w:sz w:val="24"/>
          <w:lang w:eastAsia="nl-NL"/>
        </w:rPr>
        <w:t xml:space="preserve"> XG-PON</w:t>
      </w:r>
      <w:r>
        <w:rPr>
          <w:rStyle w:val="FootnoteReference"/>
          <w:rFonts w:ascii="Times New Roman" w:hAnsi="Times New Roman" w:cs="Times New Roman"/>
          <w:noProof/>
          <w:sz w:val="24"/>
          <w:lang w:eastAsia="nl-NL"/>
        </w:rPr>
        <w:footnoteReference w:id="91"/>
      </w:r>
      <w:r>
        <w:rPr>
          <w:rFonts w:ascii="Times New Roman" w:hAnsi="Times New Roman" w:cs="Times New Roman"/>
          <w:noProof/>
          <w:sz w:val="24"/>
          <w:lang w:eastAsia="nl-NL"/>
        </w:rPr>
        <w:t xml:space="preserve"> providing 10 Gbps downstream and 2.5 Gbps upstream, i.e., a fourfold increase compared to GPON. This latter arrangement provides a minimum of 78/19 Mbps per end-user, depending on how much capacity is made available per user and reflecting shared medium constraints in case of uniformly massive demand growth. </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For point-to-point networks the ‘Ethernet in the First Mile’ (EFM) standard, used over single mode fibre, is defined for a span of nominal 10 km. State of the art technology is able to bridge higher distances up to 80 km.</w:t>
      </w:r>
    </w:p>
    <w:p w:rsidR="004C7085" w:rsidRDefault="004C7085">
      <w:pPr>
        <w:spacing w:after="120" w:line="240" w:lineRule="auto"/>
        <w:jc w:val="both"/>
        <w:rPr>
          <w:rFonts w:ascii="Times New Roman" w:hAnsi="Times New Roman" w:cs="Times New Roman"/>
          <w:noProof/>
          <w:sz w:val="24"/>
        </w:rPr>
      </w:pPr>
    </w:p>
    <w:p w:rsidR="004C7085" w:rsidRDefault="005163E3">
      <w:pPr>
        <w:pStyle w:val="Heading2"/>
        <w:numPr>
          <w:ilvl w:val="1"/>
          <w:numId w:val="16"/>
        </w:numPr>
        <w:spacing w:before="0" w:after="120" w:line="240" w:lineRule="auto"/>
        <w:rPr>
          <w:rFonts w:ascii="Times New Roman" w:hAnsi="Times New Roman" w:cs="Times New Roman"/>
          <w:noProof/>
        </w:rPr>
      </w:pPr>
      <w:bookmarkStart w:id="354" w:name="_Toc458161150"/>
      <w:bookmarkStart w:id="355" w:name="_Toc458188093"/>
      <w:bookmarkStart w:id="356" w:name="_Toc458188251"/>
      <w:bookmarkStart w:id="357" w:name="_Toc458450316"/>
      <w:bookmarkStart w:id="358" w:name="_Toc458461588"/>
      <w:bookmarkStart w:id="359" w:name="_Toc458467555"/>
      <w:bookmarkStart w:id="360" w:name="_Toc458257439"/>
      <w:bookmarkStart w:id="361" w:name="_Toc461050822"/>
      <w:r>
        <w:rPr>
          <w:rFonts w:ascii="Times New Roman" w:hAnsi="Times New Roman" w:cs="Times New Roman"/>
          <w:noProof/>
        </w:rPr>
        <w:t>Outlook for the 2025 horizon</w:t>
      </w:r>
      <w:bookmarkEnd w:id="354"/>
      <w:bookmarkEnd w:id="355"/>
      <w:bookmarkEnd w:id="356"/>
      <w:bookmarkEnd w:id="357"/>
      <w:bookmarkEnd w:id="358"/>
      <w:bookmarkEnd w:id="359"/>
      <w:bookmarkEnd w:id="360"/>
      <w:bookmarkEnd w:id="361"/>
    </w:p>
    <w:p w:rsidR="004C7085" w:rsidRDefault="005163E3">
      <w:pPr>
        <w:spacing w:after="120" w:line="240" w:lineRule="auto"/>
        <w:jc w:val="both"/>
        <w:rPr>
          <w:rFonts w:ascii="Times New Roman" w:hAnsi="Times New Roman" w:cs="Times New Roman"/>
          <w:noProof/>
          <w:sz w:val="24"/>
          <w:lang w:eastAsia="nl-NL"/>
        </w:rPr>
      </w:pPr>
      <w:r>
        <w:rPr>
          <w:rFonts w:ascii="Times New Roman" w:hAnsi="Times New Roman" w:cs="Times New Roman"/>
          <w:noProof/>
          <w:sz w:val="24"/>
          <w:lang w:eastAsia="nl-NL"/>
        </w:rPr>
        <w:t xml:space="preserve">For the PON architectures, a further upgrade is foreseen under the name of NG-PON2 with a capacity of at least 40/10 Gbps (download/upload), for a minimum span of 20 km. Extensions to 80/20 Gbps and 60 km are being addressed. This standard makes use of four wavelengths and eight in the extended version. The minimum end-user data rates are 625/156 at a ratio of 1:64, respectively 312/78 Mbps at 1:256. </w:t>
      </w:r>
    </w:p>
    <w:p w:rsidR="004C7085" w:rsidRDefault="005163E3">
      <w:pPr>
        <w:spacing w:after="120" w:line="240" w:lineRule="auto"/>
        <w:jc w:val="both"/>
        <w:rPr>
          <w:rFonts w:ascii="Times New Roman" w:hAnsi="Times New Roman" w:cs="Times New Roman"/>
          <w:noProof/>
          <w:sz w:val="24"/>
          <w:lang w:eastAsia="nl-NL"/>
        </w:rPr>
      </w:pPr>
      <w:r>
        <w:rPr>
          <w:rFonts w:ascii="Times New Roman" w:hAnsi="Times New Roman" w:cs="Times New Roman"/>
          <w:noProof/>
          <w:sz w:val="24"/>
          <w:lang w:eastAsia="nl-NL"/>
        </w:rPr>
        <w:t>A combination of TDM-PON and TWDM-PON is also foreseen running at 100 Gbps reaching 100 km with a split ratio of 1:1024.</w:t>
      </w:r>
    </w:p>
    <w:p w:rsidR="004C7085" w:rsidRDefault="005163E3">
      <w:pPr>
        <w:spacing w:after="120" w:line="240" w:lineRule="auto"/>
        <w:jc w:val="both"/>
        <w:rPr>
          <w:rFonts w:ascii="Times New Roman" w:hAnsi="Times New Roman" w:cs="Times New Roman"/>
          <w:noProof/>
          <w:sz w:val="24"/>
          <w:lang w:eastAsia="nl-NL"/>
        </w:rPr>
      </w:pPr>
      <w:r>
        <w:rPr>
          <w:rFonts w:ascii="Times New Roman" w:hAnsi="Times New Roman" w:cs="Times New Roman"/>
          <w:noProof/>
          <w:sz w:val="24"/>
          <w:lang w:eastAsia="nl-NL"/>
        </w:rPr>
        <w:t>The evolution in user data rates using fibre is shown in figure 30.</w:t>
      </w:r>
    </w:p>
    <w:p w:rsidR="004C7085" w:rsidRDefault="005163E3">
      <w:pPr>
        <w:pStyle w:val="Heading4"/>
        <w:keepNext/>
        <w:rPr>
          <w:noProof/>
        </w:rPr>
      </w:pPr>
      <w:r>
        <w:rPr>
          <w:noProof/>
        </w:rPr>
        <w:t>Figure 30: Evolution of FttH data rates, 1995-2025</w:t>
      </w:r>
    </w:p>
    <w:p w:rsidR="004C7085" w:rsidRDefault="005163E3">
      <w:pPr>
        <w:keepNext/>
        <w:keepLines/>
        <w:spacing w:after="120" w:line="240" w:lineRule="auto"/>
        <w:jc w:val="both"/>
        <w:rPr>
          <w:rFonts w:ascii="Times New Roman" w:hAnsi="Times New Roman" w:cs="Times New Roman"/>
          <w:noProof/>
        </w:rPr>
      </w:pPr>
      <w:r>
        <w:rPr>
          <w:rFonts w:ascii="Times New Roman" w:hAnsi="Times New Roman" w:cs="Times New Roman"/>
          <w:noProof/>
          <w:sz w:val="20"/>
          <w:lang w:eastAsia="en-GB"/>
        </w:rPr>
        <w:drawing>
          <wp:inline distT="0" distB="0" distL="0" distR="0" wp14:anchorId="60F01828" wp14:editId="75DB946A">
            <wp:extent cx="5426075" cy="29845"/>
            <wp:effectExtent l="0" t="0" r="0" b="0"/>
            <wp:docPr id="4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6075" cy="29845"/>
                    </a:xfrm>
                    <a:prstGeom prst="rect">
                      <a:avLst/>
                    </a:prstGeom>
                    <a:noFill/>
                    <a:ln>
                      <a:noFill/>
                    </a:ln>
                  </pic:spPr>
                </pic:pic>
              </a:graphicData>
            </a:graphic>
          </wp:inline>
        </w:drawing>
      </w:r>
    </w:p>
    <w:p w:rsidR="004C7085" w:rsidRDefault="005163E3">
      <w:pPr>
        <w:keepNext/>
        <w:keepLines/>
        <w:spacing w:after="120" w:line="240"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03D99734" wp14:editId="4D8A608F">
            <wp:extent cx="4495607" cy="2873829"/>
            <wp:effectExtent l="0" t="0" r="635" b="3175"/>
            <wp:docPr id="42" name="Grafik 1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501850" cy="2877820"/>
                    </a:xfrm>
                    <a:prstGeom prst="rect">
                      <a:avLst/>
                    </a:prstGeom>
                    <a:noFill/>
                    <a:ln>
                      <a:noFill/>
                    </a:ln>
                    <a:extLst>
                      <a:ext uri="{53640926-AAD7-44D8-BBD7-CCE9431645EC}">
                        <a14:shadowObscured xmlns:a14="http://schemas.microsoft.com/office/drawing/2010/main"/>
                      </a:ext>
                    </a:extLst>
                  </pic:spPr>
                </pic:pic>
              </a:graphicData>
            </a:graphic>
          </wp:inline>
        </w:drawing>
      </w:r>
    </w:p>
    <w:p w:rsidR="004C7085" w:rsidRDefault="005163E3">
      <w:pPr>
        <w:keepNext/>
        <w:keepLines/>
        <w:spacing w:after="120" w:line="240"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50A73068" wp14:editId="38F8D32F">
            <wp:extent cx="5588635" cy="280670"/>
            <wp:effectExtent l="0" t="0" r="0" b="5080"/>
            <wp:docPr id="43" name="Grafik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8635" cy="280670"/>
                    </a:xfrm>
                    <a:prstGeom prst="rect">
                      <a:avLst/>
                    </a:prstGeom>
                    <a:noFill/>
                    <a:ln>
                      <a:noFill/>
                    </a:ln>
                  </pic:spPr>
                </pic:pic>
              </a:graphicData>
            </a:graphic>
          </wp:inline>
        </w:drawing>
      </w:r>
    </w:p>
    <w:p w:rsidR="004C7085" w:rsidRDefault="005163E3">
      <w:pPr>
        <w:pStyle w:val="Quelle"/>
        <w:spacing w:before="0" w:after="120"/>
        <w:rPr>
          <w:rFonts w:ascii="Times New Roman" w:hAnsi="Times New Roman"/>
          <w:i/>
          <w:noProof/>
          <w:sz w:val="20"/>
          <w:lang w:eastAsia="nl-NL"/>
        </w:rPr>
      </w:pPr>
      <w:r>
        <w:rPr>
          <w:rFonts w:ascii="Times New Roman" w:hAnsi="Times New Roman"/>
          <w:i/>
          <w:noProof/>
          <w:sz w:val="20"/>
          <w:lang w:eastAsia="nl-NL"/>
        </w:rPr>
        <w:t xml:space="preserve">Source: </w:t>
      </w:r>
      <w:r>
        <w:rPr>
          <w:rFonts w:ascii="Times New Roman" w:hAnsi="Times New Roman"/>
          <w:i/>
          <w:noProof/>
          <w:sz w:val="20"/>
          <w:lang w:eastAsia="nl-NL"/>
        </w:rPr>
        <w:tab/>
        <w:t>FttH Council Europe (2014). FTTH Handbook: FTTH Council Europe</w:t>
      </w:r>
    </w:p>
    <w:p w:rsidR="004C7085" w:rsidRDefault="004C7085">
      <w:pPr>
        <w:pStyle w:val="Quelle"/>
        <w:spacing w:before="0" w:after="120"/>
        <w:rPr>
          <w:rFonts w:ascii="Times New Roman" w:hAnsi="Times New Roman"/>
          <w:i/>
          <w:noProof/>
          <w:sz w:val="20"/>
          <w:lang w:eastAsia="nl-NL"/>
        </w:rPr>
      </w:pPr>
    </w:p>
    <w:p w:rsidR="004C7085" w:rsidRDefault="005163E3">
      <w:pPr>
        <w:pStyle w:val="Heading2"/>
        <w:numPr>
          <w:ilvl w:val="1"/>
          <w:numId w:val="16"/>
        </w:numPr>
        <w:spacing w:before="0" w:after="120" w:line="240" w:lineRule="auto"/>
        <w:rPr>
          <w:rFonts w:ascii="Times New Roman" w:hAnsi="Times New Roman" w:cs="Times New Roman"/>
          <w:noProof/>
        </w:rPr>
      </w:pPr>
      <w:bookmarkStart w:id="362" w:name="_Toc458161151"/>
      <w:bookmarkStart w:id="363" w:name="_Toc458188094"/>
      <w:bookmarkStart w:id="364" w:name="_Toc458188252"/>
      <w:bookmarkStart w:id="365" w:name="_Toc458450317"/>
      <w:bookmarkStart w:id="366" w:name="_Toc458461589"/>
      <w:bookmarkStart w:id="367" w:name="_Toc458467556"/>
      <w:bookmarkStart w:id="368" w:name="_Toc458257440"/>
      <w:bookmarkStart w:id="369" w:name="_Toc461050823"/>
      <w:r>
        <w:rPr>
          <w:rFonts w:ascii="Times New Roman" w:hAnsi="Times New Roman" w:cs="Times New Roman"/>
          <w:noProof/>
        </w:rPr>
        <w:t>Investing in FTTH</w:t>
      </w:r>
      <w:bookmarkEnd w:id="362"/>
      <w:bookmarkEnd w:id="363"/>
      <w:bookmarkEnd w:id="364"/>
      <w:bookmarkEnd w:id="365"/>
      <w:bookmarkEnd w:id="366"/>
      <w:bookmarkEnd w:id="367"/>
      <w:bookmarkEnd w:id="368"/>
      <w:bookmarkEnd w:id="369"/>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While DSL and DOCSIS technologies have mostly been deployed as upgrades to legacy networks by historic incumbent and cable operators, FTTH is characterised by a more diverse investor-base. </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In Sweden</w:t>
      </w:r>
      <w:r>
        <w:rPr>
          <w:rStyle w:val="FootnoteReference"/>
          <w:rFonts w:ascii="Times New Roman" w:hAnsi="Times New Roman" w:cs="Times New Roman"/>
          <w:noProof/>
          <w:sz w:val="24"/>
        </w:rPr>
        <w:footnoteReference w:id="92"/>
      </w:r>
      <w:r>
        <w:rPr>
          <w:rFonts w:ascii="Times New Roman" w:hAnsi="Times New Roman" w:cs="Times New Roman"/>
          <w:noProof/>
          <w:sz w:val="24"/>
        </w:rPr>
        <w:t>, which has a very low population density – 23 persons per square kilometre, municipalities have taken the lead in the deployment of open-access fibre networks, encouraged into that role by the central government.</w:t>
      </w:r>
      <w:r>
        <w:rPr>
          <w:rStyle w:val="FootnoteReference"/>
          <w:rFonts w:ascii="Times New Roman" w:hAnsi="Times New Roman" w:cs="Times New Roman"/>
          <w:noProof/>
          <w:sz w:val="24"/>
        </w:rPr>
        <w:footnoteReference w:id="93"/>
      </w:r>
      <w:r>
        <w:rPr>
          <w:rFonts w:ascii="Times New Roman" w:hAnsi="Times New Roman" w:cs="Times New Roman"/>
          <w:noProof/>
          <w:sz w:val="24"/>
        </w:rPr>
        <w:t xml:space="preserve"> The business case for these largely rural area deployments turns positive through a combination of factors: (1) the costs for procurement of communication services for the local government in all its facets turns from external to internal; (2) the community network provides lower cost bundled access for service providers; (3) at the same time providing for increased services competition; (4) the use of civil infrastructure owned by the municipality; (5) shared interest in the execution of the works; and (6) willingness of prospective subscribers to pay an upfront fee .</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Commercial non-telecom infrastructure investors have also in some cases seen a profitable business case in building an FTTH access network in competition with the existing copper network(s). These cases are typically built around demand aggregation (i.e. activating projects in an area only when a minimum threshold of interested future subscribers has been passed), often in combination with payment of upfront fees by prospective end-users, and novel low-cost techniques of laying the fibres. These networks are often open-access, with competition on the services layer. A typical example is the case of Reggefiber in the Netherlands.</w:t>
      </w:r>
      <w:r>
        <w:rPr>
          <w:rStyle w:val="FootnoteReference"/>
          <w:rFonts w:ascii="Times New Roman" w:hAnsi="Times New Roman" w:cs="Times New Roman"/>
          <w:noProof/>
          <w:sz w:val="24"/>
        </w:rPr>
        <w:footnoteReference w:id="94"/>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The lack of broadband provision by traditional players in central Europe has led to grass-roots initiatives by local entrepreneurs in deploying fibre to provide Ethernet-based connectivity in apartment buildings and city neighbourhoods.</w:t>
      </w:r>
      <w:r>
        <w:rPr>
          <w:rStyle w:val="FootnoteReference"/>
          <w:rFonts w:ascii="Times New Roman" w:hAnsi="Times New Roman" w:cs="Times New Roman"/>
          <w:noProof/>
          <w:sz w:val="24"/>
        </w:rPr>
        <w:footnoteReference w:id="95"/>
      </w:r>
      <w:r>
        <w:rPr>
          <w:rFonts w:ascii="Times New Roman" w:hAnsi="Times New Roman" w:cs="Times New Roman"/>
          <w:noProof/>
          <w:sz w:val="24"/>
        </w:rPr>
        <w:t xml:space="preserve"> This has propelled some central European countries, for instance Latvia and Bulgaria, to the top of the broadband league tables in terms of peak connection data rates. </w:t>
      </w:r>
    </w:p>
    <w:p w:rsidR="004C7085" w:rsidRDefault="005163E3">
      <w:pPr>
        <w:spacing w:after="120" w:line="240" w:lineRule="auto"/>
        <w:jc w:val="both"/>
        <w:rPr>
          <w:rFonts w:ascii="Times New Roman" w:hAnsi="Times New Roman" w:cs="Times New Roman"/>
          <w:noProof/>
          <w:sz w:val="24"/>
        </w:rPr>
      </w:pPr>
      <w:r>
        <w:rPr>
          <w:rFonts w:ascii="Times New Roman" w:hAnsi="Times New Roman" w:cs="Times New Roman"/>
          <w:noProof/>
          <w:sz w:val="24"/>
        </w:rPr>
        <w:t>Higher deployment of FTTH can also be observed in circumstances where the costs of deployment are lower (for instance thanks to duct availability) and in countries with competitive pressure from alternative FTTH investors. Incumbents may also be expected to deploy FTTH in greenfield situations, as it provides for higher data rates, is more future proof and comes with lower operational costs.</w:t>
      </w:r>
    </w:p>
    <w:p w:rsidR="004C7085" w:rsidRDefault="004C7085">
      <w:pPr>
        <w:spacing w:after="120" w:line="240" w:lineRule="auto"/>
        <w:jc w:val="both"/>
        <w:rPr>
          <w:rFonts w:ascii="Times New Roman" w:hAnsi="Times New Roman" w:cs="Times New Roman"/>
          <w:noProof/>
          <w:sz w:val="24"/>
        </w:rPr>
      </w:pPr>
    </w:p>
    <w:p w:rsidR="004C7085" w:rsidRDefault="005163E3">
      <w:pPr>
        <w:pStyle w:val="Heading2"/>
        <w:numPr>
          <w:ilvl w:val="1"/>
          <w:numId w:val="16"/>
        </w:numPr>
        <w:spacing w:before="0" w:after="120" w:line="240" w:lineRule="auto"/>
        <w:rPr>
          <w:rFonts w:ascii="Times New Roman" w:hAnsi="Times New Roman" w:cs="Times New Roman"/>
          <w:noProof/>
        </w:rPr>
      </w:pPr>
      <w:bookmarkStart w:id="370" w:name="_Toc458161152"/>
      <w:bookmarkStart w:id="371" w:name="_Toc458188095"/>
      <w:bookmarkStart w:id="372" w:name="_Toc458188253"/>
      <w:bookmarkStart w:id="373" w:name="_Toc458450318"/>
      <w:bookmarkStart w:id="374" w:name="_Toc458461590"/>
      <w:bookmarkStart w:id="375" w:name="_Toc458467557"/>
      <w:bookmarkStart w:id="376" w:name="_Toc458257441"/>
      <w:bookmarkStart w:id="377" w:name="_Toc461050824"/>
      <w:r>
        <w:rPr>
          <w:rFonts w:ascii="Times New Roman" w:hAnsi="Times New Roman" w:cs="Times New Roman"/>
          <w:noProof/>
        </w:rPr>
        <w:t>Will fibre-based technologies be able to meet growing demand?</w:t>
      </w:r>
      <w:bookmarkEnd w:id="370"/>
      <w:bookmarkEnd w:id="371"/>
      <w:bookmarkEnd w:id="372"/>
      <w:bookmarkEnd w:id="373"/>
      <w:bookmarkEnd w:id="374"/>
      <w:bookmarkEnd w:id="375"/>
      <w:bookmarkEnd w:id="376"/>
      <w:bookmarkEnd w:id="377"/>
    </w:p>
    <w:p w:rsidR="004C7085" w:rsidRDefault="005163E3">
      <w:pPr>
        <w:spacing w:after="120" w:line="240" w:lineRule="auto"/>
        <w:jc w:val="both"/>
        <w:rPr>
          <w:rFonts w:ascii="Times New Roman" w:hAnsi="Times New Roman" w:cs="Times New Roman"/>
          <w:noProof/>
          <w:sz w:val="24"/>
          <w:lang w:eastAsia="nl-NL"/>
        </w:rPr>
      </w:pPr>
      <w:r>
        <w:rPr>
          <w:rFonts w:ascii="Times New Roman" w:hAnsi="Times New Roman" w:cs="Times New Roman"/>
          <w:noProof/>
          <w:sz w:val="24"/>
          <w:lang w:eastAsia="nl-NL"/>
        </w:rPr>
        <w:t>Fibre has been and still is the technology providing the highest possible data rates with the highest and most consistent quality of service. Since the early 2000s fibre-based Internet access has been offered at 50 Mbps and 100 Mbps symmetrical to residential customers and into the Gbps range to business customers. If demand grows the split ratio in fibre PON networks can be reduced. If demand would grow much further, wavelength division multiplexing (WDM) can be introduced which makes it possible to use multiple colours of light to expand the capacity of a single (existing) fibre. This can be accomplished by an upgrade of the electronics at either end of the fibre.</w:t>
      </w:r>
    </w:p>
    <w:p w:rsidR="004C7085" w:rsidRDefault="005163E3">
      <w:pPr>
        <w:spacing w:after="120" w:line="240" w:lineRule="auto"/>
        <w:jc w:val="both"/>
        <w:rPr>
          <w:rFonts w:ascii="Times New Roman" w:hAnsi="Times New Roman" w:cs="Times New Roman"/>
          <w:noProof/>
          <w:sz w:val="24"/>
          <w:lang w:eastAsia="nl-NL"/>
        </w:rPr>
      </w:pPr>
      <w:r>
        <w:rPr>
          <w:rFonts w:ascii="Times New Roman" w:hAnsi="Times New Roman" w:cs="Times New Roman"/>
          <w:noProof/>
          <w:sz w:val="24"/>
          <w:lang w:eastAsia="nl-NL"/>
        </w:rPr>
        <w:t>Recent technological developments suggest that a combination of time and wavelength division multiplexing (TWDM) can be deployed over passive optical networks (PONs) such that the (physical) point-to-multipoint architecture can be turned into a (logical) point-to-point architecture, combining the benefits of both architectures.</w:t>
      </w:r>
    </w:p>
    <w:p w:rsidR="004C7085" w:rsidRDefault="005163E3">
      <w:pPr>
        <w:spacing w:after="120" w:line="240" w:lineRule="auto"/>
        <w:jc w:val="both"/>
        <w:rPr>
          <w:rFonts w:ascii="Times New Roman" w:hAnsi="Times New Roman" w:cs="Times New Roman"/>
          <w:noProof/>
          <w:lang w:eastAsia="nl-NL"/>
        </w:rPr>
      </w:pPr>
      <w:r>
        <w:rPr>
          <w:rFonts w:ascii="Times New Roman" w:hAnsi="Times New Roman" w:cs="Times New Roman"/>
          <w:noProof/>
          <w:sz w:val="24"/>
          <w:lang w:eastAsia="nl-NL"/>
        </w:rPr>
        <w:t>According to many sources</w:t>
      </w:r>
      <w:r>
        <w:rPr>
          <w:rStyle w:val="FootnoteReference"/>
          <w:rFonts w:ascii="Times New Roman" w:hAnsi="Times New Roman" w:cs="Times New Roman"/>
          <w:noProof/>
          <w:sz w:val="24"/>
          <w:lang w:eastAsia="nl-NL"/>
        </w:rPr>
        <w:footnoteReference w:id="96"/>
      </w:r>
      <w:r>
        <w:rPr>
          <w:rFonts w:ascii="Times New Roman" w:hAnsi="Times New Roman" w:cs="Times New Roman"/>
          <w:noProof/>
          <w:sz w:val="24"/>
          <w:lang w:eastAsia="nl-NL"/>
        </w:rPr>
        <w:t xml:space="preserve"> fibre can stay ahead of even the most optimistic forecasts in terms of end-user demand for at least next 25 years.</w:t>
      </w:r>
    </w:p>
    <w:p w:rsidR="004C7085" w:rsidRDefault="005163E3">
      <w:pPr>
        <w:pStyle w:val="Heading2"/>
        <w:numPr>
          <w:ilvl w:val="0"/>
          <w:numId w:val="16"/>
        </w:numPr>
        <w:spacing w:before="0" w:after="120" w:line="240" w:lineRule="auto"/>
        <w:rPr>
          <w:rFonts w:ascii="Times New Roman" w:hAnsi="Times New Roman" w:cs="Times New Roman"/>
          <w:noProof/>
        </w:rPr>
      </w:pPr>
      <w:bookmarkStart w:id="378" w:name="_Toc458161153"/>
      <w:bookmarkStart w:id="379" w:name="_Toc458188096"/>
      <w:bookmarkStart w:id="380" w:name="_Toc458188254"/>
      <w:bookmarkStart w:id="381" w:name="_Toc458450319"/>
      <w:bookmarkStart w:id="382" w:name="_Toc458461591"/>
      <w:bookmarkStart w:id="383" w:name="_Toc458467558"/>
      <w:bookmarkStart w:id="384" w:name="_Toc458257442"/>
      <w:bookmarkStart w:id="385" w:name="_Toc461050825"/>
      <w:r>
        <w:rPr>
          <w:rFonts w:ascii="Times New Roman" w:hAnsi="Times New Roman" w:cs="Times New Roman"/>
          <w:noProof/>
        </w:rPr>
        <w:t>Wireless technological developments</w:t>
      </w:r>
      <w:bookmarkEnd w:id="378"/>
      <w:bookmarkEnd w:id="379"/>
      <w:bookmarkEnd w:id="380"/>
      <w:bookmarkEnd w:id="381"/>
      <w:bookmarkEnd w:id="382"/>
      <w:bookmarkEnd w:id="383"/>
      <w:bookmarkEnd w:id="384"/>
      <w:bookmarkEnd w:id="385"/>
    </w:p>
    <w:p w:rsidR="004C7085" w:rsidRDefault="005163E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Moore’s Law does not directly apply to progress in performance of radio frequency chips</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exponential growth is very clearly reflected at the systems level when performance is expressed in peak data rates, in particular as achieved in mobile communications, Figure 31 represents a data rate increase by a factor of approx. 1.8 every year. This is essentially the result of more capable digital signal processing. We may expect this trend to continue since the succession of generations of cellular mobile networks shows a high degree of regularity.</w:t>
      </w:r>
    </w:p>
    <w:p w:rsidR="004C7085" w:rsidRDefault="005163E3">
      <w:pPr>
        <w:pStyle w:val="Heading4"/>
        <w:keepNext/>
        <w:rPr>
          <w:noProof/>
        </w:rPr>
      </w:pPr>
      <w:r>
        <w:rPr>
          <w:noProof/>
        </w:rPr>
        <w:t>Figure 31: Peak data rates in mobile, 1990-2020</w:t>
      </w:r>
    </w:p>
    <w:p w:rsidR="004C7085" w:rsidRDefault="005163E3">
      <w:pPr>
        <w:keepNext/>
        <w:keepLines/>
        <w:spacing w:after="120" w:line="240" w:lineRule="auto"/>
        <w:jc w:val="both"/>
        <w:rPr>
          <w:rFonts w:ascii="Times New Roman" w:hAnsi="Times New Roman" w:cs="Times New Roman"/>
          <w:noProof/>
        </w:rPr>
      </w:pPr>
      <w:r>
        <w:rPr>
          <w:rFonts w:ascii="Times New Roman" w:hAnsi="Times New Roman" w:cs="Times New Roman"/>
          <w:noProof/>
          <w:sz w:val="20"/>
          <w:lang w:eastAsia="en-GB"/>
        </w:rPr>
        <w:drawing>
          <wp:inline distT="0" distB="0" distL="0" distR="0" wp14:anchorId="3CCA7DE7" wp14:editId="3F4CD9DD">
            <wp:extent cx="5426075" cy="29845"/>
            <wp:effectExtent l="0" t="0" r="0" b="0"/>
            <wp:docPr id="4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6075" cy="29845"/>
                    </a:xfrm>
                    <a:prstGeom prst="rect">
                      <a:avLst/>
                    </a:prstGeom>
                    <a:noFill/>
                    <a:ln>
                      <a:noFill/>
                    </a:ln>
                  </pic:spPr>
                </pic:pic>
              </a:graphicData>
            </a:graphic>
          </wp:inline>
        </w:drawing>
      </w:r>
    </w:p>
    <w:p w:rsidR="004C7085" w:rsidRDefault="005163E3">
      <w:pPr>
        <w:keepNext/>
        <w:keepLines/>
        <w:spacing w:after="120" w:line="240" w:lineRule="auto"/>
        <w:jc w:val="both"/>
        <w:rPr>
          <w:rFonts w:ascii="Times New Roman" w:hAnsi="Times New Roman" w:cs="Times New Roman"/>
          <w:noProof/>
        </w:rPr>
      </w:pPr>
      <w:r>
        <w:rPr>
          <w:rFonts w:ascii="Times New Roman" w:hAnsi="Times New Roman" w:cs="Times New Roman"/>
          <w:noProof/>
          <w:lang w:eastAsia="en-GB"/>
        </w:rPr>
        <mc:AlternateContent>
          <mc:Choice Requires="wps">
            <w:drawing>
              <wp:anchor distT="0" distB="0" distL="114300" distR="114300" simplePos="0" relativeHeight="251658241" behindDoc="0" locked="0" layoutInCell="1" allowOverlap="1" wp14:anchorId="024ED00D" wp14:editId="24903141">
                <wp:simplePos x="0" y="0"/>
                <wp:positionH relativeFrom="column">
                  <wp:posOffset>3886200</wp:posOffset>
                </wp:positionH>
                <wp:positionV relativeFrom="paragraph">
                  <wp:posOffset>1876425</wp:posOffset>
                </wp:positionV>
                <wp:extent cx="209550" cy="254000"/>
                <wp:effectExtent l="0" t="0" r="0" b="0"/>
                <wp:wrapNone/>
                <wp:docPr id="2079"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4000"/>
                        </a:xfrm>
                        <a:prstGeom prst="rect">
                          <a:avLst/>
                        </a:prstGeom>
                        <a:noFill/>
                        <a:ln w="9525">
                          <a:noFill/>
                          <a:miter lim="800000"/>
                          <a:headEnd/>
                          <a:tailEnd/>
                        </a:ln>
                      </wps:spPr>
                      <wps:txbx>
                        <w:txbxContent>
                          <w:p w:rsidR="005163E3" w:rsidRDefault="005163E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79" o:spid="_x0000_s1032" type="#_x0000_t202" style="position:absolute;left:0;text-align:left;margin-left:306pt;margin-top:147.75pt;width:16.5pt;height:2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" filled="f" stroked="f">
                <v:textbox>
                  <w:txbxContent>
                    <w:p w:rsidR="005163E3" w:rsidRDefault="005163E3">
                      <w:pPr>
                        <w:rPr>
                          <w:sz w:val="16"/>
                        </w:rPr>
                      </w:pP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40" behindDoc="0" locked="0" layoutInCell="1" allowOverlap="1" wp14:anchorId="4ABE5CBD" wp14:editId="03F88C24">
                <wp:simplePos x="0" y="0"/>
                <wp:positionH relativeFrom="column">
                  <wp:posOffset>62230</wp:posOffset>
                </wp:positionH>
                <wp:positionV relativeFrom="paragraph">
                  <wp:posOffset>2863850</wp:posOffset>
                </wp:positionV>
                <wp:extent cx="3028950" cy="2540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54000"/>
                        </a:xfrm>
                        <a:prstGeom prst="rect">
                          <a:avLst/>
                        </a:prstGeom>
                        <a:noFill/>
                        <a:ln w="9525">
                          <a:noFill/>
                          <a:miter lim="800000"/>
                          <a:headEnd/>
                          <a:tailEnd/>
                        </a:ln>
                      </wps:spPr>
                      <wps:txbx>
                        <w:txbxContent>
                          <w:p w:rsidR="005163E3" w:rsidRDefault="005163E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9pt;margin-top:225.5pt;width:238.5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" filled="f" stroked="f">
                <v:textbox>
                  <w:txbxContent>
                    <w:p w:rsidR="005163E3" w:rsidRDefault="005163E3">
                      <w:pPr>
                        <w:rPr>
                          <w:sz w:val="16"/>
                        </w:rPr>
                      </w:pPr>
                    </w:p>
                  </w:txbxContent>
                </v:textbox>
              </v:shape>
            </w:pict>
          </mc:Fallback>
        </mc:AlternateContent>
      </w:r>
      <w:r>
        <w:rPr>
          <w:rFonts w:ascii="Times New Roman" w:hAnsi="Times New Roman" w:cs="Times New Roman"/>
          <w:noProof/>
          <w:lang w:eastAsia="en-GB"/>
        </w:rPr>
        <w:drawing>
          <wp:inline distT="0" distB="0" distL="0" distR="0" wp14:anchorId="7124ED82" wp14:editId="30B8896A">
            <wp:extent cx="5138057" cy="2908154"/>
            <wp:effectExtent l="0" t="0" r="0" b="0"/>
            <wp:docPr id="4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6337" cy="2912841"/>
                    </a:xfrm>
                    <a:prstGeom prst="rect">
                      <a:avLst/>
                    </a:prstGeom>
                    <a:noFill/>
                    <a:ln>
                      <a:noFill/>
                    </a:ln>
                  </pic:spPr>
                </pic:pic>
              </a:graphicData>
            </a:graphic>
          </wp:inline>
        </w:drawing>
      </w:r>
    </w:p>
    <w:p w:rsidR="004C7085" w:rsidRDefault="005163E3">
      <w:pPr>
        <w:keepNext/>
        <w:keepLines/>
        <w:spacing w:after="120" w:line="240"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327C84A5" wp14:editId="6DF97F50">
            <wp:extent cx="5588635" cy="280670"/>
            <wp:effectExtent l="0" t="0" r="0" b="5080"/>
            <wp:docPr id="46" name="Grafik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8635" cy="280670"/>
                    </a:xfrm>
                    <a:prstGeom prst="rect">
                      <a:avLst/>
                    </a:prstGeom>
                    <a:noFill/>
                    <a:ln>
                      <a:noFill/>
                    </a:ln>
                  </pic:spPr>
                </pic:pic>
              </a:graphicData>
            </a:graphic>
          </wp:inline>
        </w:drawing>
      </w:r>
    </w:p>
    <w:p w:rsidR="004C7085" w:rsidRDefault="005163E3">
      <w:pPr>
        <w:pStyle w:val="Quelle"/>
        <w:spacing w:before="0" w:after="120"/>
        <w:rPr>
          <w:rFonts w:ascii="Times New Roman" w:hAnsi="Times New Roman"/>
          <w:i/>
          <w:noProof/>
          <w:sz w:val="20"/>
        </w:rPr>
      </w:pPr>
      <w:r>
        <w:rPr>
          <w:rFonts w:ascii="Times New Roman" w:hAnsi="Times New Roman"/>
          <w:i/>
          <w:noProof/>
          <w:sz w:val="20"/>
          <w:lang w:val="nl-NL"/>
        </w:rPr>
        <w:t xml:space="preserve">Source: </w:t>
      </w:r>
      <w:r>
        <w:rPr>
          <w:rFonts w:ascii="Times New Roman" w:hAnsi="Times New Roman"/>
          <w:i/>
          <w:noProof/>
          <w:sz w:val="20"/>
          <w:lang w:val="nl-NL"/>
        </w:rPr>
        <w:tab/>
        <w:t xml:space="preserve">Niemegeers, I. &amp; S. Heemstra de Groot (2015). </w:t>
      </w:r>
      <w:r>
        <w:rPr>
          <w:rFonts w:ascii="Times New Roman" w:hAnsi="Times New Roman"/>
          <w:i/>
          <w:noProof/>
          <w:sz w:val="20"/>
        </w:rPr>
        <w:t>Cognitive Radio+ for 5G and beyond. Eindhoven: Technical University Eindhoven</w:t>
      </w:r>
    </w:p>
    <w:p w:rsidR="004C7085" w:rsidRDefault="005163E3">
      <w:pPr>
        <w:spacing w:after="120" w:line="240" w:lineRule="auto"/>
        <w:jc w:val="both"/>
        <w:rPr>
          <w:rFonts w:ascii="Times New Roman" w:hAnsi="Times New Roman"/>
          <w:i/>
          <w:strike/>
          <w:noProof/>
          <w:sz w:val="24"/>
        </w:rPr>
      </w:pPr>
      <w:bookmarkStart w:id="386" w:name="_Toc458161154"/>
      <w:bookmarkStart w:id="387" w:name="_Toc458188255"/>
      <w:r>
        <w:rPr>
          <w:rFonts w:ascii="Times New Roman" w:hAnsi="Times New Roman"/>
          <w:noProof/>
          <w:sz w:val="24"/>
          <w:szCs w:val="24"/>
        </w:rPr>
        <w:t>Since data communication was introduced through GPRS the data rates have increased through different technologies. LTE Advanced was first introduced in 2013 and provides a peak cell capacity of 1.2 Gbps, which is shared among the users. The design vision for 5G aims for 1000 times higher overall capacity and for 10 to 100 times higher end-user data rates. This is expected to result in guaranteed user rates of over 50 Mbit/s. For more information on the future capabilities of 5G systems, please consult the Staff Working Document on "5G Global developments"</w:t>
      </w:r>
      <w:r>
        <w:rPr>
          <w:rStyle w:val="FootnoteReference"/>
          <w:rFonts w:ascii="Times New Roman" w:hAnsi="Times New Roman"/>
          <w:noProof/>
          <w:sz w:val="24"/>
          <w:szCs w:val="24"/>
        </w:rPr>
        <w:footnoteReference w:id="98"/>
      </w:r>
      <w:r>
        <w:rPr>
          <w:rFonts w:ascii="Times New Roman" w:hAnsi="Times New Roman"/>
          <w:noProof/>
          <w:sz w:val="24"/>
          <w:szCs w:val="24"/>
        </w:rPr>
        <w:t xml:space="preserve"> accompanying the Communication "5G for Europe: An Action Plan"</w:t>
      </w:r>
      <w:r>
        <w:rPr>
          <w:rStyle w:val="FootnoteReference"/>
          <w:rFonts w:ascii="Times New Roman" w:hAnsi="Times New Roman"/>
          <w:noProof/>
          <w:sz w:val="24"/>
          <w:szCs w:val="24"/>
        </w:rPr>
        <w:footnoteReference w:id="99"/>
      </w:r>
      <w:r>
        <w:rPr>
          <w:rFonts w:ascii="Times New Roman" w:hAnsi="Times New Roman"/>
          <w:noProof/>
          <w:sz w:val="24"/>
          <w:szCs w:val="24"/>
        </w:rPr>
        <w:t>.</w:t>
      </w:r>
      <w:bookmarkEnd w:id="386"/>
      <w:bookmarkEnd w:id="387"/>
      <w:r>
        <w:rPr>
          <w:rFonts w:ascii="Times New Roman" w:hAnsi="Times New Roman"/>
          <w:noProof/>
          <w:sz w:val="24"/>
        </w:rPr>
        <w:t xml:space="preserve"> </w:t>
      </w:r>
    </w:p>
    <w:p w:rsidR="004C7085" w:rsidRDefault="005163E3">
      <w:pPr>
        <w:pStyle w:val="Heading4"/>
        <w:keepNext/>
        <w:rPr>
          <w:noProof/>
        </w:rPr>
      </w:pPr>
      <w:r>
        <w:rPr>
          <w:noProof/>
        </w:rPr>
        <w:t>Figure 32: Features of connectivity medium and technologies</w:t>
      </w:r>
    </w:p>
    <w:tbl>
      <w:tblPr>
        <w:tblW w:w="5450" w:type="pct"/>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5"/>
        <w:gridCol w:w="887"/>
        <w:gridCol w:w="659"/>
        <w:gridCol w:w="717"/>
        <w:gridCol w:w="629"/>
        <w:gridCol w:w="588"/>
        <w:gridCol w:w="725"/>
        <w:gridCol w:w="1835"/>
        <w:gridCol w:w="1664"/>
        <w:gridCol w:w="1755"/>
      </w:tblGrid>
      <w:tr w:rsidR="004C7085">
        <w:trPr>
          <w:trHeight w:val="638"/>
        </w:trPr>
        <w:tc>
          <w:tcPr>
            <w:tcW w:w="305" w:type="pct"/>
            <w:shd w:val="clear" w:color="auto" w:fill="auto"/>
            <w:noWrap/>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Medium</w:t>
            </w: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Technologies</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Down / upstream Rate</w:t>
            </w:r>
            <w:r>
              <w:rPr>
                <w:rFonts w:ascii="Times New Roman" w:hAnsi="Times New Roman" w:cs="Times New Roman"/>
                <w:noProof/>
                <w:sz w:val="18"/>
                <w:szCs w:val="18"/>
                <w:vertAlign w:val="superscript"/>
                <w:lang w:eastAsia="en-GB"/>
              </w:rPr>
              <w:t>(1)</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Efficiency range</w:t>
            </w:r>
            <w:r>
              <w:rPr>
                <w:rFonts w:ascii="Times New Roman" w:hAnsi="Times New Roman" w:cs="Times New Roman"/>
                <w:noProof/>
                <w:sz w:val="18"/>
                <w:szCs w:val="18"/>
                <w:vertAlign w:val="superscript"/>
                <w:lang w:eastAsia="en-GB"/>
              </w:rPr>
              <w:t>(1)</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Typical latency</w:t>
            </w:r>
            <w:r>
              <w:rPr>
                <w:rFonts w:ascii="Times New Roman" w:hAnsi="Times New Roman" w:cs="Times New Roman"/>
                <w:noProof/>
                <w:sz w:val="18"/>
                <w:szCs w:val="18"/>
                <w:vertAlign w:val="superscript"/>
                <w:lang w:eastAsia="en-GB"/>
              </w:rPr>
              <w:t xml:space="preserve"> (5)</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Shared medium for last mile?</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Frequency bandwidth </w:t>
            </w:r>
            <w:r>
              <w:rPr>
                <w:rFonts w:ascii="Times New Roman" w:hAnsi="Times New Roman" w:cs="Times New Roman"/>
                <w:noProof/>
                <w:sz w:val="18"/>
                <w:szCs w:val="18"/>
                <w:vertAlign w:val="superscript"/>
                <w:lang w:eastAsia="en-GB"/>
              </w:rPr>
              <w:t>(6)</w:t>
            </w:r>
          </w:p>
        </w:tc>
        <w:tc>
          <w:tcPr>
            <w:tcW w:w="911"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Infrastructure architecture</w:t>
            </w:r>
          </w:p>
        </w:tc>
        <w:tc>
          <w:tcPr>
            <w:tcW w:w="82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Suitability </w:t>
            </w:r>
          </w:p>
        </w:tc>
        <w:tc>
          <w:tcPr>
            <w:tcW w:w="871"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Future of the technology</w:t>
            </w:r>
          </w:p>
        </w:tc>
      </w:tr>
      <w:tr w:rsidR="004C7085">
        <w:trPr>
          <w:trHeight w:val="630"/>
        </w:trPr>
        <w:tc>
          <w:tcPr>
            <w:tcW w:w="305" w:type="pct"/>
            <w:vMerge w:val="restart"/>
            <w:shd w:val="clear" w:color="auto" w:fill="auto"/>
            <w:noWrap/>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copper</w:t>
            </w:r>
          </w:p>
        </w:tc>
        <w:tc>
          <w:tcPr>
            <w:tcW w:w="440"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Wired Broadband Technologies</w:t>
            </w:r>
          </w:p>
        </w:tc>
        <w:tc>
          <w:tcPr>
            <w:tcW w:w="327"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56"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12"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292"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60"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911"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826"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871"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r>
      <w:tr w:rsidR="004C7085">
        <w:trPr>
          <w:trHeight w:val="998"/>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ADSL, ADSL2, ADSL2+</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24/1 Mbps</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5 km</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15-40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no</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0,0022 GHz</w:t>
            </w:r>
          </w:p>
        </w:tc>
        <w:tc>
          <w:tcPr>
            <w:tcW w:w="911"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internet access by transmitting digital data over the wires of a local telephone network copper line terminates at telephone exchange (ADSL) or street cabinet (VDSL)</w:t>
            </w:r>
            <w:r>
              <w:rPr>
                <w:rFonts w:ascii="Times New Roman" w:hAnsi="Times New Roman" w:cs="Times New Roman"/>
                <w:noProof/>
                <w:sz w:val="18"/>
                <w:szCs w:val="18"/>
                <w:lang w:eastAsia="en-GB"/>
              </w:rPr>
              <w:br/>
              <w:t>· Vectoring: Elimination of cross talks for higher bandwidths</w:t>
            </w:r>
            <w:r>
              <w:rPr>
                <w:rFonts w:ascii="Times New Roman" w:hAnsi="Times New Roman" w:cs="Times New Roman"/>
                <w:noProof/>
                <w:sz w:val="18"/>
                <w:szCs w:val="18"/>
                <w:lang w:eastAsia="en-GB"/>
              </w:rPr>
              <w:br/>
              <w:t>· G.Fast: Frequency increase up to 212 MHz to achieve higher bandwidth</w:t>
            </w:r>
          </w:p>
        </w:tc>
        <w:tc>
          <w:tcPr>
            <w:tcW w:w="826"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use of existing telephone infrastructure</w:t>
            </w:r>
            <w:r>
              <w:rPr>
                <w:rFonts w:ascii="Times New Roman" w:hAnsi="Times New Roman" w:cs="Times New Roman"/>
                <w:noProof/>
                <w:sz w:val="18"/>
                <w:szCs w:val="18"/>
                <w:lang w:eastAsia="en-GB"/>
              </w:rPr>
              <w:br/>
              <w:t>· fast to install</w:t>
            </w:r>
            <w:r>
              <w:rPr>
                <w:rFonts w:ascii="Times New Roman" w:hAnsi="Times New Roman" w:cs="Times New Roman"/>
                <w:noProof/>
                <w:sz w:val="18"/>
                <w:szCs w:val="18"/>
                <w:lang w:eastAsia="en-GB"/>
              </w:rPr>
              <w:br/>
              <w:t>· small efficiency range due to the line resistance of copper connection lines</w:t>
            </w:r>
          </w:p>
        </w:tc>
        <w:tc>
          <w:tcPr>
            <w:tcW w:w="871"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 further speed and range improvements by enhancing and combining new DSL-based technologies (phantom mode, bonding, vectoring) </w:t>
            </w:r>
            <w:r>
              <w:rPr>
                <w:rFonts w:ascii="Times New Roman" w:hAnsi="Times New Roman" w:cs="Times New Roman"/>
                <w:noProof/>
                <w:sz w:val="18"/>
                <w:szCs w:val="18"/>
                <w:lang w:eastAsia="en-GB"/>
              </w:rPr>
              <w:br/>
              <w:t>· bridge technology towards complete fibre optic cable infrastructure</w:t>
            </w:r>
          </w:p>
        </w:tc>
      </w:tr>
      <w:tr w:rsidR="004C7085">
        <w:trPr>
          <w:trHeight w:val="998"/>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VDSL, VDSL2, Vectoring</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100 /40 Mbps</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 km</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15-40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no</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0,017 GHz</w:t>
            </w:r>
          </w:p>
        </w:tc>
        <w:tc>
          <w:tcPr>
            <w:tcW w:w="91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26"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7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r>
      <w:tr w:rsidR="004C7085">
        <w:trPr>
          <w:trHeight w:val="998"/>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G.Fast</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500/500 Mbps</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250 m </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15-40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no</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0,212 GHz</w:t>
            </w:r>
          </w:p>
        </w:tc>
        <w:tc>
          <w:tcPr>
            <w:tcW w:w="91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26"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7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r>
      <w:tr w:rsidR="004C7085">
        <w:trPr>
          <w:trHeight w:val="153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CATV</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200/100 Mbps</w:t>
            </w:r>
            <w:r>
              <w:rPr>
                <w:rFonts w:ascii="Times New Roman" w:hAnsi="Times New Roman" w:cs="Times New Roman"/>
                <w:noProof/>
                <w:sz w:val="18"/>
                <w:szCs w:val="18"/>
                <w:vertAlign w:val="superscript"/>
                <w:lang w:eastAsia="en-GB"/>
              </w:rPr>
              <w:t>(4)</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2-100 km</w:t>
            </w:r>
            <w:r>
              <w:rPr>
                <w:rFonts w:ascii="Times New Roman" w:hAnsi="Times New Roman" w:cs="Times New Roman"/>
                <w:noProof/>
                <w:sz w:val="18"/>
                <w:szCs w:val="18"/>
                <w:vertAlign w:val="superscript"/>
                <w:lang w:eastAsia="en-GB"/>
              </w:rPr>
              <w:t>(2)</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15-40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yes</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 GHz</w:t>
            </w:r>
          </w:p>
        </w:tc>
        <w:tc>
          <w:tcPr>
            <w:tcW w:w="911"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coaxial cable in the streets and buildings; fibre at the feeder segments</w:t>
            </w:r>
            <w:r>
              <w:rPr>
                <w:rFonts w:ascii="Times New Roman" w:hAnsi="Times New Roman" w:cs="Times New Roman"/>
                <w:noProof/>
                <w:sz w:val="18"/>
                <w:szCs w:val="18"/>
                <w:lang w:eastAsia="en-GB"/>
              </w:rPr>
              <w:br/>
              <w:t>· network extensions to provide backward channel functionality</w:t>
            </w:r>
          </w:p>
        </w:tc>
        <w:tc>
          <w:tcPr>
            <w:tcW w:w="82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use of existing cable television infrastructure</w:t>
            </w:r>
            <w:r>
              <w:rPr>
                <w:rFonts w:ascii="Times New Roman" w:hAnsi="Times New Roman" w:cs="Times New Roman"/>
                <w:noProof/>
                <w:sz w:val="18"/>
                <w:szCs w:val="18"/>
                <w:lang w:eastAsia="en-GB"/>
              </w:rPr>
              <w:br/>
              <w:t xml:space="preserve">· fast to install </w:t>
            </w:r>
            <w:r>
              <w:rPr>
                <w:rFonts w:ascii="Times New Roman" w:hAnsi="Times New Roman" w:cs="Times New Roman"/>
                <w:noProof/>
                <w:sz w:val="18"/>
                <w:szCs w:val="18"/>
                <w:lang w:eastAsia="en-GB"/>
              </w:rPr>
              <w:br/>
              <w:t>· high transmission rates</w:t>
            </w:r>
          </w:p>
        </w:tc>
        <w:tc>
          <w:tcPr>
            <w:tcW w:w="871"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Further implementation of new standards (DOCSIS 3.1) will allow to provide higher bandwidth to end-users</w:t>
            </w:r>
          </w:p>
        </w:tc>
      </w:tr>
      <w:tr w:rsidR="004C7085">
        <w:trPr>
          <w:trHeight w:val="630"/>
        </w:trPr>
        <w:tc>
          <w:tcPr>
            <w:tcW w:w="305" w:type="pct"/>
            <w:vMerge w:val="restart"/>
            <w:shd w:val="clear" w:color="auto" w:fill="auto"/>
            <w:noWrap/>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fibre</w:t>
            </w:r>
          </w:p>
        </w:tc>
        <w:tc>
          <w:tcPr>
            <w:tcW w:w="440"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Optical Broadband Technologies</w:t>
            </w:r>
          </w:p>
        </w:tc>
        <w:tc>
          <w:tcPr>
            <w:tcW w:w="327"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56"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12"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292"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60"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911"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826"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871"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r>
      <w:tr w:rsidR="004C7085">
        <w:trPr>
          <w:trHeight w:val="90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p2p</w:t>
            </w:r>
          </w:p>
        </w:tc>
        <w:tc>
          <w:tcPr>
            <w:tcW w:w="327"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1/1 Gbps (and more)</w:t>
            </w:r>
          </w:p>
        </w:tc>
        <w:tc>
          <w:tcPr>
            <w:tcW w:w="356"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10-60 km</w:t>
            </w:r>
          </w:p>
        </w:tc>
        <w:tc>
          <w:tcPr>
            <w:tcW w:w="312"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0.3 ms (5 µs per km)</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no</w:t>
            </w:r>
          </w:p>
        </w:tc>
        <w:tc>
          <w:tcPr>
            <w:tcW w:w="360"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50000 GHz</w:t>
            </w:r>
          </w:p>
        </w:tc>
        <w:tc>
          <w:tcPr>
            <w:tcW w:w="911"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signal transmission via fibre</w:t>
            </w:r>
            <w:r>
              <w:rPr>
                <w:rFonts w:ascii="Times New Roman" w:hAnsi="Times New Roman" w:cs="Times New Roman"/>
                <w:noProof/>
                <w:sz w:val="18"/>
                <w:szCs w:val="18"/>
                <w:lang w:eastAsia="en-GB"/>
              </w:rPr>
              <w:br/>
              <w:t>· distribution of signals by electrically powered network equipment or unpowered optical splitters</w:t>
            </w:r>
          </w:p>
        </w:tc>
        <w:tc>
          <w:tcPr>
            <w:tcW w:w="826"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 highest bandwidth capacities </w:t>
            </w:r>
            <w:r>
              <w:rPr>
                <w:rFonts w:ascii="Times New Roman" w:hAnsi="Times New Roman" w:cs="Times New Roman"/>
                <w:noProof/>
                <w:sz w:val="18"/>
                <w:szCs w:val="18"/>
                <w:lang w:eastAsia="en-GB"/>
              </w:rPr>
              <w:br/>
              <w:t>· high efficiency range</w:t>
            </w:r>
            <w:r>
              <w:rPr>
                <w:rFonts w:ascii="Times New Roman" w:hAnsi="Times New Roman" w:cs="Times New Roman"/>
                <w:noProof/>
                <w:sz w:val="18"/>
                <w:szCs w:val="18"/>
                <w:lang w:eastAsia="en-GB"/>
              </w:rPr>
              <w:br/>
              <w:t>· high investment costs</w:t>
            </w:r>
            <w:r>
              <w:rPr>
                <w:rFonts w:ascii="Times New Roman" w:hAnsi="Times New Roman" w:cs="Times New Roman"/>
                <w:noProof/>
                <w:sz w:val="18"/>
                <w:szCs w:val="18"/>
                <w:lang w:eastAsia="en-GB"/>
              </w:rPr>
              <w:br/>
              <w:t>· bandwidth depends on the transformation of the optical into electronic signals at the cabinet (FTTC), building (FTTB) or home (FTTH)</w:t>
            </w:r>
          </w:p>
        </w:tc>
        <w:tc>
          <w:tcPr>
            <w:tcW w:w="871"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next generation technology to meet future bandwidth demands</w:t>
            </w:r>
          </w:p>
        </w:tc>
      </w:tr>
      <w:tr w:rsidR="004C7085">
        <w:trPr>
          <w:trHeight w:val="90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p2mp</w:t>
            </w:r>
          </w:p>
        </w:tc>
        <w:tc>
          <w:tcPr>
            <w:tcW w:w="327"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356"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312"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yes</w:t>
            </w:r>
          </w:p>
        </w:tc>
        <w:tc>
          <w:tcPr>
            <w:tcW w:w="360"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91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26"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7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r>
      <w:tr w:rsidR="004C7085">
        <w:trPr>
          <w:trHeight w:val="630"/>
        </w:trPr>
        <w:tc>
          <w:tcPr>
            <w:tcW w:w="305" w:type="pct"/>
            <w:vMerge w:val="restart"/>
            <w:shd w:val="clear" w:color="auto" w:fill="auto"/>
            <w:noWrap/>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air</w:t>
            </w:r>
          </w:p>
        </w:tc>
        <w:tc>
          <w:tcPr>
            <w:tcW w:w="440"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Wireless Broadband Technologies</w:t>
            </w:r>
          </w:p>
        </w:tc>
        <w:tc>
          <w:tcPr>
            <w:tcW w:w="327"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56"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12"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292"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360"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911"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826"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c>
          <w:tcPr>
            <w:tcW w:w="871" w:type="pct"/>
            <w:shd w:val="clear" w:color="000000" w:fill="FFFF00"/>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w:t>
            </w:r>
          </w:p>
        </w:tc>
      </w:tr>
      <w:tr w:rsidR="004C7085">
        <w:trPr>
          <w:trHeight w:val="120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LTE (Advanced)</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100/30 (1000/30) Mbps</w:t>
            </w:r>
            <w:r>
              <w:rPr>
                <w:rFonts w:ascii="Times New Roman" w:hAnsi="Times New Roman" w:cs="Times New Roman"/>
                <w:noProof/>
                <w:sz w:val="18"/>
                <w:szCs w:val="18"/>
                <w:vertAlign w:val="superscript"/>
                <w:lang w:eastAsia="en-GB"/>
              </w:rPr>
              <w:t>(3)</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3-6 km</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5-10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yes</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0.1 GHz</w:t>
            </w:r>
          </w:p>
        </w:tc>
        <w:tc>
          <w:tcPr>
            <w:tcW w:w="911"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mobile devices send and receive radio signals with any number of cell site base stations fitted with microwave antennas</w:t>
            </w:r>
            <w:r>
              <w:rPr>
                <w:rFonts w:ascii="Times New Roman" w:hAnsi="Times New Roman" w:cs="Times New Roman"/>
                <w:noProof/>
                <w:sz w:val="18"/>
                <w:szCs w:val="18"/>
                <w:lang w:eastAsia="en-GB"/>
              </w:rPr>
              <w:br/>
              <w:t>· sites connected to a cabled communication network and switching system</w:t>
            </w:r>
          </w:p>
        </w:tc>
        <w:tc>
          <w:tcPr>
            <w:tcW w:w="826"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highly suitable for coverage of remote areas (esp. 700 and 800 MHz)</w:t>
            </w:r>
            <w:r>
              <w:rPr>
                <w:rFonts w:ascii="Times New Roman" w:hAnsi="Times New Roman" w:cs="Times New Roman"/>
                <w:noProof/>
                <w:sz w:val="18"/>
                <w:szCs w:val="18"/>
                <w:lang w:eastAsia="en-GB"/>
              </w:rPr>
              <w:br/>
              <w:t>· quickly and easily implementable</w:t>
            </w:r>
            <w:r>
              <w:rPr>
                <w:rFonts w:ascii="Times New Roman" w:hAnsi="Times New Roman" w:cs="Times New Roman"/>
                <w:noProof/>
                <w:sz w:val="18"/>
                <w:szCs w:val="18"/>
                <w:lang w:eastAsia="en-GB"/>
              </w:rPr>
              <w:br/>
              <w:t>· shared medium</w:t>
            </w:r>
            <w:r>
              <w:rPr>
                <w:rFonts w:ascii="Times New Roman" w:hAnsi="Times New Roman" w:cs="Times New Roman"/>
                <w:noProof/>
                <w:sz w:val="18"/>
                <w:szCs w:val="18"/>
                <w:lang w:eastAsia="en-GB"/>
              </w:rPr>
              <w:br/>
              <w:t>· limited frequencies</w:t>
            </w:r>
          </w:p>
        </w:tc>
        <w:tc>
          <w:tcPr>
            <w:tcW w:w="871"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commercial deployment of new standards with additional features (5G) and provision of more frequency spectrum blocks (490 - 700 MHz)</w:t>
            </w:r>
            <w:r>
              <w:rPr>
                <w:rFonts w:ascii="Times New Roman" w:hAnsi="Times New Roman" w:cs="Times New Roman"/>
                <w:noProof/>
                <w:sz w:val="18"/>
                <w:szCs w:val="18"/>
                <w:lang w:eastAsia="en-GB"/>
              </w:rPr>
              <w:br/>
              <w:t>· meets future needs of mobility and bandwidth accessing NGA-Services</w:t>
            </w:r>
          </w:p>
        </w:tc>
      </w:tr>
      <w:tr w:rsidR="004C7085">
        <w:trPr>
          <w:trHeight w:val="120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HSPA</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42,2 / 5,76 Mbps</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3 km</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30-70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yes</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0.005 GHz</w:t>
            </w:r>
          </w:p>
        </w:tc>
        <w:tc>
          <w:tcPr>
            <w:tcW w:w="91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26"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7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r>
      <w:tr w:rsidR="004C7085">
        <w:trPr>
          <w:trHeight w:val="120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Satellite</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20/6 Mbps</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High</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500-700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yes</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10 GHz</w:t>
            </w:r>
          </w:p>
        </w:tc>
        <w:tc>
          <w:tcPr>
            <w:tcW w:w="91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2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highly suitable for coverage of remote areas</w:t>
            </w:r>
            <w:r>
              <w:rPr>
                <w:rFonts w:ascii="Times New Roman" w:hAnsi="Times New Roman" w:cs="Times New Roman"/>
                <w:noProof/>
                <w:sz w:val="18"/>
                <w:szCs w:val="18"/>
                <w:lang w:eastAsia="en-GB"/>
              </w:rPr>
              <w:br/>
              <w:t>· quickly and easily implementable</w:t>
            </w:r>
            <w:r>
              <w:rPr>
                <w:rFonts w:ascii="Times New Roman" w:hAnsi="Times New Roman" w:cs="Times New Roman"/>
                <w:noProof/>
                <w:sz w:val="18"/>
                <w:szCs w:val="18"/>
                <w:lang w:eastAsia="en-GB"/>
              </w:rPr>
              <w:br/>
              <w:t>· run time latency</w:t>
            </w:r>
            <w:r>
              <w:rPr>
                <w:rFonts w:ascii="Times New Roman" w:hAnsi="Times New Roman" w:cs="Times New Roman"/>
                <w:noProof/>
                <w:sz w:val="18"/>
                <w:szCs w:val="18"/>
                <w:lang w:eastAsia="en-GB"/>
              </w:rPr>
              <w:br/>
              <w:t>· asymmetrically</w:t>
            </w:r>
          </w:p>
        </w:tc>
        <w:tc>
          <w:tcPr>
            <w:tcW w:w="871"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30 Mbps by 2020 based on next generation of high-throughput satellites</w:t>
            </w:r>
          </w:p>
        </w:tc>
      </w:tr>
      <w:tr w:rsidR="004C7085">
        <w:trPr>
          <w:trHeight w:val="120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Wi-Fi</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300/300 Mbps</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300 m</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100 -1000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yes</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0.005-0.160 GHz(7)</w:t>
            </w:r>
          </w:p>
        </w:tc>
        <w:tc>
          <w:tcPr>
            <w:tcW w:w="91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26" w:type="pct"/>
            <w:vMerge w:val="restar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inexpensive and proven</w:t>
            </w:r>
            <w:r>
              <w:rPr>
                <w:rFonts w:ascii="Times New Roman" w:hAnsi="Times New Roman" w:cs="Times New Roman"/>
                <w:noProof/>
                <w:sz w:val="18"/>
                <w:szCs w:val="18"/>
                <w:lang w:eastAsia="en-GB"/>
              </w:rPr>
              <w:br/>
              <w:t>· quickly and easily implementable</w:t>
            </w:r>
            <w:r>
              <w:rPr>
                <w:rFonts w:ascii="Times New Roman" w:hAnsi="Times New Roman" w:cs="Times New Roman"/>
                <w:noProof/>
                <w:sz w:val="18"/>
                <w:szCs w:val="18"/>
                <w:lang w:eastAsia="en-GB"/>
              </w:rPr>
              <w:br/>
              <w:t>· small efficiency range</w:t>
            </w:r>
            <w:r>
              <w:rPr>
                <w:rFonts w:ascii="Times New Roman" w:hAnsi="Times New Roman" w:cs="Times New Roman"/>
                <w:noProof/>
                <w:sz w:val="18"/>
                <w:szCs w:val="18"/>
                <w:lang w:eastAsia="en-GB"/>
              </w:rPr>
              <w:br/>
              <w:t>· shared medium</w:t>
            </w:r>
          </w:p>
        </w:tc>
        <w:tc>
          <w:tcPr>
            <w:tcW w:w="871"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xml:space="preserve">· increased use of hotspots at central places </w:t>
            </w:r>
          </w:p>
        </w:tc>
      </w:tr>
      <w:tr w:rsidR="004C7085">
        <w:trPr>
          <w:trHeight w:val="1200"/>
        </w:trPr>
        <w:tc>
          <w:tcPr>
            <w:tcW w:w="305"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44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WiMAX</w:t>
            </w:r>
          </w:p>
        </w:tc>
        <w:tc>
          <w:tcPr>
            <w:tcW w:w="327"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4/4 Mbps</w:t>
            </w:r>
          </w:p>
        </w:tc>
        <w:tc>
          <w:tcPr>
            <w:tcW w:w="356"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60 km</w:t>
            </w:r>
          </w:p>
        </w:tc>
        <w:tc>
          <w:tcPr>
            <w:tcW w:w="31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50 ms</w:t>
            </w:r>
          </w:p>
        </w:tc>
        <w:tc>
          <w:tcPr>
            <w:tcW w:w="292"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yes</w:t>
            </w:r>
          </w:p>
        </w:tc>
        <w:tc>
          <w:tcPr>
            <w:tcW w:w="360"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0.01 GHz</w:t>
            </w:r>
          </w:p>
        </w:tc>
        <w:tc>
          <w:tcPr>
            <w:tcW w:w="911"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26" w:type="pct"/>
            <w:vMerge/>
            <w:vAlign w:val="center"/>
            <w:hideMark/>
          </w:tcPr>
          <w:p w:rsidR="004C7085" w:rsidRDefault="004C7085">
            <w:pPr>
              <w:spacing w:after="120" w:line="240" w:lineRule="auto"/>
              <w:jc w:val="both"/>
              <w:rPr>
                <w:rFonts w:ascii="Times New Roman" w:hAnsi="Times New Roman" w:cs="Times New Roman"/>
                <w:noProof/>
                <w:sz w:val="18"/>
                <w:szCs w:val="18"/>
                <w:lang w:eastAsia="en-GB"/>
              </w:rPr>
            </w:pPr>
          </w:p>
        </w:tc>
        <w:tc>
          <w:tcPr>
            <w:tcW w:w="871" w:type="pct"/>
            <w:shd w:val="clear" w:color="auto" w:fill="auto"/>
            <w:vAlign w:val="center"/>
            <w:hideMark/>
          </w:tcPr>
          <w:p w:rsidR="004C7085" w:rsidRDefault="005163E3">
            <w:pPr>
              <w:spacing w:after="120" w:line="240" w:lineRule="auto"/>
              <w:jc w:val="both"/>
              <w:rPr>
                <w:rFonts w:ascii="Times New Roman" w:hAnsi="Times New Roman" w:cs="Times New Roman"/>
                <w:noProof/>
                <w:sz w:val="18"/>
                <w:szCs w:val="18"/>
                <w:lang w:eastAsia="en-GB"/>
              </w:rPr>
            </w:pPr>
            <w:r>
              <w:rPr>
                <w:rFonts w:ascii="Times New Roman" w:hAnsi="Times New Roman" w:cs="Times New Roman"/>
                <w:noProof/>
                <w:sz w:val="18"/>
                <w:szCs w:val="18"/>
                <w:lang w:eastAsia="en-GB"/>
              </w:rPr>
              <w:t>· gets continually replaced by Wi-Fi and LTE</w:t>
            </w:r>
          </w:p>
        </w:tc>
      </w:tr>
    </w:tbl>
    <w:p w:rsidR="004C7085" w:rsidRDefault="004C7085">
      <w:pPr>
        <w:pStyle w:val="Quelle"/>
        <w:spacing w:before="0" w:after="120"/>
        <w:rPr>
          <w:rFonts w:ascii="Times New Roman" w:hAnsi="Times New Roman"/>
          <w:i/>
          <w:noProof/>
          <w:sz w:val="20"/>
        </w:rPr>
        <w:sectPr w:rsidR="004C7085" w:rsidSect="005163E3">
          <w:headerReference w:type="even" r:id="rId54"/>
          <w:headerReference w:type="default" r:id="rId55"/>
          <w:footerReference w:type="even" r:id="rId56"/>
          <w:footerReference w:type="default" r:id="rId57"/>
          <w:headerReference w:type="first" r:id="rId58"/>
          <w:footerReference w:type="first" r:id="rId59"/>
          <w:pgSz w:w="11906" w:h="16838" w:code="9"/>
          <w:pgMar w:top="1440" w:right="1440" w:bottom="1440" w:left="1440" w:header="708" w:footer="708" w:gutter="0"/>
          <w:cols w:space="720"/>
          <w:docGrid w:linePitch="360"/>
        </w:sectPr>
      </w:pPr>
    </w:p>
    <w:p w:rsidR="004C7085" w:rsidRDefault="005163E3">
      <w:pPr>
        <w:jc w:val="center"/>
        <w:rPr>
          <w:rFonts w:ascii="Times New Roman" w:hAnsi="Times New Roman"/>
          <w:noProof/>
          <w:sz w:val="28"/>
        </w:rPr>
      </w:pPr>
      <w:bookmarkStart w:id="388" w:name="_Toc458467559"/>
      <w:r>
        <w:rPr>
          <w:rFonts w:ascii="Times New Roman" w:hAnsi="Times New Roman"/>
          <w:b/>
          <w:noProof/>
          <w:sz w:val="28"/>
          <w:u w:val="single"/>
        </w:rPr>
        <w:t>Glossary</w:t>
      </w:r>
      <w:bookmarkEnd w:id="388"/>
      <w:r>
        <w:rPr>
          <w:rFonts w:ascii="Times New Roman" w:hAnsi="Times New Roman"/>
          <w:noProof/>
          <w:sz w:val="28"/>
        </w:rPr>
        <w:t xml:space="preserve">  </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 xml:space="preserve">FTTB – fibre to the building. Used also for buildings inhabited by more than one tenant. </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ab/>
        <w:t xml:space="preserve">FTTC – fibre to the cabinet. Fibre to a street cabinet close to the end-user. </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ab/>
        <w:t xml:space="preserve">FTTH – fibre to the home. Typically used for residential homes. </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ab/>
        <w:t>FTTP – fibre to the premise = FTTB + FTTH.</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Capacity – capacity relates to the bandwidth of the connection and does not take into account the distance and the time necessary to establish connection.</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Connections Density – is necessary when many devices try to connect with each other.</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Download Speed – download speed is how fast one can pull data from others to you. It is measured in megabits per second (Mbps). The majority of online activity, like loading web pages or streaming videos, consists of downloads.</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Peak data rate – peak data rate is the fastest data transfer rate for a device, typically available in short bursts during transfer activity, and not sustainable for long periods of time</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Reliability – reliability is an attribute of any computer-related component (software, or hardware, or a network, for example) that consistently performs according to its specifications.</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Security – secure connection is difficult to intercept and decode without the permission of the parties communicating, therefore the content is safe.</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Ubiquity – ubiquity means being connected everywhere, anytime, on any device.</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High Upload Speed – upload speed is how fast one sends data from you to others. It is measured in megabits per second (Mbps). Uploading is necessary for sending files via email, or in using video-chat to talk to someone else online (since you have to send your video feed to them).</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Low Jitter – jitter is the deviation from true periodicity of a presumed periodic signal, often in relation to a reference clock source.</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Low Latency – latency is the delay between the sender and the receiver decoding it, this is mainly a function of the signals travel time, and processing time at any nodes the information traverses.</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Low Packet Loss – packet loss occurs when one or more packets of data travelling across a computer network fail to reach their destination.</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NGA – Next Generation Access with a minimum download speed of 30 Mbps.</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Symmetry – when download bandwidth is the same as upload bandwidth.</w:t>
      </w:r>
    </w:p>
    <w:p w:rsidR="004C7085" w:rsidRDefault="005163E3">
      <w:pPr>
        <w:pStyle w:val="ListParagraph"/>
        <w:numPr>
          <w:ilvl w:val="0"/>
          <w:numId w:val="32"/>
        </w:numPr>
        <w:spacing w:after="120" w:line="240" w:lineRule="auto"/>
        <w:ind w:left="714" w:hanging="357"/>
        <w:rPr>
          <w:rFonts w:ascii="Times New Roman" w:hAnsi="Times New Roman"/>
          <w:noProof/>
          <w:sz w:val="24"/>
        </w:rPr>
      </w:pPr>
      <w:r>
        <w:rPr>
          <w:rFonts w:ascii="Times New Roman" w:hAnsi="Times New Roman"/>
          <w:noProof/>
          <w:sz w:val="24"/>
        </w:rPr>
        <w:t>VHC - Very high-capacity networks are networks with best-in-class performance in terms of speed (i.e. significantly above 100.</w:t>
      </w:r>
    </w:p>
    <w:p w:rsidR="004C7085" w:rsidRDefault="004C7085">
      <w:pPr>
        <w:spacing w:after="120" w:line="240" w:lineRule="auto"/>
        <w:ind w:left="357"/>
        <w:rPr>
          <w:rFonts w:ascii="Times New Roman" w:hAnsi="Times New Roman"/>
          <w:noProof/>
          <w:sz w:val="24"/>
        </w:rPr>
      </w:pPr>
    </w:p>
    <w:sectPr w:rsidR="004C7085" w:rsidSect="005163E3">
      <w:headerReference w:type="even" r:id="rId60"/>
      <w:headerReference w:type="default" r:id="rId61"/>
      <w:footerReference w:type="even" r:id="rId62"/>
      <w:footerReference w:type="default" r:id="rId63"/>
      <w:headerReference w:type="first" r:id="rId64"/>
      <w:footerReference w:type="first" r:id="rId6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3E3" w:rsidRDefault="005163E3">
      <w:pPr>
        <w:spacing w:after="0" w:line="240" w:lineRule="auto"/>
      </w:pPr>
      <w:r>
        <w:separator/>
      </w:r>
    </w:p>
  </w:endnote>
  <w:endnote w:type="continuationSeparator" w:id="0">
    <w:p w:rsidR="005163E3" w:rsidRDefault="005163E3">
      <w:pPr>
        <w:spacing w:after="0" w:line="240" w:lineRule="auto"/>
      </w:pPr>
      <w:r>
        <w:continuationSeparator/>
      </w:r>
    </w:p>
  </w:endnote>
  <w:endnote w:type="continuationNotice" w:id="1">
    <w:p w:rsidR="005163E3" w:rsidRDefault="00516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ZapfChance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A5" w:rsidRPr="00350CA5" w:rsidRDefault="00350CA5" w:rsidP="00350C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A5" w:rsidRPr="00350CA5" w:rsidRDefault="00350CA5" w:rsidP="00350CA5">
    <w:pPr>
      <w:pStyle w:val="FooterCoverPage"/>
      <w:rPr>
        <w:rFonts w:ascii="Arial" w:hAnsi="Arial" w:cs="Arial"/>
        <w:b/>
        <w:sz w:val="48"/>
      </w:rPr>
    </w:pPr>
    <w:r w:rsidRPr="00350CA5">
      <w:rPr>
        <w:rFonts w:ascii="Arial" w:hAnsi="Arial" w:cs="Arial"/>
        <w:b/>
        <w:sz w:val="48"/>
      </w:rPr>
      <w:t>EN</w:t>
    </w:r>
    <w:r w:rsidRPr="00350CA5">
      <w:rPr>
        <w:rFonts w:ascii="Arial" w:hAnsi="Arial" w:cs="Arial"/>
        <w:b/>
        <w:sz w:val="48"/>
      </w:rPr>
      <w:tab/>
    </w:r>
    <w:r w:rsidRPr="00350CA5">
      <w:rPr>
        <w:rFonts w:ascii="Arial" w:hAnsi="Arial" w:cs="Arial"/>
        <w:b/>
        <w:sz w:val="48"/>
      </w:rPr>
      <w:tab/>
    </w:r>
    <w:fldSimple w:instr=" DOCVARIABLE &quot;LW_Confidence&quot; \* MERGEFORMAT ">
      <w:r>
        <w:t xml:space="preserve"> </w:t>
      </w:r>
    </w:fldSimple>
    <w:r w:rsidRPr="00350CA5">
      <w:tab/>
    </w:r>
    <w:r w:rsidRPr="00350CA5">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A5" w:rsidRPr="00350CA5" w:rsidRDefault="00350CA5" w:rsidP="00350CA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112321"/>
      <w:docPartObj>
        <w:docPartGallery w:val="Page Numbers (Bottom of Page)"/>
        <w:docPartUnique/>
      </w:docPartObj>
    </w:sdtPr>
    <w:sdtEndPr>
      <w:rPr>
        <w:noProof/>
      </w:rPr>
    </w:sdtEndPr>
    <w:sdtContent>
      <w:p w:rsidR="005163E3" w:rsidRDefault="005163E3">
        <w:pPr>
          <w:pStyle w:val="Footer"/>
          <w:jc w:val="right"/>
        </w:pPr>
        <w:r>
          <w:fldChar w:fldCharType="begin"/>
        </w:r>
        <w:r>
          <w:instrText xml:space="preserve"> PAGE   \* MERGEFORMAT </w:instrText>
        </w:r>
        <w:r>
          <w:fldChar w:fldCharType="separate"/>
        </w:r>
        <w:r w:rsidR="00350CA5">
          <w:rPr>
            <w:noProof/>
          </w:rPr>
          <w:t>6</w:t>
        </w:r>
        <w:r>
          <w:rPr>
            <w:noProof/>
          </w:rPr>
          <w:fldChar w:fldCharType="end"/>
        </w:r>
      </w:p>
    </w:sdtContent>
  </w:sdt>
  <w:p w:rsidR="005163E3" w:rsidRDefault="005163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249393"/>
      <w:docPartObj>
        <w:docPartGallery w:val="Page Numbers (Bottom of Page)"/>
        <w:docPartUnique/>
      </w:docPartObj>
    </w:sdtPr>
    <w:sdtEndPr>
      <w:rPr>
        <w:noProof/>
      </w:rPr>
    </w:sdtEndPr>
    <w:sdtContent>
      <w:p w:rsidR="005163E3" w:rsidRDefault="005163E3">
        <w:pPr>
          <w:pStyle w:val="Footer"/>
          <w:jc w:val="right"/>
        </w:pPr>
        <w:r>
          <w:fldChar w:fldCharType="begin"/>
        </w:r>
        <w:r>
          <w:instrText xml:space="preserve"> PAGE   \* MERGEFORMAT </w:instrText>
        </w:r>
        <w:r>
          <w:fldChar w:fldCharType="separate"/>
        </w:r>
        <w:r w:rsidR="00350CA5">
          <w:rPr>
            <w:noProof/>
          </w:rPr>
          <w:t>55</w:t>
        </w:r>
        <w:r>
          <w:rPr>
            <w:noProof/>
          </w:rPr>
          <w:fldChar w:fldCharType="end"/>
        </w:r>
      </w:p>
    </w:sdtContent>
  </w:sdt>
  <w:p w:rsidR="005163E3" w:rsidRDefault="005163E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3E3" w:rsidRDefault="005163E3">
      <w:pPr>
        <w:spacing w:after="0" w:line="240" w:lineRule="auto"/>
      </w:pPr>
      <w:r>
        <w:separator/>
      </w:r>
    </w:p>
  </w:footnote>
  <w:footnote w:type="continuationSeparator" w:id="0">
    <w:p w:rsidR="005163E3" w:rsidRDefault="005163E3">
      <w:pPr>
        <w:spacing w:after="0" w:line="240" w:lineRule="auto"/>
      </w:pPr>
      <w:r>
        <w:continuationSeparator/>
      </w:r>
    </w:p>
  </w:footnote>
  <w:footnote w:type="continuationNotice" w:id="1">
    <w:p w:rsidR="005163E3" w:rsidRDefault="005163E3">
      <w:pPr>
        <w:spacing w:after="0" w:line="240" w:lineRule="auto"/>
      </w:pPr>
    </w:p>
  </w:footnote>
  <w:footnote w:id="2">
    <w:p w:rsidR="005163E3" w:rsidRDefault="005163E3">
      <w:pPr>
        <w:pStyle w:val="FootnoteText"/>
        <w:ind w:left="142" w:hanging="142"/>
        <w:rPr>
          <w:sz w:val="18"/>
          <w:szCs w:val="18"/>
        </w:rPr>
      </w:pPr>
      <w:r>
        <w:rPr>
          <w:sz w:val="18"/>
          <w:szCs w:val="18"/>
        </w:rPr>
        <w:footnoteRef/>
      </w:r>
      <w:r>
        <w:rPr>
          <w:sz w:val="18"/>
          <w:szCs w:val="18"/>
        </w:rPr>
        <w:t xml:space="preserve"> European Parliament Resolution of 19 January 2016 on Towards a Digital Single Market Act (</w:t>
      </w:r>
      <w:hyperlink r:id="rId1" w:history="1">
        <w:r>
          <w:rPr>
            <w:sz w:val="18"/>
            <w:szCs w:val="18"/>
          </w:rPr>
          <w:t>2015/2147(INI)</w:t>
        </w:r>
      </w:hyperlink>
      <w:r>
        <w:rPr>
          <w:sz w:val="18"/>
          <w:szCs w:val="18"/>
        </w:rPr>
        <w:t xml:space="preserve">) </w:t>
      </w:r>
    </w:p>
  </w:footnote>
  <w:footnote w:id="3">
    <w:p w:rsidR="005163E3" w:rsidRDefault="005163E3">
      <w:pPr>
        <w:pStyle w:val="FootnoteText"/>
        <w:ind w:left="142" w:hanging="142"/>
        <w:rPr>
          <w:sz w:val="18"/>
          <w:szCs w:val="18"/>
        </w:rPr>
      </w:pPr>
      <w:r>
        <w:rPr>
          <w:sz w:val="18"/>
          <w:szCs w:val="18"/>
        </w:rPr>
        <w:footnoteRef/>
      </w:r>
      <w:r>
        <w:rPr>
          <w:sz w:val="18"/>
          <w:szCs w:val="18"/>
        </w:rPr>
        <w:t xml:space="preserve"> Conclusions of the European Council meeting of 28 June 2016 (EUCO 26/16).</w:t>
      </w:r>
    </w:p>
  </w:footnote>
  <w:footnote w:id="4">
    <w:p w:rsidR="005163E3" w:rsidRDefault="005163E3">
      <w:pPr>
        <w:pStyle w:val="FootnoteText"/>
        <w:ind w:left="142" w:hanging="142"/>
        <w:rPr>
          <w:sz w:val="18"/>
          <w:szCs w:val="18"/>
        </w:rPr>
      </w:pPr>
      <w:r>
        <w:rPr>
          <w:sz w:val="18"/>
          <w:szCs w:val="18"/>
        </w:rPr>
        <w:footnoteRef/>
      </w:r>
      <w:r>
        <w:rPr>
          <w:sz w:val="18"/>
          <w:szCs w:val="18"/>
        </w:rPr>
        <w:t xml:space="preserve"> </w:t>
      </w:r>
      <w:r>
        <w:rPr>
          <w:rStyle w:val="FootnoteTextChar2"/>
          <w:sz w:val="18"/>
          <w:szCs w:val="18"/>
        </w:rPr>
        <w:t>"Very high-capacity network" means an electronic communications network which either consists wholly of optical fibre elements at least up to the distribution point at the serving location or which is capable of delivering under usual peak-time conditions similar network performance in terms of available down- and uplink bandwidth, resilience, error-related parameters, and latency and its variation. Network performance can be considered similar regardless of whether the end-user experience varies due to the inherently different characteristics of the medium by which the network ultimately connects with the network termination point.</w:t>
      </w:r>
    </w:p>
  </w:footnote>
  <w:footnote w:id="5">
    <w:p w:rsidR="005163E3" w:rsidRDefault="005163E3">
      <w:pPr>
        <w:pStyle w:val="FootnoteText"/>
        <w:ind w:left="142" w:hanging="142"/>
        <w:rPr>
          <w:sz w:val="18"/>
          <w:szCs w:val="18"/>
        </w:rPr>
      </w:pPr>
      <w:r>
        <w:rPr>
          <w:sz w:val="18"/>
          <w:szCs w:val="18"/>
        </w:rPr>
        <w:footnoteRef/>
      </w:r>
      <w:r>
        <w:rPr>
          <w:sz w:val="18"/>
          <w:szCs w:val="18"/>
        </w:rPr>
        <w:t xml:space="preserve"> See Study on "Regulatory, in particular access, regimes for network investment models in Europe", by WIK Consult, Deloitte and IDATE; SMART 2015/0002.</w:t>
      </w:r>
    </w:p>
  </w:footnote>
  <w:footnote w:id="6">
    <w:p w:rsidR="005163E3" w:rsidRDefault="005163E3">
      <w:pPr>
        <w:pStyle w:val="FootnoteText"/>
        <w:ind w:left="0" w:firstLine="0"/>
        <w:rPr>
          <w:sz w:val="18"/>
          <w:szCs w:val="18"/>
        </w:rPr>
      </w:pPr>
      <w:r>
        <w:rPr>
          <w:rStyle w:val="FootnoteReference"/>
          <w:sz w:val="18"/>
          <w:szCs w:val="18"/>
        </w:rPr>
        <w:footnoteRef/>
      </w:r>
      <w:r>
        <w:rPr>
          <w:sz w:val="18"/>
          <w:szCs w:val="18"/>
        </w:rPr>
        <w:t xml:space="preserve"> Communication from the Commission on a European Cloud Initiative-Building a competitive data and knowledge economy in Europe, COM(2016) 178 final.</w:t>
      </w:r>
    </w:p>
  </w:footnote>
  <w:footnote w:id="7">
    <w:p w:rsidR="005163E3" w:rsidRDefault="005163E3">
      <w:pPr>
        <w:pStyle w:val="FootnoteText"/>
        <w:ind w:left="0" w:firstLine="0"/>
        <w:rPr>
          <w:sz w:val="18"/>
          <w:szCs w:val="18"/>
        </w:rPr>
      </w:pPr>
      <w:r>
        <w:rPr>
          <w:rStyle w:val="FootnoteReference"/>
          <w:sz w:val="18"/>
          <w:szCs w:val="18"/>
        </w:rPr>
        <w:footnoteRef/>
      </w:r>
      <w:r>
        <w:rPr>
          <w:sz w:val="18"/>
          <w:szCs w:val="18"/>
        </w:rPr>
        <w:t xml:space="preserve"> Communication from the Commission on Digitising European Industry. Reaping the full benefits of a Digital Single Market COM(2016) 180 final.</w:t>
      </w:r>
    </w:p>
  </w:footnote>
  <w:footnote w:id="8">
    <w:p w:rsidR="005163E3" w:rsidRDefault="005163E3">
      <w:pPr>
        <w:pStyle w:val="FootnoteText"/>
        <w:rPr>
          <w:sz w:val="18"/>
          <w:szCs w:val="18"/>
        </w:rPr>
      </w:pPr>
      <w:r>
        <w:rPr>
          <w:rStyle w:val="FootnoteReference"/>
          <w:sz w:val="18"/>
          <w:szCs w:val="18"/>
        </w:rPr>
        <w:footnoteRef/>
      </w:r>
      <w:r>
        <w:rPr>
          <w:sz w:val="18"/>
          <w:szCs w:val="18"/>
        </w:rPr>
        <w:t xml:space="preserve"> Commission Staff Working Document Europe's Digital Progress Report 2016, SWD(2016) 187 final.</w:t>
      </w:r>
    </w:p>
  </w:footnote>
  <w:footnote w:id="9">
    <w:p w:rsidR="005163E3" w:rsidRDefault="005163E3">
      <w:pPr>
        <w:pStyle w:val="FootnoteText"/>
        <w:ind w:left="142" w:hanging="142"/>
        <w:rPr>
          <w:sz w:val="18"/>
          <w:szCs w:val="18"/>
        </w:rPr>
      </w:pPr>
      <w:r>
        <w:rPr>
          <w:rStyle w:val="FootnoteReference"/>
          <w:sz w:val="18"/>
          <w:szCs w:val="18"/>
        </w:rPr>
        <w:footnoteRef/>
      </w:r>
      <w:r>
        <w:rPr>
          <w:sz w:val="18"/>
          <w:szCs w:val="18"/>
        </w:rPr>
        <w:t xml:space="preserve"> Full synopsis of the results available at </w:t>
      </w:r>
      <w:hyperlink r:id="rId2" w:history="1">
        <w:r>
          <w:rPr>
            <w:sz w:val="18"/>
            <w:szCs w:val="18"/>
          </w:rPr>
          <w:t>https://ec.europa.eu/digital-single-market/en/news/full-synopsis-report-public-consultation-needs-internet-speed-and-quality-beyond-2020</w:t>
        </w:r>
      </w:hyperlink>
    </w:p>
    <w:p w:rsidR="005163E3" w:rsidRDefault="005163E3">
      <w:pPr>
        <w:pStyle w:val="FootnoteText"/>
        <w:ind w:left="142" w:hanging="142"/>
        <w:rPr>
          <w:sz w:val="18"/>
          <w:szCs w:val="18"/>
        </w:rPr>
      </w:pPr>
    </w:p>
  </w:footnote>
  <w:footnote w:id="10">
    <w:p w:rsidR="005163E3" w:rsidRDefault="005163E3">
      <w:pPr>
        <w:pStyle w:val="FootnoteText"/>
        <w:ind w:left="0" w:firstLine="0"/>
        <w:rPr>
          <w:sz w:val="18"/>
          <w:szCs w:val="18"/>
        </w:rPr>
      </w:pPr>
      <w:r>
        <w:rPr>
          <w:rStyle w:val="FootnoteReference"/>
          <w:sz w:val="18"/>
          <w:szCs w:val="18"/>
        </w:rPr>
        <w:footnoteRef/>
      </w:r>
      <w:r>
        <w:rPr>
          <w:sz w:val="18"/>
          <w:szCs w:val="18"/>
        </w:rPr>
        <w:t xml:space="preserve"> 27,822 EU citizens from different social and demographic categories interviewed face-to-face at home in their native language</w:t>
      </w:r>
    </w:p>
  </w:footnote>
  <w:footnote w:id="11">
    <w:p w:rsidR="005163E3" w:rsidRDefault="005163E3">
      <w:pPr>
        <w:pStyle w:val="FootnoteText"/>
      </w:pPr>
      <w:r>
        <w:rPr>
          <w:rStyle w:val="FootnoteReference"/>
        </w:rPr>
        <w:footnoteRef/>
      </w:r>
      <w:r>
        <w:t xml:space="preserve"> </w:t>
      </w:r>
      <w:r>
        <w:rPr>
          <w:rStyle w:val="FootnoteTextChar"/>
          <w:sz w:val="16"/>
          <w:szCs w:val="16"/>
        </w:rPr>
        <w:t>At a download speed of at least 2Mbps at end-user level.</w:t>
      </w:r>
    </w:p>
  </w:footnote>
  <w:footnote w:id="12">
    <w:p w:rsidR="005163E3" w:rsidRDefault="005163E3">
      <w:pPr>
        <w:pStyle w:val="FootnoteText"/>
        <w:tabs>
          <w:tab w:val="left" w:pos="720"/>
        </w:tabs>
        <w:ind w:left="142" w:hanging="142"/>
        <w:rPr>
          <w:sz w:val="18"/>
          <w:szCs w:val="18"/>
          <w:lang w:val="en-US"/>
        </w:rPr>
      </w:pPr>
      <w:r>
        <w:rPr>
          <w:rStyle w:val="FootnoteReference"/>
          <w:sz w:val="18"/>
          <w:szCs w:val="18"/>
        </w:rPr>
        <w:footnoteRef/>
      </w:r>
      <w:r>
        <w:rPr>
          <w:sz w:val="18"/>
          <w:szCs w:val="18"/>
        </w:rPr>
        <w:t xml:space="preserve"> The Digital Economy and Society Index (DESI) is a composite index developed by the European Commission (DG CNECT) to assess the development of EU countries towards a digital economy and society. It aggregates a set of relevant indicators structured around 5 dimensions: Connectivity, Human Capital, Use of Internet, Integration of Digital Technology and Digital Public Services. For more information about the DESI please refer to </w:t>
      </w:r>
      <w:hyperlink r:id="rId3" w:history="1">
        <w:r>
          <w:rPr>
            <w:sz w:val="18"/>
            <w:szCs w:val="18"/>
          </w:rPr>
          <w:t>http://ec.europa.eu/digital-agenda/en/digital-agenda-scoreboard</w:t>
        </w:r>
      </w:hyperlink>
      <w:r>
        <w:rPr>
          <w:sz w:val="18"/>
          <w:szCs w:val="18"/>
        </w:rPr>
        <w:t xml:space="preserve"> </w:t>
      </w:r>
    </w:p>
  </w:footnote>
  <w:footnote w:id="13">
    <w:p w:rsidR="005163E3" w:rsidRDefault="005163E3">
      <w:pPr>
        <w:pStyle w:val="FootnoteText"/>
        <w:ind w:left="142" w:hanging="142"/>
        <w:rPr>
          <w:sz w:val="18"/>
          <w:szCs w:val="18"/>
        </w:rPr>
      </w:pPr>
      <w:r>
        <w:rPr>
          <w:rStyle w:val="FootnoteReference"/>
          <w:sz w:val="18"/>
          <w:szCs w:val="18"/>
        </w:rPr>
        <w:footnoteRef/>
      </w:r>
      <w:r>
        <w:rPr>
          <w:sz w:val="18"/>
          <w:szCs w:val="18"/>
        </w:rPr>
        <w:t xml:space="preserve"> NGA broadband coverage/availability (as a % of households) with Next Generation Access including the following technologies: FTTH, FTTB, Cable DOCSIS 3.0, VDSL and other superfast broadband allowing at least 30 Mbps download).</w:t>
      </w:r>
    </w:p>
  </w:footnote>
  <w:footnote w:id="14">
    <w:p w:rsidR="005163E3" w:rsidRDefault="005163E3">
      <w:pPr>
        <w:pStyle w:val="FootnoteText"/>
        <w:ind w:left="142" w:hanging="142"/>
        <w:rPr>
          <w:sz w:val="18"/>
          <w:szCs w:val="18"/>
        </w:rPr>
      </w:pPr>
      <w:r>
        <w:rPr>
          <w:rStyle w:val="FootnoteReference"/>
          <w:sz w:val="18"/>
          <w:szCs w:val="18"/>
        </w:rPr>
        <w:footnoteRef/>
      </w:r>
      <w:r>
        <w:rPr>
          <w:sz w:val="18"/>
          <w:szCs w:val="18"/>
        </w:rPr>
        <w:t xml:space="preserve"> Several studies highlight the role played by cable networks in stimulating NGA deployments including SMART 2015/0002, WIK-Consult (2015) for Ofcom ‘Competition and Investment: analysing the drivers of superfast broadband’, and the EP (2013) study ‘Entertainment X.0 to boost broadband deployment’.</w:t>
      </w:r>
    </w:p>
  </w:footnote>
  <w:footnote w:id="15">
    <w:p w:rsidR="005163E3" w:rsidRDefault="005163E3">
      <w:pPr>
        <w:pStyle w:val="FootnoteText"/>
        <w:ind w:left="142" w:hanging="142"/>
        <w:rPr>
          <w:sz w:val="18"/>
          <w:szCs w:val="18"/>
        </w:rPr>
      </w:pPr>
      <w:r>
        <w:rPr>
          <w:rStyle w:val="FootnoteReference"/>
          <w:sz w:val="18"/>
          <w:szCs w:val="18"/>
        </w:rPr>
        <w:footnoteRef/>
      </w:r>
      <w:r>
        <w:rPr>
          <w:sz w:val="18"/>
          <w:szCs w:val="18"/>
        </w:rPr>
        <w:t xml:space="preserve"> For instance according to the Digital Economy and Society Index, updated in July 2015, 22 % of European homes subscribed to broadband access of at least 30 Mbps but this represented only 1% of households in Hungary and 60% in Belgium. Similarly, subscriptions to broadband access of at least 100 Mbps reached on average 11% in the EU, but less than 1% in Croatia, Cyprus, Greece, and Italy (where networks capable of such speeds are largely absent) while it exceeded 40% in Latvia, Romania and Sweden.</w:t>
      </w:r>
    </w:p>
  </w:footnote>
  <w:footnote w:id="16">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Study by WIK-IDATE-Deloitte;"</w:t>
      </w:r>
      <w:r>
        <w:rPr>
          <w:i/>
          <w:sz w:val="18"/>
          <w:szCs w:val="18"/>
        </w:rPr>
        <w:t>Regulatory, in particular Access regimes for network investment and business models in Europe</w:t>
      </w:r>
      <w:r>
        <w:rPr>
          <w:sz w:val="18"/>
          <w:szCs w:val="18"/>
        </w:rPr>
        <w:t>"; SMART 2015/0002.</w:t>
      </w:r>
    </w:p>
  </w:footnote>
  <w:footnote w:id="17">
    <w:p w:rsidR="005163E3" w:rsidRDefault="005163E3">
      <w:pPr>
        <w:pStyle w:val="FootnoteText"/>
        <w:ind w:left="142" w:hanging="142"/>
        <w:rPr>
          <w:sz w:val="18"/>
          <w:szCs w:val="18"/>
        </w:rPr>
      </w:pPr>
      <w:r>
        <w:rPr>
          <w:rStyle w:val="FootnoteReference"/>
          <w:sz w:val="18"/>
          <w:szCs w:val="18"/>
        </w:rPr>
        <w:footnoteRef/>
      </w:r>
      <w:r>
        <w:rPr>
          <w:sz w:val="18"/>
          <w:szCs w:val="18"/>
        </w:rPr>
        <w:t xml:space="preserve"> In July 2010, only 0.5% of lines in the EU had average speeds at or above 100 Mbps. By mid-2015, an estimated 11% of fixed broadband subscriptions in the EU were able to provide at least 100 Mbps.</w:t>
      </w:r>
    </w:p>
  </w:footnote>
  <w:footnote w:id="18">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See Study </w:t>
      </w:r>
      <w:r>
        <w:rPr>
          <w:i/>
        </w:rPr>
        <w:t xml:space="preserve">WIK-IDATE-Deloitte: "Regulatory, in particular access regime" ; </w:t>
      </w:r>
      <w:r>
        <w:rPr>
          <w:sz w:val="18"/>
          <w:szCs w:val="18"/>
        </w:rPr>
        <w:t>SMART 2015/0002</w:t>
      </w:r>
    </w:p>
    <w:p w:rsidR="005163E3" w:rsidRDefault="005163E3">
      <w:pPr>
        <w:pStyle w:val="FootnoteText"/>
        <w:jc w:val="left"/>
        <w:rPr>
          <w:sz w:val="18"/>
          <w:szCs w:val="18"/>
        </w:rPr>
      </w:pPr>
    </w:p>
  </w:footnote>
  <w:footnote w:id="19">
    <w:p w:rsidR="005163E3" w:rsidRDefault="005163E3">
      <w:pPr>
        <w:pStyle w:val="FootnoteText"/>
        <w:jc w:val="left"/>
        <w:rPr>
          <w:sz w:val="18"/>
          <w:szCs w:val="18"/>
        </w:rPr>
      </w:pPr>
      <w:r>
        <w:rPr>
          <w:rStyle w:val="FootnoteReference"/>
          <w:sz w:val="18"/>
          <w:szCs w:val="18"/>
        </w:rPr>
        <w:footnoteRef/>
      </w:r>
      <w:r>
        <w:rPr>
          <w:sz w:val="18"/>
          <w:szCs w:val="18"/>
        </w:rPr>
        <w:t xml:space="preserve"> http://www.ftthcouncil.eu/documents/Webinars/2015/Webinar_14April2015.pdf</w:t>
      </w:r>
    </w:p>
  </w:footnote>
  <w:footnote w:id="20">
    <w:p w:rsidR="005163E3" w:rsidRDefault="005163E3">
      <w:pPr>
        <w:pStyle w:val="FootnoteText"/>
        <w:rPr>
          <w:sz w:val="18"/>
          <w:szCs w:val="18"/>
        </w:rPr>
      </w:pPr>
      <w:r>
        <w:rPr>
          <w:rStyle w:val="FootnoteReference"/>
          <w:sz w:val="18"/>
          <w:szCs w:val="18"/>
        </w:rPr>
        <w:footnoteRef/>
      </w:r>
      <w:r>
        <w:rPr>
          <w:sz w:val="18"/>
          <w:szCs w:val="18"/>
        </w:rPr>
        <w:t xml:space="preserve"> Commission Staff Working Document Europe's Digital Progress Report 2016, SWD(2016) 187 final.</w:t>
      </w:r>
    </w:p>
  </w:footnote>
  <w:footnote w:id="21">
    <w:p w:rsidR="005163E3" w:rsidRDefault="005163E3">
      <w:pPr>
        <w:pStyle w:val="FootnoteText"/>
        <w:rPr>
          <w:sz w:val="18"/>
          <w:szCs w:val="18"/>
        </w:rPr>
      </w:pPr>
      <w:r>
        <w:rPr>
          <w:rStyle w:val="FootnoteReference"/>
        </w:rPr>
        <w:footnoteRef/>
      </w:r>
      <w:r>
        <w:t xml:space="preserve">  </w:t>
      </w:r>
      <w:r>
        <w:rPr>
          <w:sz w:val="18"/>
          <w:szCs w:val="18"/>
        </w:rPr>
        <w:t>ISBN: 978-92-823-8882-2</w:t>
      </w:r>
    </w:p>
  </w:footnote>
  <w:footnote w:id="22">
    <w:p w:rsidR="005163E3" w:rsidRDefault="005163E3">
      <w:pPr>
        <w:pStyle w:val="FootnoteText"/>
        <w:ind w:left="142" w:hanging="142"/>
        <w:rPr>
          <w:sz w:val="18"/>
          <w:szCs w:val="18"/>
        </w:rPr>
      </w:pPr>
      <w:r>
        <w:rPr>
          <w:rStyle w:val="FootnoteReference"/>
          <w:sz w:val="18"/>
          <w:szCs w:val="18"/>
        </w:rPr>
        <w:footnoteRef/>
      </w:r>
      <w:r>
        <w:rPr>
          <w:sz w:val="18"/>
          <w:szCs w:val="18"/>
        </w:rPr>
        <w:t xml:space="preserve"> Study on Impact of traffic off-loading and related technological trends on the demand for wireless broadband spectrum (SMART 2012/0015).</w:t>
      </w:r>
    </w:p>
  </w:footnote>
  <w:footnote w:id="23">
    <w:p w:rsidR="005163E3" w:rsidRDefault="005163E3">
      <w:pPr>
        <w:pStyle w:val="FootnoteText"/>
        <w:ind w:left="142" w:hanging="142"/>
        <w:rPr>
          <w:sz w:val="18"/>
          <w:szCs w:val="18"/>
        </w:rPr>
      </w:pPr>
      <w:r>
        <w:rPr>
          <w:rStyle w:val="FootnoteReference"/>
          <w:sz w:val="18"/>
          <w:szCs w:val="18"/>
        </w:rPr>
        <w:footnoteRef/>
      </w:r>
      <w:r>
        <w:rPr>
          <w:sz w:val="18"/>
          <w:szCs w:val="18"/>
        </w:rPr>
        <w:t xml:space="preserve"> Source: CISCO VNI index, see: http://www.cisco.com/c/en/us/solutions/service-provider/visual-networking-index-vni/index.html</w:t>
      </w:r>
    </w:p>
  </w:footnote>
  <w:footnote w:id="24">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Cisco, The Zettabyte Era: Trends and Analysis, June 2016.</w:t>
      </w:r>
    </w:p>
  </w:footnote>
  <w:footnote w:id="25">
    <w:p w:rsidR="005163E3" w:rsidRDefault="005163E3">
      <w:pPr>
        <w:pStyle w:val="FootnoteText"/>
        <w:ind w:left="142" w:hanging="142"/>
        <w:jc w:val="left"/>
        <w:rPr>
          <w:sz w:val="18"/>
          <w:szCs w:val="18"/>
        </w:rPr>
      </w:pPr>
      <w:r>
        <w:rPr>
          <w:sz w:val="18"/>
          <w:szCs w:val="18"/>
          <w:vertAlign w:val="superscript"/>
        </w:rPr>
        <w:footnoteRef/>
      </w:r>
      <w:r>
        <w:rPr>
          <w:sz w:val="18"/>
          <w:szCs w:val="18"/>
          <w:vertAlign w:val="superscript"/>
        </w:rPr>
        <w:t xml:space="preserve"> </w:t>
      </w:r>
      <w:r>
        <w:rPr>
          <w:sz w:val="18"/>
          <w:szCs w:val="18"/>
        </w:rPr>
        <w:t>Deloitte Technology, Media and Telecommunications Predictions 2016.</w:t>
      </w:r>
    </w:p>
  </w:footnote>
  <w:footnote w:id="26">
    <w:p w:rsidR="005163E3" w:rsidRDefault="005163E3">
      <w:pPr>
        <w:pStyle w:val="FootnoteText"/>
        <w:ind w:left="142" w:hanging="142"/>
        <w:rPr>
          <w:sz w:val="18"/>
          <w:szCs w:val="18"/>
        </w:rPr>
      </w:pPr>
      <w:r>
        <w:rPr>
          <w:rStyle w:val="FootnoteReference"/>
          <w:sz w:val="18"/>
          <w:szCs w:val="18"/>
        </w:rPr>
        <w:footnoteRef/>
      </w:r>
      <w:r>
        <w:rPr>
          <w:rStyle w:val="FootnoteReference"/>
          <w:sz w:val="18"/>
          <w:szCs w:val="18"/>
        </w:rPr>
        <w:t xml:space="preserve"> </w:t>
      </w:r>
      <w:r>
        <w:rPr>
          <w:sz w:val="18"/>
          <w:szCs w:val="18"/>
        </w:rPr>
        <w:t>If FTTC/VDSL is excluded (as this technology is less likely than the other technologies considered to be offered at speeds of 100Mbps and above), then only between 42% and 45% of all households in Europe would subscribe to 100 Mbps-capable networks in 2020.</w:t>
      </w:r>
    </w:p>
  </w:footnote>
  <w:footnote w:id="27">
    <w:p w:rsidR="005163E3" w:rsidRDefault="005163E3">
      <w:pPr>
        <w:pStyle w:val="FootnoteText"/>
        <w:rPr>
          <w:sz w:val="18"/>
          <w:szCs w:val="18"/>
        </w:rPr>
      </w:pPr>
      <w:r>
        <w:rPr>
          <w:rStyle w:val="FootnoteReference"/>
          <w:sz w:val="18"/>
          <w:szCs w:val="18"/>
        </w:rPr>
        <w:footnoteRef/>
      </w:r>
      <w:r>
        <w:rPr>
          <w:sz w:val="18"/>
          <w:szCs w:val="18"/>
        </w:rPr>
        <w:t xml:space="preserve"> See figure 26 in Technological developments' Annex.</w:t>
      </w:r>
    </w:p>
  </w:footnote>
  <w:footnote w:id="28">
    <w:p w:rsidR="005163E3" w:rsidRDefault="005163E3">
      <w:pPr>
        <w:pStyle w:val="FootnoteText"/>
        <w:ind w:left="142" w:hanging="142"/>
        <w:rPr>
          <w:sz w:val="18"/>
          <w:szCs w:val="18"/>
        </w:rPr>
      </w:pPr>
      <w:r>
        <w:rPr>
          <w:rStyle w:val="FootnoteReference"/>
          <w:sz w:val="18"/>
          <w:szCs w:val="18"/>
        </w:rPr>
        <w:footnoteRef/>
      </w:r>
      <w:r>
        <w:rPr>
          <w:sz w:val="18"/>
          <w:szCs w:val="18"/>
        </w:rPr>
        <w:t xml:space="preserve"> </w:t>
      </w:r>
      <w:r>
        <w:rPr>
          <w:color w:val="000000"/>
          <w:sz w:val="18"/>
          <w:szCs w:val="18"/>
        </w:rPr>
        <w:t>For additional deployment forecasts see, SMART 2015/0002.</w:t>
      </w:r>
    </w:p>
  </w:footnote>
  <w:footnote w:id="29">
    <w:p w:rsidR="005163E3" w:rsidRDefault="005163E3">
      <w:pPr>
        <w:pStyle w:val="FootnoteText"/>
        <w:ind w:left="142" w:hanging="142"/>
        <w:rPr>
          <w:sz w:val="18"/>
          <w:szCs w:val="18"/>
        </w:rPr>
      </w:pPr>
      <w:r>
        <w:rPr>
          <w:rStyle w:val="FootnoteReference"/>
          <w:sz w:val="18"/>
          <w:szCs w:val="18"/>
        </w:rPr>
        <w:footnoteRef/>
      </w:r>
      <w:r>
        <w:rPr>
          <w:sz w:val="18"/>
          <w:szCs w:val="18"/>
        </w:rPr>
        <w:t xml:space="preserve"> KDDI launches Gbps service 2008 http://www.japantoday.com/category/technology/view/kddi-to-launch-1gbps-fiber-optic-service-in-oct</w:t>
      </w:r>
    </w:p>
  </w:footnote>
  <w:footnote w:id="30">
    <w:p w:rsidR="005163E3" w:rsidRDefault="005163E3">
      <w:pPr>
        <w:pStyle w:val="FootnoteText"/>
        <w:ind w:left="142" w:hanging="142"/>
        <w:rPr>
          <w:sz w:val="18"/>
          <w:szCs w:val="18"/>
        </w:rPr>
      </w:pPr>
      <w:r>
        <w:rPr>
          <w:rStyle w:val="FootnoteReference"/>
          <w:sz w:val="18"/>
          <w:szCs w:val="18"/>
        </w:rPr>
        <w:footnoteRef/>
      </w:r>
      <w:r>
        <w:rPr>
          <w:sz w:val="18"/>
          <w:szCs w:val="18"/>
        </w:rPr>
        <w:t xml:space="preserve"> SK Telecom showcases 10Gbps service http://www.businesskorea.co.kr/english/news/ict/6789-100x-faster-internet-sk-broadband-offer-10-gbps-internet</w:t>
      </w:r>
    </w:p>
  </w:footnote>
  <w:footnote w:id="31">
    <w:p w:rsidR="005163E3" w:rsidRDefault="005163E3">
      <w:pPr>
        <w:pStyle w:val="FootnoteText"/>
        <w:ind w:left="142" w:hanging="142"/>
        <w:rPr>
          <w:sz w:val="18"/>
          <w:szCs w:val="18"/>
          <w:lang w:val="es-ES"/>
        </w:rPr>
      </w:pPr>
      <w:r>
        <w:rPr>
          <w:rStyle w:val="FootnoteReference"/>
          <w:sz w:val="18"/>
          <w:szCs w:val="18"/>
        </w:rPr>
        <w:footnoteRef/>
      </w:r>
      <w:r>
        <w:rPr>
          <w:sz w:val="18"/>
          <w:szCs w:val="18"/>
          <w:lang w:val="es-ES"/>
        </w:rPr>
        <w:t>UNESCAP http://www.unescap.org/sites/default/files/4.1%20Korean%20Broadband%20Policies%20and%20Recommendations.pdf</w:t>
      </w:r>
    </w:p>
  </w:footnote>
  <w:footnote w:id="32">
    <w:p w:rsidR="005163E3" w:rsidRDefault="005163E3">
      <w:pPr>
        <w:pStyle w:val="FootnoteText"/>
        <w:ind w:left="142" w:hanging="142"/>
        <w:rPr>
          <w:sz w:val="18"/>
          <w:szCs w:val="18"/>
          <w:lang w:val="es-ES"/>
        </w:rPr>
      </w:pPr>
      <w:r>
        <w:rPr>
          <w:rStyle w:val="FootnoteReference"/>
          <w:sz w:val="18"/>
          <w:szCs w:val="18"/>
        </w:rPr>
        <w:footnoteRef/>
      </w:r>
      <w:r>
        <w:rPr>
          <w:sz w:val="18"/>
          <w:szCs w:val="18"/>
          <w:lang w:val="es-ES"/>
        </w:rPr>
        <w:t xml:space="preserve"> https://fiber.google.com/cities/kansascity/plans/</w:t>
      </w:r>
    </w:p>
  </w:footnote>
  <w:footnote w:id="33">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for example http://www.latinpost.com/articles/101338/20151210/google-fiber-vs-att-gigapower-likely-to-win-gigabit-race-thanks-to-google.htm</w:t>
      </w:r>
    </w:p>
  </w:footnote>
  <w:footnote w:id="34">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the Study "Support for the preparation of the impact assessment accompanying the review of the regulatory framework for e-communications", SMART 2015/0005 and, Study SMART 2015/0002</w:t>
      </w:r>
    </w:p>
  </w:footnote>
  <w:footnote w:id="35">
    <w:p w:rsidR="005163E3" w:rsidRDefault="005163E3">
      <w:pPr>
        <w:pStyle w:val="FootnoteText"/>
        <w:ind w:left="142" w:hanging="142"/>
        <w:rPr>
          <w:sz w:val="18"/>
          <w:szCs w:val="18"/>
        </w:rPr>
      </w:pPr>
      <w:r>
        <w:rPr>
          <w:rStyle w:val="FootnoteReference"/>
          <w:sz w:val="18"/>
          <w:szCs w:val="18"/>
        </w:rPr>
        <w:footnoteRef/>
      </w:r>
      <w:r>
        <w:rPr>
          <w:sz w:val="18"/>
          <w:szCs w:val="18"/>
        </w:rPr>
        <w:t xml:space="preserve"> FTTP – fibre to the premises – includes fibre to the home and fibre to the building projects. The term premises includes residential houses, as well as apartment houses. See annex for further reference on the technologies..</w:t>
      </w:r>
    </w:p>
  </w:footnote>
  <w:footnote w:id="36">
    <w:p w:rsidR="005163E3" w:rsidRDefault="005163E3">
      <w:pPr>
        <w:spacing w:after="0" w:line="240" w:lineRule="auto"/>
        <w:ind w:left="142" w:hanging="142"/>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Source: </w:t>
      </w:r>
      <w:hyperlink r:id="rId4" w:history="1">
        <w:r>
          <w:rPr>
            <w:rStyle w:val="Hyperlink"/>
            <w:rFonts w:ascii="Times New Roman" w:hAnsi="Times New Roman" w:cs="Times New Roman"/>
            <w:sz w:val="18"/>
            <w:szCs w:val="18"/>
          </w:rPr>
          <w:t>https://ec.europa.eu/digital-single-market/en/download-scoreboard-reports</w:t>
        </w:r>
      </w:hyperlink>
      <w:r>
        <w:rPr>
          <w:rFonts w:ascii="Times New Roman" w:hAnsi="Times New Roman" w:cs="Times New Roman"/>
          <w:sz w:val="18"/>
          <w:szCs w:val="18"/>
        </w:rPr>
        <w:t xml:space="preserve"> </w:t>
      </w:r>
    </w:p>
  </w:footnote>
  <w:footnote w:id="37">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the Expert Panel conducted under SMART 2015/005 –Annex 13 for more details.</w:t>
      </w:r>
    </w:p>
  </w:footnote>
  <w:footnote w:id="38">
    <w:p w:rsidR="005163E3" w:rsidRDefault="005163E3">
      <w:pPr>
        <w:pStyle w:val="FootnoteText"/>
        <w:ind w:left="142" w:hanging="142"/>
        <w:rPr>
          <w:sz w:val="18"/>
          <w:szCs w:val="18"/>
        </w:rPr>
      </w:pPr>
      <w:r>
        <w:rPr>
          <w:sz w:val="18"/>
          <w:szCs w:val="18"/>
          <w:vertAlign w:val="superscript"/>
        </w:rPr>
        <w:footnoteRef/>
      </w:r>
      <w:r>
        <w:rPr>
          <w:sz w:val="18"/>
          <w:szCs w:val="18"/>
        </w:rPr>
        <w:t xml:space="preserve"> Page 115 Samknows for EC Oct 2014 Quality of Broadband Services in the EU.</w:t>
      </w:r>
    </w:p>
  </w:footnote>
  <w:footnote w:id="39">
    <w:p w:rsidR="005163E3" w:rsidRDefault="005163E3">
      <w:pPr>
        <w:pStyle w:val="FootnoteText"/>
        <w:ind w:left="142" w:hanging="142"/>
        <w:rPr>
          <w:sz w:val="18"/>
          <w:szCs w:val="18"/>
        </w:rPr>
      </w:pPr>
      <w:r>
        <w:rPr>
          <w:sz w:val="18"/>
          <w:szCs w:val="18"/>
          <w:vertAlign w:val="superscript"/>
        </w:rPr>
        <w:footnoteRef/>
      </w:r>
      <w:r>
        <w:rPr>
          <w:sz w:val="18"/>
          <w:szCs w:val="18"/>
        </w:rPr>
        <w:t xml:space="preserve"> In the context of SMART 2015/0002, IDATE/WIK/Deloitte forecast a likely uptake of NGA by technology to 2025 and based speeds and speed growth per technology on the basis of Samknows data. According to Akamai speed measurements, average speeds have been increasing by 16% per annum across a range of geographies. Extending this projection would result in speeds of around 150 Mbps in 2025.</w:t>
      </w:r>
    </w:p>
  </w:footnote>
  <w:footnote w:id="40">
    <w:p w:rsidR="005163E3" w:rsidRDefault="005163E3">
      <w:pPr>
        <w:pStyle w:val="FootnoteText"/>
        <w:ind w:left="142" w:hanging="142"/>
        <w:rPr>
          <w:sz w:val="18"/>
          <w:szCs w:val="18"/>
        </w:rPr>
      </w:pPr>
      <w:r>
        <w:rPr>
          <w:sz w:val="18"/>
          <w:szCs w:val="18"/>
          <w:vertAlign w:val="superscript"/>
        </w:rPr>
        <w:footnoteRef/>
      </w:r>
      <w:r>
        <w:rPr>
          <w:sz w:val="18"/>
          <w:szCs w:val="18"/>
        </w:rPr>
        <w:t xml:space="preserve"> See Study SMART 2015/0002</w:t>
      </w:r>
    </w:p>
  </w:footnote>
  <w:footnote w:id="41">
    <w:p w:rsidR="005163E3" w:rsidRDefault="005163E3">
      <w:pPr>
        <w:pStyle w:val="FootnoteText"/>
        <w:ind w:left="142" w:hanging="142"/>
        <w:rPr>
          <w:spacing w:val="-2"/>
          <w:sz w:val="18"/>
          <w:szCs w:val="18"/>
        </w:rPr>
      </w:pPr>
      <w:r>
        <w:rPr>
          <w:sz w:val="18"/>
          <w:szCs w:val="18"/>
          <w:vertAlign w:val="superscript"/>
        </w:rPr>
        <w:footnoteRef/>
      </w:r>
      <w:r>
        <w:rPr>
          <w:sz w:val="18"/>
          <w:szCs w:val="18"/>
          <w:vertAlign w:val="superscript"/>
        </w:rPr>
        <w:t xml:space="preserve"> </w:t>
      </w:r>
      <w:r>
        <w:rPr>
          <w:sz w:val="18"/>
          <w:szCs w:val="18"/>
        </w:rPr>
        <w:t>Many Internet users are already experiencing challenges with the bandwidth they have available. Almost four in ten respondents to the Eurobarometer survey of 2014 noted that they had experienced difficulties accessing online content or applications as a result of insufficient speed of download capacities.</w:t>
      </w:r>
    </w:p>
  </w:footnote>
  <w:footnote w:id="42">
    <w:p w:rsidR="005163E3" w:rsidRDefault="005163E3">
      <w:pPr>
        <w:pStyle w:val="FootnoteText"/>
        <w:rPr>
          <w:sz w:val="18"/>
          <w:szCs w:val="18"/>
        </w:rPr>
      </w:pPr>
      <w:r>
        <w:rPr>
          <w:rStyle w:val="FootnoteReference"/>
          <w:sz w:val="18"/>
          <w:szCs w:val="18"/>
        </w:rPr>
        <w:footnoteRef/>
      </w:r>
      <w:r>
        <w:rPr>
          <w:sz w:val="18"/>
          <w:szCs w:val="18"/>
        </w:rPr>
        <w:t xml:space="preserve"> </w:t>
      </w:r>
      <w:hyperlink r:id="rId5" w:history="1">
        <w:r>
          <w:rPr>
            <w:rStyle w:val="Hyperlink"/>
            <w:sz w:val="18"/>
            <w:szCs w:val="18"/>
          </w:rPr>
          <w:t>http://www.fibre-systems.com/news/story/orange-plans-full-fibre-coverage-9-french-cities-2016</w:t>
        </w:r>
      </w:hyperlink>
      <w:r>
        <w:rPr>
          <w:sz w:val="18"/>
          <w:szCs w:val="18"/>
        </w:rPr>
        <w:t xml:space="preserve"> </w:t>
      </w:r>
    </w:p>
  </w:footnote>
  <w:footnote w:id="43">
    <w:p w:rsidR="005163E3" w:rsidRDefault="005163E3">
      <w:pPr>
        <w:pStyle w:val="Default"/>
        <w:ind w:left="142" w:hanging="142"/>
        <w:jc w:val="both"/>
        <w:rPr>
          <w:rFonts w:ascii="Times New Roman" w:hAnsi="Times New Roman"/>
          <w:sz w:val="18"/>
          <w:szCs w:val="18"/>
          <w:lang w:val="en-GB"/>
        </w:rPr>
      </w:pPr>
      <w:r>
        <w:rPr>
          <w:rStyle w:val="FootnoteReference"/>
          <w:rFonts w:ascii="Times New Roman" w:hAnsi="Times New Roman"/>
          <w:sz w:val="18"/>
          <w:szCs w:val="18"/>
        </w:rPr>
        <w:footnoteRef/>
      </w:r>
      <w:r>
        <w:rPr>
          <w:rFonts w:ascii="Times New Roman" w:hAnsi="Times New Roman"/>
          <w:sz w:val="18"/>
          <w:szCs w:val="18"/>
          <w:lang w:val="en-GB"/>
        </w:rPr>
        <w:t xml:space="preserve"> Source: Vodafone’s call for the Gigabit Society, Dec. 2015</w:t>
      </w:r>
    </w:p>
  </w:footnote>
  <w:footnote w:id="44">
    <w:p w:rsidR="005163E3" w:rsidRDefault="005163E3">
      <w:pPr>
        <w:pStyle w:val="FootnoteText"/>
        <w:ind w:left="142" w:hanging="142"/>
        <w:rPr>
          <w:sz w:val="18"/>
          <w:szCs w:val="18"/>
        </w:rPr>
      </w:pPr>
      <w:r>
        <w:rPr>
          <w:rStyle w:val="FootnoteReference"/>
          <w:sz w:val="18"/>
          <w:szCs w:val="18"/>
        </w:rPr>
        <w:footnoteRef/>
      </w:r>
      <w:r>
        <w:rPr>
          <w:sz w:val="18"/>
          <w:szCs w:val="18"/>
        </w:rPr>
        <w:t xml:space="preserve"> Study supporting the Impact Assessment for the Review of the Framework for electronic communications.</w:t>
      </w:r>
    </w:p>
  </w:footnote>
  <w:footnote w:id="45">
    <w:p w:rsidR="005163E3" w:rsidRDefault="005163E3">
      <w:pPr>
        <w:pStyle w:val="FootnoteText"/>
        <w:ind w:left="142" w:hanging="142"/>
        <w:rPr>
          <w:sz w:val="18"/>
          <w:szCs w:val="18"/>
        </w:rPr>
      </w:pPr>
      <w:r>
        <w:rPr>
          <w:sz w:val="18"/>
          <w:szCs w:val="18"/>
          <w:vertAlign w:val="superscript"/>
        </w:rPr>
        <w:footnoteRef/>
      </w:r>
      <w:r>
        <w:rPr>
          <w:sz w:val="18"/>
          <w:szCs w:val="18"/>
          <w:vertAlign w:val="superscript"/>
        </w:rPr>
        <w:t xml:space="preserve"> </w:t>
      </w:r>
      <w:r>
        <w:rPr>
          <w:sz w:val="18"/>
          <w:szCs w:val="18"/>
        </w:rPr>
        <w:t xml:space="preserve">A Study by Analysis Group found </w:t>
      </w:r>
      <w:r>
        <w:rPr>
          <w:sz w:val="18"/>
          <w:szCs w:val="18"/>
          <w:lang w:val="en-US"/>
        </w:rPr>
        <w:t xml:space="preserve">that 14 broadband communities which benefited from gigabit connectivity enjoyed approximately $1.4 billion in additional GDP when gigabit broadband became widely available </w:t>
      </w:r>
      <w:r>
        <w:rPr>
          <w:sz w:val="18"/>
          <w:szCs w:val="18"/>
        </w:rPr>
        <w:t>(Early Evidence Suggests Gigabit Broadband Drives GDP, David Sosa 2015, http://www.analysisgroup.com/uploadedfiles/content/insights/publishing/gigabit_broadband_sosa.pdf )</w:t>
      </w:r>
      <w:r>
        <w:rPr>
          <w:sz w:val="18"/>
          <w:szCs w:val="18"/>
          <w:lang w:val="en-US"/>
        </w:rPr>
        <w:t>. Forzati and Mattsson (2013) estimate the benefit of</w:t>
      </w:r>
      <w:r>
        <w:rPr>
          <w:sz w:val="18"/>
          <w:szCs w:val="18"/>
        </w:rPr>
        <w:t xml:space="preserve"> fibre</w:t>
      </w:r>
      <w:r>
        <w:rPr>
          <w:sz w:val="18"/>
          <w:szCs w:val="18"/>
          <w:lang w:val="en-US"/>
        </w:rPr>
        <w:t xml:space="preserve"> installation in Stockholm by Stokab at 16 billion SEK.</w:t>
      </w:r>
    </w:p>
  </w:footnote>
  <w:footnote w:id="46">
    <w:p w:rsidR="005163E3" w:rsidRDefault="005163E3">
      <w:pPr>
        <w:pStyle w:val="FootnoteText"/>
        <w:ind w:left="142" w:hanging="142"/>
        <w:rPr>
          <w:sz w:val="18"/>
          <w:szCs w:val="18"/>
        </w:rPr>
      </w:pPr>
      <w:r>
        <w:rPr>
          <w:sz w:val="18"/>
          <w:szCs w:val="18"/>
          <w:vertAlign w:val="superscript"/>
        </w:rPr>
        <w:footnoteRef/>
      </w:r>
      <w:r>
        <w:rPr>
          <w:sz w:val="18"/>
          <w:szCs w:val="18"/>
        </w:rPr>
        <w:t xml:space="preserve"> For example, </w:t>
      </w:r>
      <w:r>
        <w:rPr>
          <w:sz w:val="18"/>
          <w:szCs w:val="18"/>
          <w:lang w:val="en-US"/>
        </w:rPr>
        <w:t>Forzati and Mattsson (2012) found that a 10% increase in the proportion of the population living within 353</w:t>
      </w:r>
      <w:r>
        <w:rPr>
          <w:sz w:val="18"/>
          <w:szCs w:val="18"/>
        </w:rPr>
        <w:t xml:space="preserve"> metres</w:t>
      </w:r>
      <w:r>
        <w:rPr>
          <w:sz w:val="18"/>
          <w:szCs w:val="18"/>
          <w:lang w:val="en-US"/>
        </w:rPr>
        <w:t xml:space="preserve"> from a</w:t>
      </w:r>
      <w:r>
        <w:rPr>
          <w:sz w:val="18"/>
          <w:szCs w:val="18"/>
        </w:rPr>
        <w:t xml:space="preserve"> fibre</w:t>
      </w:r>
      <w:r>
        <w:rPr>
          <w:sz w:val="18"/>
          <w:szCs w:val="18"/>
          <w:lang w:val="en-US"/>
        </w:rPr>
        <w:t xml:space="preserve"> connected premise corresponds to a positive change in the population after three years. Xiong (2013) also found that a higher fibre penetration of 10% at workplaces and 13% at residential places in a municipality in 2007 lead to a 0.17% improved population evolution between 2007 and 2010.</w:t>
      </w:r>
    </w:p>
  </w:footnote>
  <w:footnote w:id="47">
    <w:p w:rsidR="005163E3" w:rsidRDefault="005163E3">
      <w:pPr>
        <w:pStyle w:val="FootnoteText"/>
        <w:ind w:left="142" w:hanging="142"/>
        <w:rPr>
          <w:i/>
          <w:sz w:val="18"/>
          <w:szCs w:val="18"/>
          <w:lang w:val="en-US"/>
        </w:rPr>
      </w:pPr>
      <w:r>
        <w:rPr>
          <w:rStyle w:val="FootnoteReference"/>
          <w:sz w:val="18"/>
          <w:szCs w:val="18"/>
        </w:rPr>
        <w:footnoteRef/>
      </w:r>
      <w:r>
        <w:rPr>
          <w:sz w:val="18"/>
          <w:szCs w:val="18"/>
          <w:lang w:val="en-US"/>
        </w:rPr>
        <w:t xml:space="preserve"> Among others: Crandall, R., Lehr, W., and Litan, R. (2007), The Effects of Broadband Deployment on Output and Employment: A Cross-sectional Analysis of U.S. Data, </w:t>
      </w:r>
      <w:r>
        <w:rPr>
          <w:i/>
          <w:sz w:val="18"/>
          <w:szCs w:val="18"/>
          <w:lang w:val="en-US"/>
        </w:rPr>
        <w:t>Issues in Economic Policy</w:t>
      </w:r>
      <w:r>
        <w:rPr>
          <w:sz w:val="18"/>
          <w:szCs w:val="18"/>
          <w:lang w:val="en-US"/>
        </w:rPr>
        <w:t xml:space="preserve">, 6; Czernich, N., Falck, O., Kretschmer T., and Woessman, L. (2011), Broadband infrastructure and economic growth, </w:t>
      </w:r>
      <w:r>
        <w:rPr>
          <w:i/>
          <w:sz w:val="18"/>
          <w:szCs w:val="18"/>
          <w:lang w:val="en-US"/>
        </w:rPr>
        <w:t>Economic Journal</w:t>
      </w:r>
      <w:r>
        <w:rPr>
          <w:sz w:val="18"/>
          <w:szCs w:val="18"/>
          <w:lang w:val="en-US"/>
        </w:rPr>
        <w:t xml:space="preserve">, 121(552); Koutroumpis, P. (2009). The Economic Impact of Broadband on Growth: A Simultaneous Approach, </w:t>
      </w:r>
      <w:r>
        <w:rPr>
          <w:i/>
          <w:sz w:val="18"/>
          <w:szCs w:val="18"/>
          <w:lang w:val="en-US"/>
        </w:rPr>
        <w:t>Telecommunications Policy</w:t>
      </w:r>
      <w:r>
        <w:rPr>
          <w:sz w:val="18"/>
          <w:szCs w:val="18"/>
          <w:lang w:val="en-US"/>
        </w:rPr>
        <w:t xml:space="preserve">, 33; Qiang, C. Z., and Rossotto, C. M. (2009), Economic Impacts of Broadband, In </w:t>
      </w:r>
      <w:r>
        <w:rPr>
          <w:i/>
          <w:sz w:val="18"/>
          <w:szCs w:val="18"/>
          <w:lang w:val="en-US"/>
        </w:rPr>
        <w:t>Information and Communications for Development 2009: Extending Reach and Increasing Impact</w:t>
      </w:r>
      <w:r>
        <w:rPr>
          <w:sz w:val="18"/>
          <w:szCs w:val="18"/>
          <w:lang w:val="en-US"/>
        </w:rPr>
        <w:t>, 35–50.Washington, DC: World Bank.</w:t>
      </w:r>
    </w:p>
  </w:footnote>
  <w:footnote w:id="48">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See Study SMART 005/2015</w:t>
      </w:r>
    </w:p>
  </w:footnote>
  <w:footnote w:id="49">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w:t>
      </w:r>
      <w:r>
        <w:rPr>
          <w:color w:val="0000FF"/>
          <w:sz w:val="18"/>
          <w:szCs w:val="18"/>
        </w:rPr>
        <w:t>http://www.eib.europa.eu/attachments/efs/eibpapers/eibpapers_2011_v16_n02_en.pdf</w:t>
      </w:r>
    </w:p>
  </w:footnote>
  <w:footnote w:id="50">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Analysys Mason, The socio-economic impact of bandwidth (2013).</w:t>
      </w:r>
    </w:p>
  </w:footnote>
  <w:footnote w:id="51">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ibidem</w:t>
      </w:r>
    </w:p>
  </w:footnote>
  <w:footnote w:id="52">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Based on a 75% coverage assumption.</w:t>
      </w:r>
    </w:p>
  </w:footnote>
  <w:footnote w:id="53">
    <w:p w:rsidR="005163E3" w:rsidRDefault="005163E3">
      <w:pPr>
        <w:pStyle w:val="FootnoteText"/>
        <w:ind w:left="142" w:hanging="142"/>
        <w:rPr>
          <w:sz w:val="18"/>
          <w:szCs w:val="18"/>
        </w:rPr>
      </w:pPr>
      <w:r>
        <w:rPr>
          <w:rStyle w:val="FootnoteReference"/>
          <w:sz w:val="18"/>
          <w:szCs w:val="18"/>
        </w:rPr>
        <w:footnoteRef/>
      </w:r>
      <w:r>
        <w:rPr>
          <w:sz w:val="18"/>
          <w:szCs w:val="18"/>
        </w:rPr>
        <w:t xml:space="preserve"> According to the Digital Agenda Scoreboard, telecom (including fixed, integrated and mobile-only) CAPEX in Europe was € 43 billion in 2013. CAPEX figures remained relatively stable over the 2011-2014 years despite the fact that in the same period NGA coverage increased from 29% to 68%. In 2014, Mobile CAPEX spending represented 59% of total spending. However, this CAPEX is not only directed at modernising the network, so the part which is spent on increasing coverage in the coming years might be subject to the operators' strategic priorities being it, among others, network expansion, modernization or cost optimization. On top of it, operator expenses depend on the evolution of the market trends and the investment climate.</w:t>
      </w:r>
    </w:p>
  </w:footnote>
  <w:footnote w:id="54">
    <w:p w:rsidR="005163E3" w:rsidRDefault="005163E3">
      <w:pPr>
        <w:pStyle w:val="FootnoteText"/>
        <w:ind w:left="142" w:hanging="142"/>
        <w:rPr>
          <w:sz w:val="18"/>
          <w:szCs w:val="18"/>
        </w:rPr>
      </w:pPr>
      <w:r>
        <w:rPr>
          <w:rStyle w:val="FootnoteReference"/>
          <w:sz w:val="18"/>
          <w:szCs w:val="18"/>
        </w:rPr>
        <w:footnoteRef/>
      </w:r>
      <w:r>
        <w:rPr>
          <w:sz w:val="18"/>
          <w:szCs w:val="18"/>
        </w:rPr>
        <w:t xml:space="preserve"> An estimate as the Commission cannot differentiate between allocations foreseen in EAFRD for ICT and Broadband as this type of information is not requested by the regulation. However, additional information is requested and will be provided in the context of monitoring activities (in particular, monitoring will be done for ''N° of operations", "Population benefiting from new or improved IT infrastructure" differentiating here between "Broadband" and "Other than broadband"). See for more information the </w:t>
      </w:r>
      <w:r>
        <w:rPr>
          <w:i/>
          <w:sz w:val="18"/>
          <w:szCs w:val="18"/>
        </w:rPr>
        <w:t>ICT Monitoring Tool</w:t>
      </w:r>
      <w:r>
        <w:rPr>
          <w:sz w:val="18"/>
          <w:szCs w:val="18"/>
        </w:rPr>
        <w:t xml:space="preserve"> : </w:t>
      </w:r>
      <w:hyperlink r:id="rId6" w:history="1">
        <w:r>
          <w:rPr>
            <w:rStyle w:val="Hyperlink"/>
            <w:sz w:val="18"/>
            <w:szCs w:val="18"/>
          </w:rPr>
          <w:t>http://s3platform.jrc.ec.europa.eu/ict-monitoring</w:t>
        </w:r>
      </w:hyperlink>
      <w:r>
        <w:rPr>
          <w:sz w:val="18"/>
          <w:szCs w:val="18"/>
        </w:rPr>
        <w:t xml:space="preserve"> </w:t>
      </w:r>
    </w:p>
  </w:footnote>
  <w:footnote w:id="55">
    <w:p w:rsidR="005163E3" w:rsidRDefault="005163E3">
      <w:pPr>
        <w:pStyle w:val="FootnoteText"/>
      </w:pPr>
      <w:r>
        <w:rPr>
          <w:rStyle w:val="FootnoteReference"/>
        </w:rPr>
        <w:footnoteRef/>
      </w:r>
      <w:r>
        <w:t xml:space="preserve"> </w:t>
      </w:r>
      <w:r>
        <w:rPr>
          <w:sz w:val="18"/>
          <w:szCs w:val="18"/>
        </w:rPr>
        <w:t>See COM(2014) 903 final, p.10</w:t>
      </w:r>
    </w:p>
  </w:footnote>
  <w:footnote w:id="56">
    <w:p w:rsidR="005163E3" w:rsidRDefault="005163E3">
      <w:pPr>
        <w:pStyle w:val="FootnoteText"/>
      </w:pPr>
      <w:r>
        <w:rPr>
          <w:rStyle w:val="FootnoteReference"/>
        </w:rPr>
        <w:footnoteRef/>
      </w:r>
      <w:r>
        <w:t xml:space="preserve"> </w:t>
      </w:r>
      <w:hyperlink r:id="rId7" w:history="1">
        <w:r>
          <w:rPr>
            <w:rStyle w:val="Hyperlink"/>
            <w:sz w:val="18"/>
            <w:szCs w:val="18"/>
          </w:rPr>
          <w:t>https://cohesiondata.ec.europa.eu/themes/2</w:t>
        </w:r>
      </w:hyperlink>
      <w:r>
        <w:t xml:space="preserve"> </w:t>
      </w:r>
    </w:p>
  </w:footnote>
  <w:footnote w:id="57">
    <w:p w:rsidR="005163E3" w:rsidRDefault="005163E3">
      <w:pPr>
        <w:pStyle w:val="FootnoteText"/>
        <w:ind w:left="142" w:hanging="142"/>
        <w:rPr>
          <w:sz w:val="18"/>
          <w:szCs w:val="18"/>
        </w:rPr>
      </w:pPr>
      <w:r>
        <w:rPr>
          <w:rStyle w:val="FootnoteReference"/>
          <w:sz w:val="18"/>
          <w:szCs w:val="18"/>
        </w:rPr>
        <w:footnoteRef/>
      </w:r>
      <w:r>
        <w:rPr>
          <w:sz w:val="18"/>
          <w:szCs w:val="18"/>
        </w:rPr>
        <w:t xml:space="preserve"> Under the pilot phase of the Europe 2020 Project Bond Initiative, the EIB and the Commission closed in July 2014 the first deal on a broadband project bond (in France – Axione is the beneficiary). The leverage factor foreseen for the broadband part of CEF is around 7 times, so it is expected to mobilise around €1 billion. This leverage was exceeded by the Axione deal which had a leverage factor of 14 times.</w:t>
      </w:r>
    </w:p>
  </w:footnote>
  <w:footnote w:id="58">
    <w:p w:rsidR="005163E3" w:rsidRDefault="005163E3">
      <w:pPr>
        <w:pStyle w:val="FootnoteText"/>
        <w:ind w:left="142" w:hanging="142"/>
        <w:rPr>
          <w:sz w:val="18"/>
          <w:szCs w:val="18"/>
        </w:rPr>
      </w:pPr>
      <w:r>
        <w:rPr>
          <w:rStyle w:val="FootnoteReference"/>
          <w:sz w:val="18"/>
          <w:szCs w:val="18"/>
        </w:rPr>
        <w:footnoteRef/>
      </w:r>
      <w:r>
        <w:rPr>
          <w:sz w:val="18"/>
          <w:szCs w:val="18"/>
        </w:rPr>
        <w:t xml:space="preserve"> For medium SMEs, hospitals and secondary schools only half are supposed to need connection as the other half are assumed to be using leased lines.</w:t>
      </w:r>
    </w:p>
  </w:footnote>
  <w:footnote w:id="59">
    <w:p w:rsidR="005163E3" w:rsidRDefault="005163E3">
      <w:pPr>
        <w:pStyle w:val="FootnoteText"/>
        <w:ind w:left="142" w:hanging="142"/>
        <w:rPr>
          <w:sz w:val="18"/>
          <w:szCs w:val="18"/>
        </w:rPr>
      </w:pPr>
      <w:r>
        <w:rPr>
          <w:rStyle w:val="FootnoteReference"/>
          <w:sz w:val="18"/>
          <w:szCs w:val="18"/>
        </w:rPr>
        <w:footnoteRef/>
      </w:r>
      <w:r>
        <w:rPr>
          <w:sz w:val="18"/>
          <w:szCs w:val="18"/>
        </w:rPr>
        <w:t xml:space="preserve"> For the Scenario F all the calculations are based on the price per length of the transport corridor calculated by reference to the amount of connected base stations required.</w:t>
      </w:r>
    </w:p>
  </w:footnote>
  <w:footnote w:id="60">
    <w:p w:rsidR="005163E3" w:rsidRDefault="005163E3">
      <w:pPr>
        <w:pStyle w:val="FootnoteText"/>
        <w:ind w:left="142" w:hanging="142"/>
        <w:rPr>
          <w:sz w:val="18"/>
          <w:szCs w:val="18"/>
        </w:rPr>
      </w:pPr>
      <w:r>
        <w:rPr>
          <w:rStyle w:val="FootnoteReference"/>
          <w:sz w:val="18"/>
          <w:szCs w:val="18"/>
        </w:rPr>
        <w:footnoteRef/>
      </w:r>
      <w:r>
        <w:rPr>
          <w:sz w:val="18"/>
          <w:szCs w:val="18"/>
        </w:rPr>
        <w:t xml:space="preserve"> "Make the Net Work" initiative of Alcatel-Lucent, Deutsch Telekom, Ericsson, Liberty Global, Orange, Telecom Italia, Telefónica, Telenor, TeliaSonera, Vodafone.</w:t>
      </w:r>
    </w:p>
  </w:footnote>
  <w:footnote w:id="61">
    <w:p w:rsidR="005163E3" w:rsidRDefault="005163E3">
      <w:pPr>
        <w:pStyle w:val="FootnoteText"/>
        <w:jc w:val="left"/>
        <w:rPr>
          <w:sz w:val="18"/>
          <w:szCs w:val="18"/>
        </w:rPr>
      </w:pPr>
      <w:r>
        <w:rPr>
          <w:rStyle w:val="FootnoteReference"/>
          <w:sz w:val="18"/>
          <w:szCs w:val="18"/>
        </w:rPr>
        <w:footnoteRef/>
      </w:r>
      <w:r>
        <w:rPr>
          <w:sz w:val="18"/>
          <w:szCs w:val="18"/>
        </w:rPr>
        <w:t xml:space="preserve"> AteneKom: National Broadband Plans in the EU -28 Smart 2014/007.</w:t>
      </w:r>
    </w:p>
  </w:footnote>
  <w:footnote w:id="62">
    <w:p w:rsidR="005163E3" w:rsidRDefault="005163E3">
      <w:pPr>
        <w:pStyle w:val="FootnoteText"/>
        <w:ind w:left="120" w:hanging="120"/>
        <w:rPr>
          <w:sz w:val="18"/>
          <w:szCs w:val="18"/>
        </w:rPr>
      </w:pPr>
      <w:r>
        <w:rPr>
          <w:rStyle w:val="FootnoteReference"/>
          <w:sz w:val="18"/>
          <w:szCs w:val="18"/>
        </w:rPr>
        <w:footnoteRef/>
      </w:r>
      <w:r>
        <w:rPr>
          <w:sz w:val="18"/>
          <w:szCs w:val="18"/>
        </w:rPr>
        <w:t xml:space="preserve"> Communication from the Commission EUROPE 2020; A strategy for smart, sustainable and inclusive growth, COM(2010) 2020 final</w:t>
      </w:r>
    </w:p>
  </w:footnote>
  <w:footnote w:id="63">
    <w:p w:rsidR="005163E3" w:rsidRDefault="005163E3">
      <w:pPr>
        <w:pStyle w:val="FootnoteText"/>
        <w:ind w:left="120" w:hanging="120"/>
        <w:rPr>
          <w:sz w:val="18"/>
          <w:szCs w:val="18"/>
        </w:rPr>
      </w:pPr>
      <w:r>
        <w:rPr>
          <w:rStyle w:val="FootnoteReference"/>
          <w:sz w:val="18"/>
          <w:szCs w:val="18"/>
        </w:rPr>
        <w:footnoteRef/>
      </w:r>
      <w:r>
        <w:rPr>
          <w:sz w:val="18"/>
          <w:szCs w:val="18"/>
        </w:rPr>
        <w:t>Electronics and Telecommunications Research Institute (ETRI) President Kim Heung-nam; http://newsworld.co.kr/detail.htm?no=436,</w:t>
      </w:r>
    </w:p>
  </w:footnote>
  <w:footnote w:id="64">
    <w:p w:rsidR="005163E3" w:rsidRDefault="005163E3">
      <w:pPr>
        <w:spacing w:after="0"/>
        <w:jc w:val="both"/>
        <w:rPr>
          <w:rFonts w:ascii="Times New Roman" w:hAnsi="Times New Roman" w:cs="Times New Roman"/>
          <w:sz w:val="18"/>
          <w:szCs w:val="18"/>
        </w:rPr>
      </w:pPr>
      <w:r>
        <w:rPr>
          <w:rStyle w:val="FootnoteReference"/>
          <w:rFonts w:ascii="Times New Roman" w:hAnsi="Times New Roman" w:cs="Times New Roman"/>
          <w:sz w:val="18"/>
          <w:szCs w:val="18"/>
          <w:lang w:val="fr-BE"/>
        </w:rPr>
        <w:footnoteRef/>
      </w:r>
      <w:r>
        <w:rPr>
          <w:rStyle w:val="FootnoteTextChar2"/>
          <w:rFonts w:ascii="Times New Roman" w:hAnsi="Times New Roman"/>
          <w:sz w:val="18"/>
          <w:szCs w:val="18"/>
        </w:rPr>
        <w:t xml:space="preserve"> Covering: e.g. primary and secondary schools, train stations, ports and airports, local authority buildings, universities, research centres, doctors' surgeries, hospitals and stadiums.</w:t>
      </w:r>
    </w:p>
  </w:footnote>
  <w:footnote w:id="65">
    <w:p w:rsidR="005163E3" w:rsidRDefault="005163E3">
      <w:pPr>
        <w:spacing w:after="0"/>
        <w:rPr>
          <w:rFonts w:ascii="Times New Roman" w:hAnsi="Times New Roman" w:cs="Times New Roman"/>
          <w:sz w:val="18"/>
          <w:szCs w:val="18"/>
        </w:rPr>
      </w:pPr>
      <w:r>
        <w:rPr>
          <w:rStyle w:val="FootnoteReference"/>
          <w:rFonts w:ascii="Times New Roman" w:hAnsi="Times New Roman" w:cs="Times New Roman"/>
          <w:sz w:val="18"/>
          <w:szCs w:val="18"/>
          <w:lang w:val="fr-BE"/>
        </w:rPr>
        <w:footnoteRef/>
      </w:r>
      <w:r>
        <w:rPr>
          <w:rStyle w:val="FootnoteTextChar2"/>
          <w:rFonts w:ascii="Times New Roman" w:hAnsi="Times New Roman"/>
          <w:sz w:val="18"/>
          <w:szCs w:val="18"/>
        </w:rPr>
        <w:t xml:space="preserve"> As per definition: </w:t>
      </w:r>
      <w:hyperlink r:id="rId8" w:history="1">
        <w:r>
          <w:rPr>
            <w:rStyle w:val="Hyperlink"/>
            <w:rFonts w:ascii="Times New Roman" w:hAnsi="Times New Roman" w:cs="Times New Roman"/>
            <w:sz w:val="18"/>
            <w:szCs w:val="18"/>
          </w:rPr>
          <w:t>http://ec.europa.eu/eurostat/statistics-explained/index.php/European_cities_%E2%80%93_the_EU-OECD_functional_urban_area_definition</w:t>
        </w:r>
      </w:hyperlink>
      <w:r>
        <w:rPr>
          <w:rStyle w:val="FootnoteTextChar2"/>
          <w:rFonts w:ascii="Times New Roman" w:hAnsi="Times New Roman"/>
          <w:sz w:val="18"/>
          <w:szCs w:val="18"/>
        </w:rPr>
        <w:t>.</w:t>
      </w:r>
    </w:p>
  </w:footnote>
  <w:footnote w:id="66">
    <w:p w:rsidR="005163E3" w:rsidRDefault="005163E3">
      <w:pPr>
        <w:spacing w:after="0"/>
      </w:pPr>
      <w:r>
        <w:rPr>
          <w:rStyle w:val="FootnoteReference"/>
          <w:rFonts w:ascii="Times New Roman" w:hAnsi="Times New Roman" w:cs="Times New Roman"/>
          <w:sz w:val="18"/>
          <w:szCs w:val="18"/>
          <w:lang w:val="fr-BE"/>
        </w:rPr>
        <w:footnoteRef/>
      </w:r>
      <w:r>
        <w:rPr>
          <w:rStyle w:val="FootnoteTextChar2"/>
          <w:rFonts w:ascii="Times New Roman" w:hAnsi="Times New Roman"/>
          <w:sz w:val="18"/>
          <w:szCs w:val="18"/>
        </w:rPr>
        <w:t xml:space="preserve"> Motorways, national roads and railways, in line with the definition of Trans-European Transport Networks.</w:t>
      </w:r>
    </w:p>
  </w:footnote>
  <w:footnote w:id="67">
    <w:p w:rsidR="005163E3" w:rsidRDefault="005163E3">
      <w:pPr>
        <w:pStyle w:val="FootnoteText"/>
        <w:ind w:left="120" w:hanging="120"/>
        <w:rPr>
          <w:sz w:val="18"/>
          <w:szCs w:val="18"/>
        </w:rPr>
      </w:pPr>
      <w:r>
        <w:rPr>
          <w:rStyle w:val="FootnoteReference"/>
          <w:sz w:val="18"/>
          <w:szCs w:val="18"/>
        </w:rPr>
        <w:footnoteRef/>
      </w:r>
      <w:r>
        <w:rPr>
          <w:sz w:val="18"/>
          <w:szCs w:val="18"/>
        </w:rPr>
        <w:t xml:space="preserve"> Estimate based on the findings of the Study "Costing the new potential connectivity needs" (Smart 2015/0068) by Analysys Mason.</w:t>
      </w:r>
    </w:p>
  </w:footnote>
  <w:footnote w:id="68">
    <w:p w:rsidR="005163E3" w:rsidRDefault="005163E3">
      <w:pPr>
        <w:pStyle w:val="FootnoteText"/>
        <w:ind w:left="120" w:hanging="120"/>
        <w:rPr>
          <w:sz w:val="18"/>
          <w:szCs w:val="18"/>
        </w:rPr>
      </w:pPr>
      <w:r>
        <w:rPr>
          <w:rStyle w:val="FootnoteReference"/>
          <w:sz w:val="18"/>
          <w:szCs w:val="18"/>
        </w:rPr>
        <w:footnoteRef/>
      </w:r>
      <w:r>
        <w:rPr>
          <w:sz w:val="18"/>
          <w:szCs w:val="18"/>
        </w:rPr>
        <w:t xml:space="preserve"> The socio-economic return on Stockholm municipality's Stokab investment in fibre infrastructure is estimated to be over 16 billion SEK (approx. €1.6 billion), almost three times the investment in 2013. See Figure 2.20 of the Annex in Study SMART 2015/0002.</w:t>
      </w:r>
    </w:p>
  </w:footnote>
  <w:footnote w:id="69">
    <w:p w:rsidR="005163E3" w:rsidRDefault="005163E3">
      <w:pPr>
        <w:pStyle w:val="FootnoteText"/>
      </w:pPr>
      <w:r>
        <w:rPr>
          <w:rStyle w:val="FootnoteReference"/>
        </w:rPr>
        <w:footnoteRef/>
      </w:r>
      <w:r>
        <w:t xml:space="preserve"> </w:t>
      </w:r>
      <w:r>
        <w:rPr>
          <w:sz w:val="18"/>
          <w:szCs w:val="18"/>
        </w:rPr>
        <w:t>Study "Costing the new potential connectivity needs" (Smart 2015/0068) by Analysys Mason</w:t>
      </w:r>
    </w:p>
  </w:footnote>
  <w:footnote w:id="70">
    <w:p w:rsidR="005163E3" w:rsidRDefault="005163E3">
      <w:pPr>
        <w:spacing w:after="0" w:line="240" w:lineRule="auto"/>
        <w:ind w:left="120" w:hanging="12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full list includes primary schools, secondary schools, universities, local authority buildings, digitally intensive enterprises, hospitals, doctor's surgeries, research centres, business parks, airports and stadiums.</w:t>
      </w:r>
    </w:p>
  </w:footnote>
  <w:footnote w:id="71">
    <w:p w:rsidR="005163E3" w:rsidRDefault="005163E3">
      <w:pPr>
        <w:spacing w:after="0" w:line="240" w:lineRule="auto"/>
        <w:ind w:left="120" w:hanging="12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full list includes, in addition to the large socio-economic drivers: micro enterprises, small enterprises, post offices, police stations, libraries, community centres, home workers, farmers markets, museums and galleries.</w:t>
      </w:r>
    </w:p>
  </w:footnote>
  <w:footnote w:id="72">
    <w:p w:rsidR="005163E3" w:rsidRDefault="005163E3">
      <w:pPr>
        <w:pStyle w:val="FootnoteText"/>
        <w:ind w:left="0" w:firstLine="0"/>
      </w:pPr>
      <w:r>
        <w:rPr>
          <w:rStyle w:val="FootnoteReference"/>
        </w:rPr>
        <w:footnoteRef/>
      </w:r>
      <w:r>
        <w:t xml:space="preserve"> </w:t>
      </w:r>
      <w:r>
        <w:rPr>
          <w:sz w:val="18"/>
          <w:szCs w:val="18"/>
        </w:rPr>
        <w:t>The number of digitally intensive enterprises has been estimated by the Commission by cross referencing the estimates from the study by Analysys Mason "Costing the new potential connectivity needs" (Smart 2015/0068) and the assumptions underpinning the analysis of Integration of Digital Technology by enterprises in the DESI Index.</w:t>
      </w:r>
    </w:p>
  </w:footnote>
  <w:footnote w:id="73">
    <w:p w:rsidR="005163E3" w:rsidRDefault="005163E3">
      <w:pPr>
        <w:pStyle w:val="FootnoteText"/>
        <w:ind w:left="120" w:hanging="120"/>
        <w:rPr>
          <w:sz w:val="18"/>
          <w:szCs w:val="18"/>
        </w:rPr>
      </w:pPr>
      <w:r>
        <w:rPr>
          <w:rStyle w:val="FootnoteReference"/>
          <w:sz w:val="18"/>
          <w:szCs w:val="18"/>
        </w:rPr>
        <w:footnoteRef/>
      </w:r>
      <w:r>
        <w:rPr>
          <w:sz w:val="18"/>
          <w:szCs w:val="18"/>
        </w:rPr>
        <w:t xml:space="preserve"> http://www.strategyand.pwc.com/media/file/Industry-4-0.pdf</w:t>
      </w:r>
    </w:p>
  </w:footnote>
  <w:footnote w:id="74">
    <w:p w:rsidR="005163E3" w:rsidRDefault="005163E3">
      <w:pPr>
        <w:pStyle w:val="FootnoteText"/>
      </w:pPr>
      <w:r>
        <w:rPr>
          <w:rStyle w:val="FootnoteReference"/>
        </w:rPr>
        <w:footnoteRef/>
      </w:r>
      <w:r>
        <w:t xml:space="preserve"> </w:t>
      </w:r>
      <w:r>
        <w:rPr>
          <w:rStyle w:val="Hyperlink"/>
          <w:sz w:val="18"/>
          <w:szCs w:val="18"/>
        </w:rPr>
        <w:t>COM(2016) 180 final; 19 April 2016.</w:t>
      </w:r>
    </w:p>
  </w:footnote>
  <w:footnote w:id="75">
    <w:p w:rsidR="005163E3" w:rsidRDefault="005163E3">
      <w:pPr>
        <w:pStyle w:val="FootnoteText"/>
        <w:ind w:left="120" w:hanging="120"/>
        <w:rPr>
          <w:sz w:val="18"/>
          <w:szCs w:val="18"/>
        </w:rPr>
      </w:pPr>
      <w:r>
        <w:rPr>
          <w:rStyle w:val="FootnoteReference"/>
          <w:sz w:val="18"/>
          <w:szCs w:val="18"/>
        </w:rPr>
        <w:footnoteRef/>
      </w:r>
      <w:r>
        <w:rPr>
          <w:rStyle w:val="FootnoteReference"/>
          <w:sz w:val="18"/>
          <w:szCs w:val="18"/>
        </w:rPr>
        <w:t xml:space="preserve"> </w:t>
      </w:r>
      <w:r>
        <w:rPr>
          <w:sz w:val="18"/>
          <w:szCs w:val="18"/>
        </w:rPr>
        <w:t>"A new digital Union I What’s in it for citizens with IoT and 5G", https://www.etno.eu/datas/publications/studies/Narrative_Final_2016.pdf</w:t>
      </w:r>
    </w:p>
  </w:footnote>
  <w:footnote w:id="76">
    <w:p w:rsidR="005163E3" w:rsidRDefault="005163E3">
      <w:pPr>
        <w:pStyle w:val="FootnoteText"/>
        <w:ind w:left="0" w:firstLine="0"/>
      </w:pPr>
      <w:r>
        <w:rPr>
          <w:rStyle w:val="FootnoteReference"/>
        </w:rPr>
        <w:footnoteRef/>
      </w:r>
      <w:r>
        <w:t xml:space="preserve"> </w:t>
      </w:r>
      <w:r>
        <w:rPr>
          <w:sz w:val="18"/>
          <w:szCs w:val="18"/>
        </w:rPr>
        <w:t>Based on the findings of the Study "Costing the new potential connectivity needs" (Smart 2015/0068) by Analysys Mason.</w:t>
      </w:r>
    </w:p>
  </w:footnote>
  <w:footnote w:id="77">
    <w:p w:rsidR="005163E3" w:rsidRDefault="005163E3">
      <w:pPr>
        <w:pStyle w:val="FootnoteText"/>
        <w:ind w:left="0" w:firstLine="0"/>
        <w:rPr>
          <w:sz w:val="18"/>
          <w:szCs w:val="18"/>
        </w:rPr>
      </w:pPr>
      <w:r>
        <w:rPr>
          <w:rStyle w:val="FootnoteReference"/>
        </w:rPr>
        <w:footnoteRef/>
      </w:r>
      <w:r>
        <w:t xml:space="preserve"> </w:t>
      </w:r>
      <w:r>
        <w:rPr>
          <w:sz w:val="18"/>
          <w:szCs w:val="18"/>
        </w:rPr>
        <w:t>Under this option,</w:t>
      </w:r>
      <w:r>
        <w:t xml:space="preserve"> f</w:t>
      </w:r>
      <w:r>
        <w:rPr>
          <w:sz w:val="18"/>
          <w:szCs w:val="18"/>
        </w:rPr>
        <w:t>or terrestrial transport paths, and depending on the considered transport service, account will be taken of ongoing investments in C-ITS technologies while ensuring coordination with relevant stakeholders, Action 4 of the 5G Action Plan</w:t>
      </w:r>
    </w:p>
  </w:footnote>
  <w:footnote w:id="78">
    <w:p w:rsidR="005163E3" w:rsidRDefault="005163E3">
      <w:pPr>
        <w:pStyle w:val="FootnoteText"/>
      </w:pPr>
      <w:r>
        <w:rPr>
          <w:rStyle w:val="FootnoteReference"/>
        </w:rPr>
        <w:footnoteRef/>
      </w:r>
      <w:r>
        <w:t xml:space="preserve"> Study SMART 2015/0068, page 22.</w:t>
      </w:r>
    </w:p>
  </w:footnote>
  <w:footnote w:id="79">
    <w:p w:rsidR="005163E3" w:rsidRDefault="005163E3">
      <w:pPr>
        <w:pStyle w:val="FootnoteText"/>
      </w:pPr>
      <w:r>
        <w:rPr>
          <w:rStyle w:val="FootnoteReference"/>
        </w:rPr>
        <w:footnoteRef/>
      </w:r>
      <w:r>
        <w:t xml:space="preserve"> Based on the findings of Study SMART 2015/0068.</w:t>
      </w:r>
    </w:p>
  </w:footnote>
  <w:footnote w:id="80">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Study SMART 2015/0068.</w:t>
      </w:r>
    </w:p>
  </w:footnote>
  <w:footnote w:id="81">
    <w:p w:rsidR="005163E3" w:rsidRDefault="005163E3">
      <w:pPr>
        <w:pStyle w:val="FootnoteText"/>
        <w:ind w:left="142" w:hanging="142"/>
        <w:rPr>
          <w:sz w:val="18"/>
          <w:szCs w:val="18"/>
        </w:rPr>
      </w:pPr>
      <w:r>
        <w:rPr>
          <w:rStyle w:val="FootnoteReference"/>
          <w:sz w:val="18"/>
          <w:szCs w:val="18"/>
        </w:rPr>
        <w:footnoteRef/>
      </w:r>
      <w:r>
        <w:rPr>
          <w:sz w:val="18"/>
          <w:szCs w:val="18"/>
        </w:rPr>
        <w:t>The costs are estimated assuming 15 years return on investment period, 20% profitability margin for the operator and operational cost that are spread over all other users in a larger territory who will be served via the backhaul network that serves the relevant socio-economic driver institution (e.g. nearby households and businesses, etc.).</w:t>
      </w:r>
    </w:p>
  </w:footnote>
  <w:footnote w:id="82">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See WIK-Deloitte-IDATE Study "Access regimes for network investment and business models in Europe" SMART 2015/0002</w:t>
      </w:r>
    </w:p>
  </w:footnote>
  <w:footnote w:id="83">
    <w:p w:rsidR="005163E3" w:rsidRDefault="005163E3">
      <w:pPr>
        <w:pStyle w:val="FootnoteText"/>
        <w:ind w:left="0" w:firstLine="0"/>
        <w:jc w:val="left"/>
        <w:rPr>
          <w:sz w:val="18"/>
          <w:szCs w:val="18"/>
        </w:rPr>
      </w:pPr>
      <w:r>
        <w:rPr>
          <w:rStyle w:val="FootnoteReference"/>
          <w:sz w:val="18"/>
          <w:szCs w:val="18"/>
        </w:rPr>
        <w:footnoteRef/>
      </w:r>
      <w:r>
        <w:rPr>
          <w:sz w:val="18"/>
          <w:szCs w:val="18"/>
          <w:lang w:val="en-US"/>
        </w:rPr>
        <w:t xml:space="preserve"> See Study "Access regimes for network investment and business models in Europe" SMART 2015/0002, Section 1.2.</w:t>
      </w:r>
    </w:p>
  </w:footnote>
  <w:footnote w:id="84">
    <w:p w:rsidR="005163E3" w:rsidRDefault="005163E3">
      <w:pPr>
        <w:pStyle w:val="FootnoteText"/>
        <w:ind w:left="0" w:firstLine="0"/>
        <w:jc w:val="left"/>
        <w:rPr>
          <w:sz w:val="18"/>
          <w:szCs w:val="18"/>
        </w:rPr>
      </w:pPr>
      <w:r>
        <w:rPr>
          <w:rStyle w:val="FootnoteReference"/>
          <w:sz w:val="18"/>
          <w:szCs w:val="18"/>
        </w:rPr>
        <w:footnoteRef/>
      </w:r>
      <w:r>
        <w:rPr>
          <w:sz w:val="18"/>
          <w:szCs w:val="18"/>
        </w:rPr>
        <w:t xml:space="preserve"> Ibidem, Section 5.1.</w:t>
      </w:r>
    </w:p>
  </w:footnote>
  <w:footnote w:id="85">
    <w:p w:rsidR="005163E3" w:rsidRDefault="005163E3">
      <w:pPr>
        <w:pStyle w:val="FootnoteText"/>
        <w:ind w:left="142" w:hanging="142"/>
        <w:rPr>
          <w:sz w:val="18"/>
          <w:szCs w:val="18"/>
        </w:rPr>
      </w:pPr>
      <w:r>
        <w:rPr>
          <w:rStyle w:val="FootnoteReference"/>
          <w:sz w:val="18"/>
          <w:szCs w:val="18"/>
        </w:rPr>
        <w:footnoteRef/>
      </w:r>
      <w:r>
        <w:rPr>
          <w:sz w:val="18"/>
          <w:szCs w:val="18"/>
        </w:rPr>
        <w:t xml:space="preserve"> The forecast is based on the extrapolation of the 16% bandwidth growth rate observed over recent years as measured by Akamai, this being combined with the forecast on technological capabilities </w:t>
      </w:r>
      <w:r>
        <w:rPr>
          <w:sz w:val="18"/>
          <w:szCs w:val="18"/>
          <w:lang w:val="en-US"/>
        </w:rPr>
        <w:t xml:space="preserve">According to Akamai, the average connection speed is low because of: (1) parallel requests, whereby an average webpage generates 90 requests for content; i.e. involving relatively small files as many components make up a webpage; each session being too short to ramp up to maximum speed; and (2) IP address sharing, whereby multiple devices use an internet connection with an unique IP address, with simultaneous requests sharing the available bandwidth. The average peak connection speed reflects the highest connection speeds from each unique IP address. Thereby it is representative of internet connection capacity. It reflects larger files, such as software updates occurring late at night. Source: </w:t>
      </w:r>
      <w:r>
        <w:rPr>
          <w:sz w:val="18"/>
          <w:szCs w:val="18"/>
        </w:rPr>
        <w:t>Akamai (2015). State of the Internet, 4Q-2014. Cambridge, MA.</w:t>
      </w:r>
      <w:r>
        <w:rPr>
          <w:sz w:val="18"/>
          <w:szCs w:val="18"/>
        </w:rPr>
        <w:tab/>
      </w:r>
    </w:p>
  </w:footnote>
  <w:footnote w:id="86">
    <w:p w:rsidR="005163E3" w:rsidRDefault="005163E3">
      <w:pPr>
        <w:pStyle w:val="FootnoteText"/>
        <w:ind w:left="142" w:hanging="142"/>
        <w:rPr>
          <w:sz w:val="18"/>
          <w:szCs w:val="18"/>
        </w:rPr>
      </w:pPr>
      <w:r>
        <w:rPr>
          <w:rStyle w:val="FootnoteReference"/>
          <w:sz w:val="18"/>
          <w:szCs w:val="18"/>
        </w:rPr>
        <w:footnoteRef/>
      </w:r>
      <w:r>
        <w:rPr>
          <w:sz w:val="18"/>
          <w:szCs w:val="18"/>
        </w:rPr>
        <w:t xml:space="preserve"> Fibre-to-the-Distribution-Point – i.e. somewhere between Fibre-to-the-Node (FTTN) and Fibre-to-the-Home (FTTH).</w:t>
      </w:r>
    </w:p>
  </w:footnote>
  <w:footnote w:id="87">
    <w:p w:rsidR="005163E3" w:rsidRDefault="005163E3">
      <w:pPr>
        <w:pStyle w:val="FootnoteText"/>
        <w:ind w:left="120" w:hanging="120"/>
        <w:rPr>
          <w:sz w:val="18"/>
          <w:szCs w:val="18"/>
          <w:lang w:val="en-US"/>
        </w:rPr>
      </w:pPr>
      <w:r>
        <w:rPr>
          <w:rStyle w:val="FootnoteReference"/>
          <w:sz w:val="18"/>
          <w:szCs w:val="18"/>
        </w:rPr>
        <w:footnoteRef/>
      </w:r>
      <w:r>
        <w:rPr>
          <w:sz w:val="18"/>
          <w:szCs w:val="18"/>
        </w:rPr>
        <w:t xml:space="preserve"> </w:t>
      </w:r>
      <w:r>
        <w:rPr>
          <w:sz w:val="18"/>
          <w:szCs w:val="18"/>
          <w:lang w:val="en-US"/>
        </w:rPr>
        <w:t>Standard employed by many cable television operators to provide Internet access over their existing hybrid fibre-coaxial (HFC) infrastructure.</w:t>
      </w:r>
    </w:p>
  </w:footnote>
  <w:footnote w:id="88">
    <w:p w:rsidR="005163E3" w:rsidRDefault="005163E3">
      <w:pPr>
        <w:pStyle w:val="FootnoteText"/>
        <w:rPr>
          <w:sz w:val="18"/>
          <w:szCs w:val="18"/>
        </w:rPr>
      </w:pPr>
      <w:r>
        <w:rPr>
          <w:rStyle w:val="FootnoteReference"/>
          <w:sz w:val="18"/>
          <w:szCs w:val="18"/>
        </w:rPr>
        <w:footnoteRef/>
      </w:r>
      <w:r>
        <w:rPr>
          <w:sz w:val="18"/>
          <w:szCs w:val="18"/>
        </w:rPr>
        <w:t xml:space="preserve"> See </w:t>
      </w:r>
      <w:r>
        <w:rPr>
          <w:sz w:val="18"/>
          <w:szCs w:val="18"/>
          <w:lang w:val="en-US"/>
        </w:rPr>
        <w:t>Study "Access regimes for network investment and business models in Europe" Smart 2015/0002, Section 1.2.</w:t>
      </w:r>
    </w:p>
  </w:footnote>
  <w:footnote w:id="89">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for a discussion of pan-European network deployments during the euphoric period and the consolidation in the aftermath of the crash Lemstra, W. (2006). Dissertation: The Internet bubble and the impact on the development path of the telecommunication sector. Department Technology, Policy and Management. Delft, the Netherlands: TU Delft. </w:t>
      </w:r>
    </w:p>
  </w:footnote>
  <w:footnote w:id="90">
    <w:p w:rsidR="005163E3" w:rsidRDefault="005163E3">
      <w:pPr>
        <w:pStyle w:val="FootnoteText"/>
        <w:ind w:left="142" w:hanging="142"/>
        <w:jc w:val="left"/>
        <w:rPr>
          <w:sz w:val="18"/>
          <w:szCs w:val="18"/>
        </w:rPr>
      </w:pPr>
      <w:r>
        <w:rPr>
          <w:rStyle w:val="FootnoteReference"/>
          <w:sz w:val="18"/>
          <w:szCs w:val="18"/>
        </w:rPr>
        <w:footnoteRef/>
      </w:r>
      <w:r>
        <w:rPr>
          <w:sz w:val="18"/>
          <w:szCs w:val="18"/>
        </w:rPr>
        <w:t>http://www.vodafone.com/content/dam/group/policy/downloads/Vodafone_Group_Call_for_the_Gigabit_SocietyFV.pdf</w:t>
      </w:r>
    </w:p>
  </w:footnote>
  <w:footnote w:id="91">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Serving 128 customers per splitter.</w:t>
      </w:r>
    </w:p>
  </w:footnote>
  <w:footnote w:id="92">
    <w:p w:rsidR="005163E3" w:rsidRDefault="005163E3">
      <w:pPr>
        <w:pStyle w:val="FootnoteText"/>
        <w:ind w:left="120" w:hanging="120"/>
        <w:rPr>
          <w:sz w:val="18"/>
          <w:szCs w:val="18"/>
        </w:rPr>
      </w:pPr>
      <w:r>
        <w:rPr>
          <w:rStyle w:val="FootnoteReference"/>
          <w:sz w:val="18"/>
          <w:szCs w:val="18"/>
        </w:rPr>
        <w:footnoteRef/>
      </w:r>
      <w:r>
        <w:rPr>
          <w:sz w:val="18"/>
          <w:szCs w:val="18"/>
        </w:rPr>
        <w:t xml:space="preserve"> For a description of the Stockholm municipality fibre network Stokab, the role of housing corporations, initiatives in Swedish municipalities including rural communities and an example of regional coordination, see Section 1.3 of the Annex in Study SMART 2015/0002, see footnote 12.</w:t>
      </w:r>
    </w:p>
  </w:footnote>
  <w:footnote w:id="93">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Chapter 7 </w:t>
      </w:r>
      <w:r>
        <w:rPr>
          <w:i/>
          <w:sz w:val="18"/>
          <w:szCs w:val="18"/>
        </w:rPr>
        <w:t xml:space="preserve">Sweden </w:t>
      </w:r>
      <w:r>
        <w:rPr>
          <w:sz w:val="18"/>
          <w:szCs w:val="18"/>
        </w:rPr>
        <w:t>by Forzati and Mattson in Lemstra, W. &amp; W. H. Melody (Eds). The dynamics of broadband markets in Europe: Realizing the 2020 Digital Agenda. Cambridge: Cambridge University Press.</w:t>
      </w:r>
    </w:p>
  </w:footnote>
  <w:footnote w:id="94">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Chapter 4 </w:t>
      </w:r>
      <w:r>
        <w:rPr>
          <w:i/>
          <w:sz w:val="18"/>
          <w:szCs w:val="18"/>
        </w:rPr>
        <w:t>The Netherlands</w:t>
      </w:r>
      <w:r>
        <w:rPr>
          <w:sz w:val="18"/>
          <w:szCs w:val="18"/>
        </w:rPr>
        <w:t xml:space="preserve"> by Lemstra in Lemstra, W. &amp; W.H. Melody (2015). “The dynamics of broadband markets in Europe – Realizing the 2020 Digital Agenda”. </w:t>
      </w:r>
      <w:r>
        <w:rPr>
          <w:sz w:val="18"/>
          <w:szCs w:val="18"/>
        </w:rPr>
        <w:fldChar w:fldCharType="begin"/>
      </w:r>
      <w:r>
        <w:rPr>
          <w:sz w:val="18"/>
          <w:szCs w:val="18"/>
        </w:rPr>
        <w:instrText xml:space="preserve"> ADDIN EN.CITE &lt;EndNote&gt;&lt;Cite&gt;&lt;Author&gt;Lemstra&lt;/Author&gt;&lt;Year&gt;2015&lt;/Year&gt;&lt;RecNum&gt;2932&lt;/RecNum&gt;&lt;DisplayText&gt;(Lemstra &amp;amp; Melody, 2015)&lt;/DisplayText&gt;&lt;record&gt;&lt;rec-number&gt;2932&lt;/rec-number&gt;&lt;foreign-keys&gt;&lt;key app="EN" db-id="555prw9r82edt3ep9xsp92py0rt25f9xr2fx"&gt;2932&lt;/key&gt;&lt;/foreign-keys&gt;&lt;ref-type name="Edited Book"&gt;28&lt;/ref-type&gt;&lt;contributors&gt;&lt;authors&gt;&lt;author&gt;Lemstra, W.&lt;/author&gt;&lt;author&gt;Melody, W.H.&lt;/author&gt;&lt;/authors&gt;&lt;/contributors&gt;&lt;titles&gt;&lt;title&gt;The dynamics of broadband markets in Europe - Realizing the 2020 Digital Agenda&lt;/title&gt;&lt;/titles&gt;&lt;dates&gt;&lt;year&gt;2015&lt;/year&gt;&lt;/dates&gt;&lt;pub-location&gt;Cambridge, UK&lt;/pub-location&gt;&lt;publisher&gt;Cambridge University Press&lt;/publisher&gt;&lt;urls&gt;&lt;/urls&gt;&lt;/record&gt;&lt;/Cite&gt;&lt;/EndNote&gt;</w:instrText>
      </w:r>
      <w:r>
        <w:rPr>
          <w:sz w:val="18"/>
          <w:szCs w:val="18"/>
        </w:rPr>
        <w:fldChar w:fldCharType="separate"/>
      </w:r>
      <w:r>
        <w:rPr>
          <w:sz w:val="18"/>
          <w:szCs w:val="18"/>
        </w:rPr>
        <w:t>Cambridge University Press.</w:t>
      </w:r>
      <w:r>
        <w:rPr>
          <w:sz w:val="18"/>
          <w:szCs w:val="18"/>
        </w:rPr>
        <w:fldChar w:fldCharType="end"/>
      </w:r>
    </w:p>
  </w:footnote>
  <w:footnote w:id="95">
    <w:p w:rsidR="005163E3" w:rsidRDefault="005163E3">
      <w:pPr>
        <w:pStyle w:val="FootnoteText"/>
        <w:ind w:left="142" w:hanging="142"/>
        <w:rPr>
          <w:sz w:val="18"/>
          <w:szCs w:val="18"/>
        </w:rPr>
      </w:pPr>
      <w:r>
        <w:rPr>
          <w:rStyle w:val="FootnoteReference"/>
          <w:sz w:val="18"/>
          <w:szCs w:val="18"/>
        </w:rPr>
        <w:footnoteRef/>
      </w:r>
      <w:r>
        <w:rPr>
          <w:sz w:val="18"/>
          <w:szCs w:val="18"/>
        </w:rPr>
        <w:t xml:space="preserve"> See Chapter 15 </w:t>
      </w:r>
      <w:r>
        <w:rPr>
          <w:i/>
          <w:sz w:val="18"/>
          <w:szCs w:val="18"/>
        </w:rPr>
        <w:t>Latvia</w:t>
      </w:r>
      <w:r>
        <w:rPr>
          <w:sz w:val="18"/>
          <w:szCs w:val="18"/>
        </w:rPr>
        <w:t xml:space="preserve"> by Virtmanis and Karnitis in Lemstra, W. &amp; W.H. Melody (2015). “The dynamics of broadband markets in Europe – Realizing the 2020 Digital Agenda”. </w:t>
      </w:r>
      <w:r>
        <w:rPr>
          <w:sz w:val="18"/>
          <w:szCs w:val="18"/>
        </w:rPr>
        <w:fldChar w:fldCharType="begin"/>
      </w:r>
      <w:r>
        <w:rPr>
          <w:sz w:val="18"/>
          <w:szCs w:val="18"/>
        </w:rPr>
        <w:instrText xml:space="preserve"> ADDIN EN.CITE &lt;EndNote&gt;&lt;Cite&gt;&lt;Author&gt;Lemstra&lt;/Author&gt;&lt;Year&gt;2015&lt;/Year&gt;&lt;RecNum&gt;2932&lt;/RecNum&gt;&lt;DisplayText&gt;(Lemstra &amp;amp; Melody, 2015)&lt;/DisplayText&gt;&lt;record&gt;&lt;rec-number&gt;2932&lt;/rec-number&gt;&lt;foreign-keys&gt;&lt;key app="EN" db-id="555prw9r82edt3ep9xsp92py0rt25f9xr2fx"&gt;2932&lt;/key&gt;&lt;/foreign-keys&gt;&lt;ref-type name="Edited Book"&gt;28&lt;/ref-type&gt;&lt;contributors&gt;&lt;authors&gt;&lt;author&gt;Lemstra, W.&lt;/author&gt;&lt;author&gt;Melody, W.H.&lt;/author&gt;&lt;/authors&gt;&lt;/contributors&gt;&lt;titles&gt;&lt;title&gt;The dynamics of broadband markets in Europe - Realizing the 2020 Digital Agenda&lt;/title&gt;&lt;/titles&gt;&lt;dates&gt;&lt;year&gt;2015&lt;/year&gt;&lt;/dates&gt;&lt;pub-location&gt;Cambridge, UK&lt;/pub-location&gt;&lt;publisher&gt;Cambridge University Press&lt;/publisher&gt;&lt;urls&gt;&lt;/urls&gt;&lt;/record&gt;&lt;/Cite&gt;&lt;/EndNote&gt;</w:instrText>
      </w:r>
      <w:r>
        <w:rPr>
          <w:sz w:val="18"/>
          <w:szCs w:val="18"/>
        </w:rPr>
        <w:fldChar w:fldCharType="separate"/>
      </w:r>
      <w:r>
        <w:rPr>
          <w:sz w:val="18"/>
          <w:szCs w:val="18"/>
        </w:rPr>
        <w:t>Cambridge University Press.)</w:t>
      </w:r>
      <w:r>
        <w:rPr>
          <w:sz w:val="18"/>
          <w:szCs w:val="18"/>
        </w:rPr>
        <w:fldChar w:fldCharType="end"/>
      </w:r>
      <w:r>
        <w:rPr>
          <w:sz w:val="18"/>
          <w:szCs w:val="18"/>
        </w:rPr>
        <w:t xml:space="preserve"> As well as. Rood, H. (2010). Very high speed broadband deployment in Europe: The Netherlands and Bulgaria compared. Telecom Policy Research Conference, Arlington, VA: TPRC.</w:t>
      </w:r>
    </w:p>
  </w:footnote>
  <w:footnote w:id="96">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Research done by e.g. Ericsson, FTTH Council and ITU.</w:t>
      </w:r>
    </w:p>
  </w:footnote>
  <w:footnote w:id="97">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As Golio observed: “</w:t>
      </w:r>
      <w:r>
        <w:rPr>
          <w:i/>
          <w:sz w:val="18"/>
          <w:szCs w:val="18"/>
        </w:rPr>
        <w:t>In digital systems, the fundamental unit of electrical design is the bit. Any bit will work as long as the difference between the ‘1’state and the ‘0’ state can be distinguished as scaling reduces the size of devices, no fundamental change in electronic design is required. In contrast, the fundamental unit of RF/wireless systems design is the Watt. A specific amount of power is required from the transmitter in order to achieve link margin at the receiver the required power level is not nearly as scalable as the bit</w:t>
      </w:r>
      <w:r>
        <w:rPr>
          <w:sz w:val="18"/>
          <w:szCs w:val="18"/>
        </w:rPr>
        <w:t xml:space="preserve">.” Source: Golio, M. (2015). "Fifty years of Moore's Law." </w:t>
      </w:r>
      <w:r>
        <w:rPr>
          <w:sz w:val="18"/>
          <w:szCs w:val="18"/>
          <w:u w:val="single"/>
        </w:rPr>
        <w:t>Proceedings of the IEEE</w:t>
      </w:r>
      <w:r>
        <w:rPr>
          <w:sz w:val="18"/>
          <w:szCs w:val="18"/>
        </w:rPr>
        <w:t xml:space="preserve"> </w:t>
      </w:r>
      <w:r>
        <w:rPr>
          <w:i/>
          <w:sz w:val="18"/>
          <w:szCs w:val="18"/>
        </w:rPr>
        <w:t>103</w:t>
      </w:r>
      <w:r>
        <w:rPr>
          <w:sz w:val="18"/>
          <w:szCs w:val="18"/>
        </w:rPr>
        <w:t>(10): 1932-1937.</w:t>
      </w:r>
      <w:r>
        <w:rPr>
          <w:sz w:val="18"/>
          <w:szCs w:val="18"/>
        </w:rPr>
        <w:tab/>
      </w:r>
    </w:p>
  </w:footnote>
  <w:footnote w:id="98">
    <w:p w:rsidR="005163E3" w:rsidRDefault="005163E3">
      <w:pPr>
        <w:pStyle w:val="FootnoteText"/>
        <w:ind w:left="142" w:hanging="142"/>
        <w:jc w:val="left"/>
        <w:rPr>
          <w:sz w:val="18"/>
          <w:szCs w:val="18"/>
        </w:rPr>
      </w:pPr>
      <w:r>
        <w:rPr>
          <w:rStyle w:val="FootnoteReference"/>
          <w:sz w:val="18"/>
          <w:szCs w:val="18"/>
        </w:rPr>
        <w:footnoteRef/>
      </w:r>
      <w:r>
        <w:rPr>
          <w:sz w:val="18"/>
          <w:szCs w:val="18"/>
        </w:rPr>
        <w:t xml:space="preserve"> Commission Staff Working Document 5G Global Developments COM(2016)</w:t>
      </w:r>
      <w:r>
        <w:rPr>
          <w:sz w:val="18"/>
          <w:szCs w:val="18"/>
          <w:highlight w:val="yellow"/>
        </w:rPr>
        <w:t>XXXX</w:t>
      </w:r>
      <w:r>
        <w:rPr>
          <w:sz w:val="18"/>
          <w:szCs w:val="18"/>
        </w:rPr>
        <w:t xml:space="preserve"> final.</w:t>
      </w:r>
    </w:p>
  </w:footnote>
  <w:footnote w:id="99">
    <w:p w:rsidR="005163E3" w:rsidRDefault="005163E3">
      <w:pPr>
        <w:pStyle w:val="FootnoteText"/>
        <w:ind w:left="120" w:hanging="120"/>
        <w:jc w:val="left"/>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COM(2016) </w:t>
      </w:r>
      <w:r>
        <w:rPr>
          <w:sz w:val="18"/>
          <w:szCs w:val="18"/>
          <w:highlight w:val="yellow"/>
        </w:rPr>
        <w:t>XXX</w:t>
      </w:r>
      <w:r>
        <w:rPr>
          <w:sz w:val="18"/>
          <w:szCs w:val="18"/>
        </w:rPr>
        <w:t xml:space="preserve"> final, 5G for Europe: An Action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A5" w:rsidRPr="00350CA5" w:rsidRDefault="00350CA5" w:rsidP="00350C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A5" w:rsidRPr="00350CA5" w:rsidRDefault="00350CA5" w:rsidP="00350CA5">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CA5" w:rsidRPr="00350CA5" w:rsidRDefault="00350CA5" w:rsidP="00350CA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Header"/>
      <w:tabs>
        <w:tab w:val="clear" w:pos="4253"/>
        <w:tab w:val="clear" w:pos="8505"/>
        <w:tab w:val="left" w:pos="366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Header"/>
      <w:tabs>
        <w:tab w:val="clear" w:pos="4253"/>
        <w:tab w:val="clear" w:pos="8505"/>
        <w:tab w:val="left" w:pos="3660"/>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E3" w:rsidRDefault="005163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5"/>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360"/>
        </w:tabs>
        <w:ind w:left="43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
    <w:nsid w:val="00B253AD"/>
    <w:multiLevelType w:val="multilevel"/>
    <w:tmpl w:val="90EE97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0B25E24"/>
    <w:multiLevelType w:val="hybridMultilevel"/>
    <w:tmpl w:val="C972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5410B4"/>
    <w:multiLevelType w:val="hybridMultilevel"/>
    <w:tmpl w:val="0F1CF168"/>
    <w:lvl w:ilvl="0" w:tplc="9EE2B298">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1F71EBC"/>
    <w:multiLevelType w:val="multilevel"/>
    <w:tmpl w:val="087CD1B4"/>
    <w:styleLink w:val="Style1import"/>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920" w:hanging="84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880" w:hanging="9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lvlText w:val="%1.%2.%3.%4.(%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lvlText w:val="%1.%2.%3.%4.(%5)(%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lvlText w:val="%1.%2.%3.%4.(%5)(%6)%7.%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lvlText w:val="%1.%2.%3.%4.(%5)(%6)%7.%8.%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08474E6A"/>
    <w:multiLevelType w:val="hybridMultilevel"/>
    <w:tmpl w:val="DED4EFE6"/>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95B127A"/>
    <w:multiLevelType w:val="hybridMultilevel"/>
    <w:tmpl w:val="3096630A"/>
    <w:lvl w:ilvl="0" w:tplc="04090001">
      <w:numFmt w:val="bullet"/>
      <w:lvlText w:val="-"/>
      <w:lvlJc w:val="left"/>
      <w:pPr>
        <w:ind w:left="360" w:hanging="360"/>
      </w:pPr>
      <w:rPr>
        <w:rFonts w:ascii="Times New Roman" w:eastAsia="Arial Unicode M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B351F9"/>
    <w:multiLevelType w:val="hybridMultilevel"/>
    <w:tmpl w:val="0D4218F8"/>
    <w:lvl w:ilvl="0" w:tplc="1830500A">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E4E4BED"/>
    <w:multiLevelType w:val="hybridMultilevel"/>
    <w:tmpl w:val="301A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5E28BB"/>
    <w:multiLevelType w:val="multilevel"/>
    <w:tmpl w:val="9FC025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3C325DD"/>
    <w:multiLevelType w:val="hybridMultilevel"/>
    <w:tmpl w:val="7F2E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0565A8"/>
    <w:multiLevelType w:val="multilevel"/>
    <w:tmpl w:val="CE947D06"/>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2FCB455D"/>
    <w:multiLevelType w:val="hybridMultilevel"/>
    <w:tmpl w:val="8C88A718"/>
    <w:lvl w:ilvl="0" w:tplc="1BF88130">
      <w:start w:val="1"/>
      <w:numFmt w:val="bullet"/>
      <w:pStyle w:val="ListBullet"/>
      <w:lvlText w:val="•"/>
      <w:lvlJc w:val="left"/>
      <w:pPr>
        <w:tabs>
          <w:tab w:val="num" w:pos="357"/>
        </w:tabs>
        <w:ind w:left="709" w:hanging="352"/>
      </w:pPr>
      <w:rPr>
        <w:rFonts w:ascii="ZapfChancery" w:hAnsi="ZapfChancery"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7167C72"/>
    <w:multiLevelType w:val="multilevel"/>
    <w:tmpl w:val="D0749C96"/>
    <w:lvl w:ilvl="0">
      <w:start w:val="1"/>
      <w:numFmt w:val="bullet"/>
      <w:lvlText w:val=""/>
      <w:lvlJc w:val="left"/>
      <w:pPr>
        <w:ind w:left="360" w:hanging="360"/>
      </w:pPr>
      <w:rPr>
        <w:rFonts w:ascii="Symbol" w:hAnsi="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08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4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180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16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288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3240" w:hanging="360"/>
      </w:pPr>
      <w:rP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434B5AB2"/>
    <w:multiLevelType w:val="hybridMultilevel"/>
    <w:tmpl w:val="5E00982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466D8D"/>
    <w:multiLevelType w:val="multilevel"/>
    <w:tmpl w:val="0EC02B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7">
    <w:nsid w:val="5D7407D6"/>
    <w:multiLevelType w:val="hybridMultilevel"/>
    <w:tmpl w:val="85441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4FF5AD8"/>
    <w:multiLevelType w:val="hybridMultilevel"/>
    <w:tmpl w:val="F7BEE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78114DB"/>
    <w:multiLevelType w:val="hybridMultilevel"/>
    <w:tmpl w:val="79201DF8"/>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8222452"/>
    <w:multiLevelType w:val="hybridMultilevel"/>
    <w:tmpl w:val="22E07458"/>
    <w:lvl w:ilvl="0" w:tplc="448E7292">
      <w:start w:val="1"/>
      <w:numFmt w:val="bullet"/>
      <w:pStyle w:val="Spiegelstrich"/>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FB9669E"/>
    <w:multiLevelType w:val="hybridMultilevel"/>
    <w:tmpl w:val="FD208148"/>
    <w:lvl w:ilvl="0" w:tplc="08090001">
      <w:start w:val="1"/>
      <w:numFmt w:val="bullet"/>
      <w:lvlText w:val=""/>
      <w:lvlJc w:val="left"/>
      <w:pPr>
        <w:ind w:left="720" w:hanging="360"/>
      </w:pPr>
      <w:rPr>
        <w:rFonts w:ascii="Symbol" w:hAnsi="Symbol" w:hint="default"/>
      </w:rPr>
    </w:lvl>
    <w:lvl w:ilvl="1" w:tplc="28ACB558">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C72E1E"/>
    <w:multiLevelType w:val="hybridMultilevel"/>
    <w:tmpl w:val="0172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304388"/>
    <w:multiLevelType w:val="multilevel"/>
    <w:tmpl w:val="85C089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7FC049A3"/>
    <w:multiLevelType w:val="hybridMultilevel"/>
    <w:tmpl w:val="7E40C5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1"/>
  </w:num>
  <w:num w:numId="3">
    <w:abstractNumId w:val="12"/>
  </w:num>
  <w:num w:numId="4">
    <w:abstractNumId w:val="20"/>
  </w:num>
  <w:num w:numId="5">
    <w:abstractNumId w:val="4"/>
  </w:num>
  <w:num w:numId="6">
    <w:abstractNumId w:val="16"/>
  </w:num>
  <w:num w:numId="7">
    <w:abstractNumId w:val="2"/>
  </w:num>
  <w:num w:numId="8">
    <w:abstractNumId w:val="24"/>
  </w:num>
  <w:num w:numId="9">
    <w:abstractNumId w:val="3"/>
  </w:num>
  <w:num w:numId="10">
    <w:abstractNumId w:val="13"/>
  </w:num>
  <w:num w:numId="11">
    <w:abstractNumId w:val="6"/>
  </w:num>
  <w:num w:numId="12">
    <w:abstractNumId w:val="7"/>
  </w:num>
  <w:num w:numId="13">
    <w:abstractNumId w:val="9"/>
  </w:num>
  <w:num w:numId="14">
    <w:abstractNumId w:val="5"/>
  </w:num>
  <w:num w:numId="15">
    <w:abstractNumId w:val="19"/>
  </w:num>
  <w:num w:numId="16">
    <w:abstractNumId w:val="14"/>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num>
  <w:num w:numId="29">
    <w:abstractNumId w:val="10"/>
  </w:num>
  <w:num w:numId="30">
    <w:abstractNumId w:val="21"/>
  </w:num>
  <w:num w:numId="31">
    <w:abstractNumId w:val="23"/>
  </w:num>
  <w:num w:numId="32">
    <w:abstractNumId w:val="22"/>
  </w:num>
  <w:num w:numId="33">
    <w:abstractNumId w:val="1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7"/>
  </w:num>
  <w:num w:numId="4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removePersonalInformation/>
  <w:removeDateAndTime/>
  <w:hideSpellingErrors/>
  <w:hideGrammaticalErrors/>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67CFE39636E64E93935331F5C093122D"/>
    <w:docVar w:name="LW_CROSSREFERENCE" w:val="{COM(2016) 587 final}"/>
    <w:docVar w:name="LW_DocType" w:val="NORMAL"/>
    <w:docVar w:name="LW_EMISSION" w:val="14.9.2016"/>
    <w:docVar w:name="LW_EMISSION_ISODATE" w:val="2016-09-14"/>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Connectivity for a Competitive Digital Single Market - Towards a European Gigabit Society"/>
    <w:docVar w:name="LW_PART_NBR" w:val="1"/>
    <w:docVar w:name="LW_PART_NBR_TOTAL" w:val="1"/>
    <w:docVar w:name="LW_REF.INST.NEW" w:val="SWD"/>
    <w:docVar w:name="LW_REF.INST.NEW_ADOPTED" w:val="&lt;EMPTY&gt;"/>
    <w:docVar w:name="LW_REF.INST.NEW_TEXT" w:val="(2016) 300 final"/>
    <w:docVar w:name="LW_REF.INTERNE" w:val="&lt;UNUSED&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4C7085"/>
    <w:rsid w:val="000533C7"/>
    <w:rsid w:val="00256B9A"/>
    <w:rsid w:val="00282DC5"/>
    <w:rsid w:val="00350CA5"/>
    <w:rsid w:val="004C7085"/>
    <w:rsid w:val="005163E3"/>
    <w:rsid w:val="008D7EFD"/>
    <w:rsid w:val="00A32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style>
  <w:style w:type="paragraph" w:styleId="Heading1">
    <w:name w:val="heading 1"/>
    <w:aliases w:val="h1"/>
    <w:basedOn w:val="Normal"/>
    <w:next w:val="Normal"/>
    <w:link w:val="Heading1Char"/>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l2,list + change bar,???,heading 2,h21,Titre 2"/>
    <w:basedOn w:val="Normal"/>
    <w:next w:val="Normal"/>
    <w:link w:val="Heading2Char"/>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1,h3,3,heading 3,Underrubrik2,Titre 3"/>
    <w:basedOn w:val="Normal"/>
    <w:next w:val="Normal"/>
    <w:link w:val="Heading3Char"/>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1,h4"/>
    <w:basedOn w:val="Normal"/>
    <w:next w:val="Normal"/>
    <w:link w:val="Heading4Char"/>
    <w:unhideWhenUsed/>
    <w:qFormat/>
    <w:pPr>
      <w:spacing w:after="120" w:line="240" w:lineRule="auto"/>
      <w:jc w:val="both"/>
      <w:outlineLvl w:val="3"/>
    </w:pPr>
    <w:rPr>
      <w:rFonts w:ascii="Times New Roman" w:hAnsi="Times New Roman" w:cs="Times New Roman"/>
      <w:i/>
      <w:sz w:val="24"/>
      <w:u w:val="single"/>
      <w:lang w:val="en-US"/>
    </w:rPr>
  </w:style>
  <w:style w:type="paragraph" w:styleId="Heading5">
    <w:name w:val="heading 5"/>
    <w:basedOn w:val="Normal"/>
    <w:next w:val="Normal"/>
    <w:link w:val="Heading5Char"/>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l2 Char,list + change bar Char,??? Char,heading 2 Char,h21 Char,Titre 2 Char"/>
    <w:basedOn w:val="DefaultParagraphFont"/>
    <w:link w:val="Heading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1 Char,h3 Char,3 Char,heading 3 Char,Underrubrik2 Char,Titre 3 Char"/>
    <w:basedOn w:val="DefaultParagraphFont"/>
    <w:link w:val="Heading3"/>
    <w:rPr>
      <w:rFonts w:asciiTheme="majorHAnsi" w:eastAsiaTheme="majorEastAsia" w:hAnsiTheme="majorHAnsi" w:cstheme="majorBidi"/>
      <w:b/>
      <w:bCs/>
      <w:color w:val="4F81BD" w:themeColor="accent1"/>
    </w:rPr>
  </w:style>
  <w:style w:type="character" w:customStyle="1" w:styleId="Heading4Char">
    <w:name w:val="Heading 4 Char"/>
    <w:aliases w:val="h41 Char,h4 Char"/>
    <w:basedOn w:val="DefaultParagraphFont"/>
    <w:link w:val="Heading4"/>
    <w:rPr>
      <w:rFonts w:ascii="Times New Roman" w:hAnsi="Times New Roman" w:cs="Times New Roman"/>
      <w:i/>
      <w:sz w:val="24"/>
      <w:u w:val="single"/>
      <w:lang w:val="en-US"/>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rPr>
  </w:style>
  <w:style w:type="paragraph" w:styleId="FootnoteText">
    <w:name w:val="footnote text"/>
    <w:aliases w:val="Footnote Text3 Char,Footnote Text12 Char,ALTS FOOTNOTE12 Char,Footnote Text Char112 Char,Footnote Text Char Char Char12 Char,Footnote Text Char1 Char Char Char Char12 Char,Footnote Text Char1 Char Char Char12 Char,Footnote Text3,fn,f,Plonk"/>
    <w:basedOn w:val="Normal"/>
    <w:link w:val="FootnoteTextChar"/>
    <w:uiPriority w:val="99"/>
    <w:unhideWhenUsed/>
    <w:qFormat/>
    <w:pPr>
      <w:spacing w:after="0" w:line="240" w:lineRule="auto"/>
      <w:ind w:left="720" w:hanging="720"/>
      <w:jc w:val="both"/>
    </w:pPr>
    <w:rPr>
      <w:rFonts w:ascii="Times New Roman" w:hAnsi="Times New Roman" w:cs="Times New Roman"/>
      <w:sz w:val="20"/>
      <w:szCs w:val="20"/>
    </w:rPr>
  </w:style>
  <w:style w:type="character" w:customStyle="1" w:styleId="FootnoteTextChar">
    <w:name w:val="Footnote Text Char"/>
    <w:aliases w:val="Footnote Text3 Char Char,Footnote Text12 Char Char,ALTS FOOTNOTE12 Char Char,Footnote Text Char112 Char Char,Footnote Text Char Char Char12 Char Char,Footnote Text Char1 Char Char Char Char12 Char Char,Footnote Text3 Char1,fn Char"/>
    <w:basedOn w:val="DefaultParagraphFont"/>
    <w:link w:val="FootnoteText"/>
    <w:uiPriority w:val="99"/>
    <w:rPr>
      <w:rFonts w:ascii="Times New Roman" w:hAnsi="Times New Roman" w:cs="Times New Roman"/>
      <w:sz w:val="20"/>
      <w:szCs w:val="20"/>
    </w:rPr>
  </w:style>
  <w:style w:type="character" w:styleId="FootnoteReference">
    <w:name w:val="footnote reference"/>
    <w:aliases w:val="Nota,fr,o,Style 6,(NECG) Footnote Reference,Footnote,Footnote symbol,Voetnootverwijzing,Appel note de bas de p,Style 12,Style 124,Footnote number,Footnotemark,FR,Footnotemark1,Footnotemark2,FR1,Footnotemark3,FR2,Footnotemark4,FR3,FR4"/>
    <w:basedOn w:val="DefaultParagraphFont"/>
    <w:link w:val="FootnoteReferenceNumber"/>
    <w:uiPriority w:val="99"/>
    <w:unhideWhenUsed/>
    <w:qFormat/>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before="120" w:after="12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stylish"/>
    <w:basedOn w:val="Normal"/>
    <w:link w:val="FootnoteReference"/>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Indent">
    <w:name w:val="Normal Indent"/>
    <w:basedOn w:val="Normal"/>
    <w:uiPriority w:val="99"/>
    <w:pPr>
      <w:spacing w:after="240" w:line="312" w:lineRule="atLeast"/>
      <w:ind w:left="568"/>
      <w:jc w:val="both"/>
    </w:pPr>
    <w:rPr>
      <w:rFonts w:ascii="Arial" w:eastAsia="Times New Roman" w:hAnsi="Arial" w:cs="Times New Roman"/>
      <w:szCs w:val="20"/>
      <w:lang w:eastAsia="de-DE"/>
    </w:rPr>
  </w:style>
  <w:style w:type="paragraph" w:styleId="TOC2">
    <w:name w:val="toc 2"/>
    <w:basedOn w:val="Normal"/>
    <w:next w:val="Normal"/>
    <w:uiPriority w:val="39"/>
    <w:qFormat/>
    <w:pPr>
      <w:tabs>
        <w:tab w:val="right" w:pos="8505"/>
      </w:tabs>
      <w:spacing w:after="120" w:line="312" w:lineRule="atLeast"/>
      <w:ind w:left="709" w:hanging="425"/>
    </w:pPr>
    <w:rPr>
      <w:rFonts w:ascii="Arial" w:eastAsia="Times New Roman" w:hAnsi="Arial" w:cs="Times New Roman"/>
      <w:sz w:val="20"/>
      <w:szCs w:val="20"/>
      <w:lang w:eastAsia="de-DE"/>
    </w:rPr>
  </w:style>
  <w:style w:type="paragraph" w:styleId="TOC1">
    <w:name w:val="toc 1"/>
    <w:basedOn w:val="Normal"/>
    <w:next w:val="Normal"/>
    <w:uiPriority w:val="39"/>
    <w:qFormat/>
    <w:pPr>
      <w:tabs>
        <w:tab w:val="right" w:pos="8505"/>
      </w:tabs>
      <w:spacing w:after="120" w:line="312" w:lineRule="atLeast"/>
      <w:ind w:left="284" w:hanging="284"/>
    </w:pPr>
    <w:rPr>
      <w:rFonts w:ascii="Arial" w:eastAsia="Times New Roman" w:hAnsi="Arial" w:cs="Times New Roman"/>
      <w:b/>
      <w:sz w:val="20"/>
      <w:szCs w:val="20"/>
      <w:lang w:eastAsia="de-DE"/>
    </w:rPr>
  </w:style>
  <w:style w:type="paragraph" w:styleId="TOC3">
    <w:name w:val="toc 3"/>
    <w:basedOn w:val="Normal"/>
    <w:next w:val="Normal"/>
    <w:uiPriority w:val="39"/>
    <w:qFormat/>
    <w:pPr>
      <w:tabs>
        <w:tab w:val="right" w:pos="8505"/>
      </w:tabs>
      <w:spacing w:after="120" w:line="312" w:lineRule="atLeast"/>
      <w:ind w:left="1276" w:hanging="567"/>
    </w:pPr>
    <w:rPr>
      <w:rFonts w:ascii="Arial" w:eastAsia="Times New Roman" w:hAnsi="Arial" w:cs="Times New Roman"/>
      <w:sz w:val="20"/>
      <w:szCs w:val="20"/>
      <w:lang w:eastAsia="de-DE"/>
    </w:rPr>
  </w:style>
  <w:style w:type="paragraph" w:styleId="TOC4">
    <w:name w:val="toc 4"/>
    <w:basedOn w:val="Normal"/>
    <w:next w:val="Normal"/>
    <w:uiPriority w:val="39"/>
    <w:pPr>
      <w:tabs>
        <w:tab w:val="right" w:pos="8505"/>
      </w:tabs>
      <w:spacing w:after="120" w:line="312" w:lineRule="atLeast"/>
      <w:ind w:left="1985" w:hanging="709"/>
    </w:pPr>
    <w:rPr>
      <w:rFonts w:ascii="Arial" w:eastAsia="Times New Roman" w:hAnsi="Arial" w:cs="Times New Roman"/>
      <w:sz w:val="20"/>
      <w:szCs w:val="20"/>
      <w:lang w:eastAsia="de-DE"/>
    </w:rPr>
  </w:style>
  <w:style w:type="paragraph" w:styleId="TOC5">
    <w:name w:val="toc 5"/>
    <w:basedOn w:val="Normal"/>
    <w:next w:val="Normal"/>
    <w:uiPriority w:val="39"/>
    <w:pPr>
      <w:tabs>
        <w:tab w:val="right" w:pos="8566"/>
      </w:tabs>
      <w:spacing w:after="120" w:line="312" w:lineRule="atLeast"/>
      <w:ind w:left="2977" w:hanging="992"/>
    </w:pPr>
    <w:rPr>
      <w:rFonts w:ascii="Arial" w:eastAsia="Times New Roman" w:hAnsi="Arial" w:cs="Times New Roman"/>
      <w:sz w:val="20"/>
      <w:szCs w:val="20"/>
      <w:lang w:eastAsia="de-DE"/>
    </w:rPr>
  </w:style>
  <w:style w:type="paragraph" w:styleId="TOC6">
    <w:name w:val="toc 6"/>
    <w:basedOn w:val="Normal"/>
    <w:next w:val="Normal"/>
    <w:uiPriority w:val="39"/>
    <w:pPr>
      <w:tabs>
        <w:tab w:val="right" w:leader="dot" w:pos="8566"/>
      </w:tabs>
      <w:spacing w:after="240" w:line="312" w:lineRule="atLeast"/>
      <w:ind w:left="1100"/>
      <w:jc w:val="both"/>
    </w:pPr>
    <w:rPr>
      <w:rFonts w:ascii="Arial" w:eastAsia="Times New Roman" w:hAnsi="Arial" w:cs="Times New Roman"/>
      <w:szCs w:val="20"/>
      <w:lang w:eastAsia="de-DE"/>
    </w:rPr>
  </w:style>
  <w:style w:type="paragraph" w:styleId="TOC7">
    <w:name w:val="toc 7"/>
    <w:basedOn w:val="Normal"/>
    <w:next w:val="Normal"/>
    <w:uiPriority w:val="39"/>
    <w:pPr>
      <w:tabs>
        <w:tab w:val="right" w:leader="dot" w:pos="8566"/>
      </w:tabs>
      <w:spacing w:after="240" w:line="312" w:lineRule="atLeast"/>
      <w:ind w:left="1320"/>
      <w:jc w:val="both"/>
    </w:pPr>
    <w:rPr>
      <w:rFonts w:ascii="Arial" w:eastAsia="Times New Roman" w:hAnsi="Arial" w:cs="Times New Roman"/>
      <w:szCs w:val="20"/>
      <w:lang w:eastAsia="de-DE"/>
    </w:rPr>
  </w:style>
  <w:style w:type="paragraph" w:styleId="TOC8">
    <w:name w:val="toc 8"/>
    <w:basedOn w:val="Normal"/>
    <w:next w:val="Normal"/>
    <w:uiPriority w:val="39"/>
    <w:pPr>
      <w:tabs>
        <w:tab w:val="right" w:leader="dot" w:pos="8566"/>
      </w:tabs>
      <w:spacing w:after="240" w:line="312" w:lineRule="atLeast"/>
      <w:ind w:left="1540"/>
      <w:jc w:val="both"/>
    </w:pPr>
    <w:rPr>
      <w:rFonts w:ascii="Arial" w:eastAsia="Times New Roman" w:hAnsi="Arial" w:cs="Times New Roman"/>
      <w:szCs w:val="20"/>
      <w:lang w:eastAsia="de-DE"/>
    </w:rPr>
  </w:style>
  <w:style w:type="paragraph" w:styleId="TOC9">
    <w:name w:val="toc 9"/>
    <w:basedOn w:val="Normal"/>
    <w:next w:val="Normal"/>
    <w:uiPriority w:val="39"/>
    <w:pPr>
      <w:tabs>
        <w:tab w:val="right" w:leader="dot" w:pos="8566"/>
      </w:tabs>
      <w:spacing w:after="240" w:line="312" w:lineRule="atLeast"/>
      <w:ind w:left="1760"/>
      <w:jc w:val="both"/>
    </w:pPr>
    <w:rPr>
      <w:rFonts w:ascii="Arial" w:eastAsia="Times New Roman" w:hAnsi="Arial" w:cs="Times New Roman"/>
      <w:szCs w:val="20"/>
      <w:lang w:eastAsia="de-DE"/>
    </w:rPr>
  </w:style>
  <w:style w:type="paragraph" w:styleId="Footer">
    <w:name w:val="footer"/>
    <w:basedOn w:val="Normal"/>
    <w:link w:val="FooterChar"/>
    <w:uiPriority w:val="99"/>
    <w:pPr>
      <w:tabs>
        <w:tab w:val="center" w:pos="4819"/>
        <w:tab w:val="right" w:pos="9071"/>
      </w:tabs>
      <w:spacing w:after="240" w:line="312" w:lineRule="atLeast"/>
      <w:jc w:val="both"/>
    </w:pPr>
    <w:rPr>
      <w:rFonts w:ascii="Arial" w:eastAsia="Times New Roman" w:hAnsi="Arial" w:cs="Times New Roman"/>
      <w:szCs w:val="20"/>
      <w:lang w:eastAsia="de-DE"/>
    </w:rPr>
  </w:style>
  <w:style w:type="character" w:customStyle="1" w:styleId="FooterChar">
    <w:name w:val="Footer Char"/>
    <w:basedOn w:val="DefaultParagraphFont"/>
    <w:link w:val="Footer"/>
    <w:uiPriority w:val="99"/>
    <w:rPr>
      <w:rFonts w:ascii="Arial" w:eastAsia="Times New Roman" w:hAnsi="Arial" w:cs="Times New Roman"/>
      <w:szCs w:val="20"/>
      <w:lang w:eastAsia="de-DE"/>
    </w:rPr>
  </w:style>
  <w:style w:type="paragraph" w:styleId="Header">
    <w:name w:val="header"/>
    <w:basedOn w:val="Normal"/>
    <w:link w:val="HeaderChar"/>
    <w:pPr>
      <w:tabs>
        <w:tab w:val="center" w:pos="4253"/>
        <w:tab w:val="right" w:pos="8505"/>
      </w:tabs>
      <w:spacing w:after="480" w:line="336" w:lineRule="atLeast"/>
      <w:jc w:val="both"/>
    </w:pPr>
    <w:rPr>
      <w:rFonts w:ascii="Arial" w:eastAsia="Times New Roman" w:hAnsi="Arial" w:cs="Times New Roman"/>
      <w:szCs w:val="20"/>
      <w:lang w:eastAsia="de-DE"/>
    </w:rPr>
  </w:style>
  <w:style w:type="character" w:customStyle="1" w:styleId="HeaderChar">
    <w:name w:val="Header Char"/>
    <w:basedOn w:val="DefaultParagraphFont"/>
    <w:link w:val="Header"/>
    <w:rPr>
      <w:rFonts w:ascii="Arial" w:eastAsia="Times New Roman" w:hAnsi="Arial" w:cs="Times New Roman"/>
      <w:szCs w:val="20"/>
      <w:lang w:eastAsia="de-DE"/>
    </w:rPr>
  </w:style>
  <w:style w:type="paragraph" w:customStyle="1" w:styleId="Abbberschrift">
    <w:name w:val="Abb_Überschrift"/>
    <w:basedOn w:val="Normal"/>
    <w:next w:val="Normal"/>
    <w:pPr>
      <w:keepNext/>
      <w:spacing w:before="120" w:after="120" w:line="312" w:lineRule="atLeast"/>
      <w:ind w:left="1418" w:hanging="1418"/>
    </w:pPr>
    <w:rPr>
      <w:rFonts w:ascii="Arial" w:eastAsia="Times New Roman" w:hAnsi="Arial" w:cs="Times New Roman"/>
      <w:szCs w:val="20"/>
      <w:lang w:eastAsia="de-DE"/>
    </w:rPr>
  </w:style>
  <w:style w:type="paragraph" w:customStyle="1" w:styleId="Spiegelstrich">
    <w:name w:val="Spiegelstrich"/>
    <w:basedOn w:val="Normal"/>
    <w:pPr>
      <w:numPr>
        <w:numId w:val="4"/>
      </w:numPr>
      <w:tabs>
        <w:tab w:val="left" w:pos="357"/>
      </w:tabs>
      <w:spacing w:after="240" w:line="312" w:lineRule="atLeast"/>
      <w:jc w:val="both"/>
    </w:pPr>
    <w:rPr>
      <w:rFonts w:ascii="Arial" w:eastAsia="Times New Roman" w:hAnsi="Arial" w:cs="Times New Roman"/>
      <w:szCs w:val="20"/>
      <w:lang w:eastAsia="de-DE"/>
    </w:rPr>
  </w:style>
  <w:style w:type="paragraph" w:customStyle="1" w:styleId="Zahlen">
    <w:name w:val="Zahlen"/>
    <w:basedOn w:val="Spiegelstrich"/>
    <w:pPr>
      <w:numPr>
        <w:numId w:val="0"/>
      </w:numPr>
    </w:pPr>
  </w:style>
  <w:style w:type="paragraph" w:styleId="Bibliography">
    <w:name w:val="Bibliography"/>
    <w:basedOn w:val="Normal"/>
    <w:pPr>
      <w:spacing w:after="240" w:line="240" w:lineRule="atLeast"/>
      <w:ind w:left="720" w:hanging="720"/>
      <w:jc w:val="both"/>
    </w:pPr>
    <w:rPr>
      <w:rFonts w:ascii="Arial" w:eastAsia="Times New Roman" w:hAnsi="Arial" w:cs="Times New Roman"/>
      <w:sz w:val="20"/>
      <w:szCs w:val="20"/>
      <w:lang w:eastAsia="de-DE"/>
    </w:rPr>
  </w:style>
  <w:style w:type="paragraph" w:customStyle="1" w:styleId="ungerKopfzeile">
    <w:name w:val="unger. Kopfzeile"/>
    <w:basedOn w:val="Normal"/>
    <w:pPr>
      <w:tabs>
        <w:tab w:val="center" w:pos="4253"/>
        <w:tab w:val="right" w:pos="8505"/>
      </w:tabs>
      <w:spacing w:after="480" w:line="312" w:lineRule="atLeast"/>
      <w:jc w:val="both"/>
    </w:pPr>
    <w:rPr>
      <w:rFonts w:ascii="Arial" w:eastAsia="Times New Roman" w:hAnsi="Arial" w:cs="Times New Roman"/>
      <w:szCs w:val="20"/>
      <w:lang w:eastAsia="de-DE"/>
    </w:rPr>
  </w:style>
  <w:style w:type="paragraph" w:customStyle="1" w:styleId="Quelle">
    <w:name w:val="Quelle"/>
    <w:basedOn w:val="Normal"/>
    <w:link w:val="QuelleChar"/>
    <w:pPr>
      <w:spacing w:before="120" w:after="480" w:line="240" w:lineRule="auto"/>
      <w:ind w:left="709" w:hanging="709"/>
      <w:jc w:val="both"/>
    </w:pPr>
    <w:rPr>
      <w:rFonts w:ascii="Arial" w:eastAsia="Times New Roman" w:hAnsi="Arial" w:cs="Times New Roman"/>
      <w:sz w:val="18"/>
      <w:szCs w:val="20"/>
      <w:lang w:eastAsia="de-DE"/>
    </w:rPr>
  </w:style>
  <w:style w:type="paragraph" w:customStyle="1" w:styleId="Tabberschrift">
    <w:name w:val="Tab_Überschrift"/>
    <w:basedOn w:val="Normal"/>
    <w:next w:val="Normal"/>
    <w:pPr>
      <w:keepNext/>
      <w:spacing w:before="120" w:after="120" w:line="312" w:lineRule="atLeast"/>
      <w:ind w:left="1418" w:hanging="1418"/>
    </w:pPr>
    <w:rPr>
      <w:rFonts w:ascii="Arial" w:eastAsia="Times New Roman" w:hAnsi="Arial" w:cs="Times New Roman"/>
      <w:szCs w:val="20"/>
      <w:lang w:eastAsia="de-DE"/>
    </w:rPr>
  </w:style>
  <w:style w:type="paragraph" w:styleId="Caption">
    <w:name w:val="caption"/>
    <w:aliases w:val="Figure Caption, Char Char,Char Char,Figure Caption + Avant : 14 pt,Motif : Transparente (Gris - 15 %),TF,Caption (all),Inscription,Beschriftung Char Char Char,Beschriftung Char,Caption2,figura,figura1,figura2,ITT d,Table Title,cp + Justifie"/>
    <w:basedOn w:val="Normal"/>
    <w:next w:val="Normal"/>
    <w:link w:val="CaptionChar"/>
    <w:qFormat/>
    <w:pPr>
      <w:spacing w:before="120" w:after="120" w:line="312" w:lineRule="atLeast"/>
      <w:jc w:val="both"/>
    </w:pPr>
    <w:rPr>
      <w:rFonts w:ascii="Arial" w:eastAsia="Times New Roman" w:hAnsi="Arial" w:cs="Times New Roman"/>
      <w:szCs w:val="20"/>
      <w:lang w:eastAsia="de-DE"/>
    </w:rPr>
  </w:style>
  <w:style w:type="paragraph" w:styleId="TableofFigures">
    <w:name w:val="table of figures"/>
    <w:basedOn w:val="Normal"/>
    <w:next w:val="Normal"/>
    <w:uiPriority w:val="99"/>
    <w:pPr>
      <w:tabs>
        <w:tab w:val="right" w:pos="8505"/>
      </w:tabs>
      <w:spacing w:after="120" w:line="312" w:lineRule="atLeast"/>
      <w:ind w:left="1559" w:hanging="1559"/>
    </w:pPr>
    <w:rPr>
      <w:rFonts w:ascii="Arial" w:eastAsia="Times New Roman" w:hAnsi="Arial" w:cs="Times New Roman"/>
      <w:sz w:val="20"/>
      <w:szCs w:val="20"/>
      <w:lang w:eastAsia="de-DE"/>
    </w:rPr>
  </w:style>
  <w:style w:type="paragraph" w:customStyle="1" w:styleId="Tabellenverzeichnis">
    <w:name w:val="Tabellenverzeichnis"/>
    <w:basedOn w:val="TableofFigures"/>
    <w:rPr>
      <w:sz w:val="22"/>
    </w:rPr>
  </w:style>
  <w:style w:type="paragraph" w:styleId="BlockText">
    <w:name w:val="Block Text"/>
    <w:basedOn w:val="Normal"/>
    <w:pPr>
      <w:spacing w:after="240" w:line="360" w:lineRule="atLeast"/>
      <w:ind w:left="680" w:right="680"/>
      <w:jc w:val="center"/>
    </w:pPr>
    <w:rPr>
      <w:rFonts w:ascii="Arial" w:eastAsia="Times New Roman" w:hAnsi="Arial" w:cs="Times New Roman"/>
      <w:szCs w:val="20"/>
      <w:lang w:val="de-DE" w:eastAsia="de-DE"/>
    </w:rPr>
  </w:style>
  <w:style w:type="table" w:styleId="TableGrid">
    <w:name w:val="Table Grid"/>
    <w:aliases w:val="Deloitte"/>
    <w:basedOn w:val="TableNormal"/>
    <w:uiPriority w:val="39"/>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styleId="BodyTextIndent">
    <w:name w:val="Body Text Indent"/>
    <w:basedOn w:val="Normal"/>
    <w:link w:val="BodyTextIndentChar"/>
    <w:pPr>
      <w:spacing w:after="240" w:line="312" w:lineRule="atLeast"/>
      <w:ind w:left="709"/>
      <w:jc w:val="both"/>
    </w:pPr>
    <w:rPr>
      <w:rFonts w:ascii="Arial" w:eastAsia="Times New Roman" w:hAnsi="Arial" w:cs="Times New Roman"/>
      <w:szCs w:val="20"/>
      <w:lang w:val="de-DE" w:eastAsia="de-DE"/>
    </w:rPr>
  </w:style>
  <w:style w:type="character" w:customStyle="1" w:styleId="BodyTextIndentChar">
    <w:name w:val="Body Text Indent Char"/>
    <w:basedOn w:val="DefaultParagraphFont"/>
    <w:link w:val="BodyTextIndent"/>
    <w:rPr>
      <w:rFonts w:ascii="Arial" w:eastAsia="Times New Roman" w:hAnsi="Arial" w:cs="Times New Roman"/>
      <w:szCs w:val="20"/>
      <w:lang w:val="de-DE" w:eastAsia="de-DE"/>
    </w:rPr>
  </w:style>
  <w:style w:type="paragraph" w:styleId="ListParagraph">
    <w:name w:val="List Paragraph"/>
    <w:aliases w:val="1st level - Bullet List Paragraph,Paragrafo elenco,List Paragraph1,Normal bullet 2,Puce focus,Contact,Paragraphe de liste 2,texte de base,6 pt paragraphe carré,calia titre 3"/>
    <w:basedOn w:val="Normal"/>
    <w:link w:val="ListParagraphChar"/>
    <w:uiPriority w:val="99"/>
    <w:qFormat/>
    <w:pPr>
      <w:spacing w:after="240" w:line="312" w:lineRule="atLeast"/>
      <w:ind w:left="720"/>
      <w:contextualSpacing/>
      <w:jc w:val="both"/>
    </w:pPr>
    <w:rPr>
      <w:rFonts w:ascii="Arial" w:eastAsia="Times New Roman" w:hAnsi="Arial" w:cs="Times New Roman"/>
      <w:szCs w:val="20"/>
      <w:lang w:eastAsia="de-DE"/>
    </w:rPr>
  </w:style>
  <w:style w:type="numbering" w:customStyle="1" w:styleId="KeineListe1">
    <w:name w:val="Keine Liste1"/>
    <w:next w:val="NoList"/>
    <w:uiPriority w:val="99"/>
    <w:semiHidden/>
    <w:unhideWhenUsed/>
  </w:style>
  <w:style w:type="table" w:customStyle="1" w:styleId="Tabellenraster1">
    <w:name w:val="Tabellenraster1"/>
    <w:basedOn w:val="TableNormal"/>
    <w:next w:val="TableGri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before="120" w:after="720" w:line="312" w:lineRule="atLeast"/>
      <w:jc w:val="center"/>
    </w:pPr>
    <w:rPr>
      <w:rFonts w:ascii="Arial" w:eastAsia="Times New Roman" w:hAnsi="Arial" w:cs="Times New Roman"/>
      <w:b/>
      <w:sz w:val="32"/>
      <w:szCs w:val="20"/>
      <w:lang w:eastAsia="de-DE"/>
    </w:rPr>
  </w:style>
  <w:style w:type="character" w:customStyle="1" w:styleId="BodyTextChar">
    <w:name w:val="Body Text Char"/>
    <w:basedOn w:val="DefaultParagraphFont"/>
    <w:link w:val="BodyText"/>
    <w:rPr>
      <w:rFonts w:ascii="Arial" w:eastAsia="Times New Roman" w:hAnsi="Arial" w:cs="Times New Roman"/>
      <w:b/>
      <w:sz w:val="32"/>
      <w:szCs w:val="20"/>
      <w:lang w:eastAsia="de-DE"/>
    </w:rPr>
  </w:style>
  <w:style w:type="paragraph" w:styleId="BodyText2">
    <w:name w:val="Body Text 2"/>
    <w:basedOn w:val="Normal"/>
    <w:link w:val="BodyText2Char"/>
    <w:pPr>
      <w:spacing w:before="120" w:after="240" w:line="240" w:lineRule="atLeast"/>
      <w:jc w:val="both"/>
    </w:pPr>
    <w:rPr>
      <w:rFonts w:ascii="Arial" w:eastAsia="Times New Roman" w:hAnsi="Arial" w:cs="Times New Roman"/>
      <w:szCs w:val="20"/>
      <w:lang w:eastAsia="de-DE"/>
    </w:rPr>
  </w:style>
  <w:style w:type="character" w:customStyle="1" w:styleId="BodyText2Char">
    <w:name w:val="Body Text 2 Char"/>
    <w:basedOn w:val="DefaultParagraphFont"/>
    <w:link w:val="BodyText2"/>
    <w:rPr>
      <w:rFonts w:ascii="Arial" w:eastAsia="Times New Roman" w:hAnsi="Arial" w:cs="Times New Roman"/>
      <w:szCs w:val="20"/>
      <w:lang w:eastAsia="de-DE"/>
    </w:rPr>
  </w:style>
  <w:style w:type="paragraph" w:styleId="BodyText3">
    <w:name w:val="Body Text 3"/>
    <w:basedOn w:val="Normal"/>
    <w:link w:val="BodyText3Char"/>
    <w:pPr>
      <w:spacing w:after="240" w:line="312" w:lineRule="atLeast"/>
      <w:jc w:val="both"/>
    </w:pPr>
    <w:rPr>
      <w:rFonts w:ascii="Arial" w:eastAsia="Times New Roman" w:hAnsi="Arial" w:cs="Times New Roman"/>
      <w:i/>
      <w:szCs w:val="20"/>
      <w:lang w:eastAsia="de-DE"/>
    </w:rPr>
  </w:style>
  <w:style w:type="character" w:customStyle="1" w:styleId="BodyText3Char">
    <w:name w:val="Body Text 3 Char"/>
    <w:basedOn w:val="DefaultParagraphFont"/>
    <w:link w:val="BodyText3"/>
    <w:rPr>
      <w:rFonts w:ascii="Arial" w:eastAsia="Times New Roman" w:hAnsi="Arial" w:cs="Times New Roman"/>
      <w:i/>
      <w:szCs w:val="20"/>
      <w:lang w:eastAsia="de-DE"/>
    </w:rPr>
  </w:style>
  <w:style w:type="paragraph" w:styleId="BodyTextIndent3">
    <w:name w:val="Body Text Indent 3"/>
    <w:basedOn w:val="Normal"/>
    <w:link w:val="BodyTextIndent3Char"/>
    <w:pPr>
      <w:spacing w:after="240" w:line="312" w:lineRule="atLeast"/>
      <w:ind w:left="3402" w:hanging="3402"/>
      <w:jc w:val="both"/>
    </w:pPr>
    <w:rPr>
      <w:rFonts w:ascii="Arial" w:eastAsia="Times New Roman" w:hAnsi="Arial" w:cs="Times New Roman"/>
      <w:szCs w:val="20"/>
      <w:lang w:eastAsia="de-DE"/>
    </w:rPr>
  </w:style>
  <w:style w:type="character" w:customStyle="1" w:styleId="BodyTextIndent3Char">
    <w:name w:val="Body Text Indent 3 Char"/>
    <w:basedOn w:val="DefaultParagraphFont"/>
    <w:link w:val="BodyTextIndent3"/>
    <w:rPr>
      <w:rFonts w:ascii="Arial" w:eastAsia="Times New Roman" w:hAnsi="Arial" w:cs="Times New Roman"/>
      <w:szCs w:val="20"/>
      <w:lang w:eastAsia="de-DE"/>
    </w:rPr>
  </w:style>
  <w:style w:type="paragraph" w:styleId="ListBullet">
    <w:name w:val="List Bullet"/>
    <w:aliases w:val="2"/>
    <w:basedOn w:val="Normal"/>
    <w:link w:val="ListBulletChar"/>
    <w:autoRedefine/>
    <w:pPr>
      <w:numPr>
        <w:numId w:val="3"/>
      </w:numPr>
      <w:spacing w:after="240" w:line="312" w:lineRule="atLeast"/>
      <w:jc w:val="both"/>
    </w:pPr>
    <w:rPr>
      <w:rFonts w:ascii="Arial" w:eastAsia="Times New Roman" w:hAnsi="Arial" w:cs="Times New Roman"/>
      <w:szCs w:val="20"/>
      <w:lang w:eastAsia="de-DE"/>
    </w:rPr>
  </w:style>
  <w:style w:type="paragraph" w:styleId="BodyTextIndent2">
    <w:name w:val="Body Text Indent 2"/>
    <w:basedOn w:val="Normal"/>
    <w:link w:val="BodyTextIndent2Char"/>
    <w:pPr>
      <w:spacing w:after="0" w:line="240" w:lineRule="auto"/>
      <w:ind w:left="426" w:hanging="426"/>
      <w:jc w:val="both"/>
    </w:pPr>
    <w:rPr>
      <w:rFonts w:ascii="Helvetica" w:eastAsia="Times New Roman" w:hAnsi="Helvetica" w:cs="Times New Roman"/>
      <w:sz w:val="18"/>
      <w:szCs w:val="20"/>
      <w:lang w:val="en-US" w:eastAsia="de-DE"/>
    </w:rPr>
  </w:style>
  <w:style w:type="character" w:customStyle="1" w:styleId="BodyTextIndent2Char">
    <w:name w:val="Body Text Indent 2 Char"/>
    <w:basedOn w:val="DefaultParagraphFont"/>
    <w:link w:val="BodyTextIndent2"/>
    <w:rPr>
      <w:rFonts w:ascii="Helvetica" w:eastAsia="Times New Roman" w:hAnsi="Helvetica" w:cs="Times New Roman"/>
      <w:sz w:val="18"/>
      <w:szCs w:val="20"/>
      <w:lang w:val="en-US" w:eastAsia="de-DE"/>
    </w:rPr>
  </w:style>
  <w:style w:type="paragraph" w:customStyle="1" w:styleId="Bullet">
    <w:name w:val="Bullet"/>
    <w:basedOn w:val="Normal"/>
    <w:pPr>
      <w:tabs>
        <w:tab w:val="left" w:pos="-720"/>
        <w:tab w:val="left" w:pos="0"/>
        <w:tab w:val="left" w:pos="720"/>
        <w:tab w:val="left" w:pos="1441"/>
        <w:tab w:val="left" w:pos="2161"/>
        <w:tab w:val="left" w:pos="2881"/>
        <w:tab w:val="left" w:pos="3601"/>
        <w:tab w:val="left" w:pos="4320"/>
        <w:tab w:val="left" w:pos="5041"/>
        <w:tab w:val="left" w:pos="5761"/>
        <w:tab w:val="left" w:pos="6481"/>
        <w:tab w:val="left" w:pos="7201"/>
        <w:tab w:val="left" w:pos="7921"/>
        <w:tab w:val="left" w:pos="8641"/>
      </w:tabs>
      <w:spacing w:after="0" w:line="200" w:lineRule="atLeast"/>
      <w:ind w:left="720" w:hanging="720"/>
      <w:jc w:val="both"/>
    </w:pPr>
    <w:rPr>
      <w:rFonts w:ascii="Times New Roman" w:eastAsia="Times New Roman" w:hAnsi="Times New Roman" w:cs="Times New Roman"/>
      <w:noProof/>
      <w:sz w:val="24"/>
      <w:szCs w:val="20"/>
      <w:lang w:eastAsia="de-DE"/>
    </w:rPr>
  </w:style>
  <w:style w:type="paragraph" w:customStyle="1" w:styleId="Nextrow">
    <w:name w:val="Nextrow"/>
    <w:pPr>
      <w:spacing w:before="40" w:after="40" w:line="240" w:lineRule="auto"/>
    </w:pPr>
    <w:rPr>
      <w:rFonts w:ascii="Times New Roman" w:eastAsia="Times New Roman" w:hAnsi="Times New Roman" w:cs="Times New Roman"/>
      <w:sz w:val="20"/>
      <w:szCs w:val="20"/>
      <w:lang w:eastAsia="de-DE"/>
    </w:rPr>
  </w:style>
  <w:style w:type="paragraph" w:customStyle="1" w:styleId="Default">
    <w:name w:val="Default"/>
    <w:pPr>
      <w:spacing w:after="0" w:line="240" w:lineRule="auto"/>
    </w:pPr>
    <w:rPr>
      <w:rFonts w:ascii="TimesNewRoman" w:eastAsia="Times New Roman" w:hAnsi="TimesNewRoman" w:cs="Times New Roman"/>
      <w:snapToGrid w:val="0"/>
      <w:sz w:val="20"/>
      <w:szCs w:val="20"/>
      <w:lang w:val="de-DE" w:eastAsia="de-DE"/>
    </w:rPr>
  </w:style>
  <w:style w:type="character" w:customStyle="1" w:styleId="ListBulletChar">
    <w:name w:val="List Bullet Char"/>
    <w:aliases w:val="2 Char"/>
    <w:basedOn w:val="DefaultParagraphFont"/>
    <w:link w:val="ListBullet"/>
    <w:rPr>
      <w:rFonts w:ascii="Arial" w:eastAsia="Times New Roman" w:hAnsi="Arial" w:cs="Times New Roman"/>
      <w:szCs w:val="20"/>
      <w:lang w:eastAsia="de-DE"/>
    </w:rPr>
  </w:style>
  <w:style w:type="table" w:customStyle="1" w:styleId="Tabellengitternetz1">
    <w:name w:val="Tabellengitternetz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spacing w:after="240" w:line="312" w:lineRule="atLeast"/>
      <w:jc w:val="both"/>
    </w:pPr>
    <w:rPr>
      <w:rFonts w:ascii="Tahoma" w:eastAsia="Times New Roman" w:hAnsi="Tahoma" w:cs="Tahoma"/>
      <w:szCs w:val="20"/>
      <w:lang w:eastAsia="de-DE"/>
    </w:rPr>
  </w:style>
  <w:style w:type="character" w:customStyle="1" w:styleId="DocumentMapChar">
    <w:name w:val="Document Map Char"/>
    <w:basedOn w:val="DefaultParagraphFont"/>
    <w:link w:val="DocumentMap"/>
    <w:semiHidden/>
    <w:rPr>
      <w:rFonts w:ascii="Tahoma" w:eastAsia="Times New Roman" w:hAnsi="Tahoma" w:cs="Tahoma"/>
      <w:szCs w:val="20"/>
      <w:shd w:val="clear" w:color="auto" w:fill="000080"/>
      <w:lang w:eastAsia="de-DE"/>
    </w:rPr>
  </w:style>
  <w:style w:type="paragraph" w:styleId="Title">
    <w:name w:val="Title"/>
    <w:basedOn w:val="Normal"/>
    <w:link w:val="TitleChar"/>
    <w:qFormat/>
    <w:pPr>
      <w:spacing w:after="600" w:line="360" w:lineRule="atLeast"/>
      <w:jc w:val="both"/>
      <w:outlineLvl w:val="0"/>
    </w:pPr>
    <w:rPr>
      <w:rFonts w:ascii="Arial" w:eastAsia="Times New Roman" w:hAnsi="Arial" w:cs="Arial"/>
      <w:b/>
      <w:bCs/>
      <w:kern w:val="28"/>
      <w:sz w:val="24"/>
      <w:szCs w:val="24"/>
      <w:lang w:eastAsia="de-DE"/>
    </w:rPr>
  </w:style>
  <w:style w:type="character" w:customStyle="1" w:styleId="TitleChar">
    <w:name w:val="Title Char"/>
    <w:basedOn w:val="DefaultParagraphFont"/>
    <w:link w:val="Title"/>
    <w:rPr>
      <w:rFonts w:ascii="Arial" w:eastAsia="Times New Roman" w:hAnsi="Arial" w:cs="Arial"/>
      <w:b/>
      <w:bCs/>
      <w:kern w:val="28"/>
      <w:sz w:val="24"/>
      <w:szCs w:val="24"/>
      <w:lang w:eastAsia="de-DE"/>
    </w:rPr>
  </w:style>
  <w:style w:type="paragraph" w:customStyle="1" w:styleId="Note">
    <w:name w:val="Note"/>
    <w:basedOn w:val="Normal"/>
    <w:next w:val="Normal"/>
    <w:qFormat/>
    <w:pPr>
      <w:spacing w:before="60" w:after="60" w:line="240" w:lineRule="auto"/>
      <w:jc w:val="both"/>
    </w:pPr>
    <w:rPr>
      <w:sz w:val="16"/>
      <w:szCs w:val="20"/>
      <w:lang w:val="fr-FR"/>
    </w:rPr>
  </w:style>
  <w:style w:type="table" w:styleId="MediumGrid3-Accent1">
    <w:name w:val="Medium Grid 3 Accent 1"/>
    <w:basedOn w:val="TableNormal"/>
    <w:uiPriority w:val="69"/>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pPr>
      <w:spacing w:after="0" w:line="240" w:lineRule="auto"/>
    </w:pPr>
    <w:rPr>
      <w:rFonts w:ascii="Times" w:eastAsia="Times New Roman" w:hAnsi="Times" w:cs="Times New Roman"/>
      <w:color w:val="000000" w:themeColor="text1"/>
      <w:sz w:val="20"/>
      <w:szCs w:val="20"/>
      <w:lang w:val="de-DE"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1">
    <w:name w:val="Light List Accent 1"/>
    <w:basedOn w:val="TableNormal"/>
    <w:uiPriority w:val="61"/>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DefaultParagraphFont"/>
  </w:style>
  <w:style w:type="character" w:customStyle="1" w:styleId="clickable">
    <w:name w:val="clickable"/>
    <w:basedOn w:val="DefaultParagraphFont"/>
  </w:style>
  <w:style w:type="paragraph" w:customStyle="1" w:styleId="CVTitle">
    <w:name w:val="CV Title"/>
    <w:basedOn w:val="Normal"/>
    <w:pPr>
      <w:suppressAutoHyphens/>
      <w:spacing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CVHeading1">
    <w:name w:val="CV Heading 1"/>
    <w:basedOn w:val="Normal"/>
    <w:next w:val="Normal"/>
    <w:pPr>
      <w:suppressAutoHyphens/>
      <w:spacing w:before="74" w:after="0" w:line="240" w:lineRule="auto"/>
      <w:ind w:left="113" w:right="113"/>
      <w:jc w:val="right"/>
    </w:pPr>
    <w:rPr>
      <w:rFonts w:ascii="Arial Narrow" w:eastAsia="Times New Roman" w:hAnsi="Arial Narrow" w:cs="Times New Roman"/>
      <w:b/>
      <w:sz w:val="24"/>
      <w:szCs w:val="20"/>
      <w:lang w:val="en-US" w:eastAsia="ar-SA"/>
    </w:rPr>
  </w:style>
  <w:style w:type="paragraph" w:customStyle="1" w:styleId="CVHeading2-FirstLine">
    <w:name w:val="CV Heading 2 - First Line"/>
    <w:basedOn w:val="Normal"/>
    <w:next w:val="Normal"/>
    <w:pPr>
      <w:suppressAutoHyphens/>
      <w:spacing w:before="74" w:after="0" w:line="240" w:lineRule="auto"/>
      <w:ind w:left="113" w:right="113"/>
      <w:jc w:val="right"/>
    </w:pPr>
    <w:rPr>
      <w:rFonts w:ascii="Arial Narrow" w:eastAsia="Times New Roman" w:hAnsi="Arial Narrow" w:cs="Times New Roman"/>
      <w:szCs w:val="20"/>
      <w:lang w:val="en-US" w:eastAsia="ar-SA"/>
    </w:rPr>
  </w:style>
  <w:style w:type="paragraph" w:customStyle="1" w:styleId="CVHeading3">
    <w:name w:val="CV Heading 3"/>
    <w:basedOn w:val="Normal"/>
    <w:next w:val="Normal"/>
    <w:pPr>
      <w:suppressAutoHyphens/>
      <w:spacing w:after="0" w:line="240" w:lineRule="auto"/>
      <w:ind w:left="113" w:right="113"/>
      <w:jc w:val="right"/>
      <w:textAlignment w:val="center"/>
    </w:pPr>
    <w:rPr>
      <w:rFonts w:ascii="Arial Narrow" w:eastAsia="Times New Roman" w:hAnsi="Arial Narrow" w:cs="Times New Roman"/>
      <w:sz w:val="20"/>
      <w:szCs w:val="20"/>
      <w:lang w:val="en-US" w:eastAsia="ar-SA"/>
    </w:rPr>
  </w:style>
  <w:style w:type="paragraph" w:customStyle="1" w:styleId="CVHeading3-FirstLine">
    <w:name w:val="CV Heading 3 - First Line"/>
    <w:basedOn w:val="CVHeading3"/>
    <w:next w:val="CVHeading3"/>
    <w:pPr>
      <w:spacing w:before="74"/>
    </w:pPr>
  </w:style>
  <w:style w:type="paragraph" w:customStyle="1" w:styleId="CVMajor-FirstLine">
    <w:name w:val="CV Major - First Line"/>
    <w:basedOn w:val="Normal"/>
    <w:next w:val="Normal"/>
    <w:pPr>
      <w:suppressAutoHyphens/>
      <w:spacing w:before="74" w:after="0" w:line="240" w:lineRule="auto"/>
      <w:ind w:left="113" w:right="113"/>
    </w:pPr>
    <w:rPr>
      <w:rFonts w:ascii="Arial Narrow" w:eastAsia="Times New Roman" w:hAnsi="Arial Narrow" w:cs="Times New Roman"/>
      <w:b/>
      <w:sz w:val="24"/>
      <w:szCs w:val="20"/>
      <w:lang w:val="en-US" w:eastAsia="ar-SA"/>
    </w:rPr>
  </w:style>
  <w:style w:type="paragraph" w:customStyle="1" w:styleId="CVMedium-FirstLine">
    <w:name w:val="CV Medium - First Line"/>
    <w:basedOn w:val="Normal"/>
    <w:next w:val="Normal"/>
    <w:pPr>
      <w:suppressAutoHyphens/>
      <w:spacing w:before="74" w:after="0" w:line="240" w:lineRule="auto"/>
      <w:ind w:left="113" w:right="113"/>
    </w:pPr>
    <w:rPr>
      <w:rFonts w:ascii="Arial Narrow" w:eastAsia="Times New Roman" w:hAnsi="Arial Narrow" w:cs="Times New Roman"/>
      <w:b/>
      <w:szCs w:val="20"/>
      <w:lang w:val="en-US" w:eastAsia="ar-SA"/>
    </w:rPr>
  </w:style>
  <w:style w:type="paragraph" w:customStyle="1" w:styleId="CVNormal">
    <w:name w:val="CV Normal"/>
    <w:basedOn w:val="Normal"/>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paragraph" w:customStyle="1" w:styleId="CVHeading2">
    <w:name w:val="CV Heading 2"/>
    <w:basedOn w:val="CVHeading1"/>
    <w:next w:val="Normal"/>
    <w:pPr>
      <w:spacing w:before="0"/>
    </w:pPr>
    <w:rPr>
      <w:b w:val="0"/>
      <w:sz w:val="22"/>
    </w:r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line="240" w:lineRule="auto"/>
      <w:ind w:left="28"/>
      <w:jc w:val="center"/>
    </w:pPr>
    <w:rPr>
      <w:rFonts w:ascii="Arial Narrow" w:eastAsia="Times New Roman" w:hAnsi="Arial Narrow" w:cs="Times New Roman"/>
      <w:sz w:val="18"/>
      <w:szCs w:val="20"/>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pPr>
      <w:ind w:left="113"/>
      <w:jc w:val="left"/>
    </w:pPr>
    <w:rPr>
      <w:i/>
    </w:rPr>
  </w:style>
  <w:style w:type="paragraph" w:customStyle="1" w:styleId="CVMedium">
    <w:name w:val="CV Medium"/>
    <w:basedOn w:val="Normal"/>
    <w:pPr>
      <w:suppressAutoHyphens/>
      <w:spacing w:after="0" w:line="240" w:lineRule="auto"/>
      <w:ind w:left="113" w:right="113"/>
    </w:pPr>
    <w:rPr>
      <w:rFonts w:ascii="Arial Narrow" w:eastAsia="Times New Roman" w:hAnsi="Arial Narrow" w:cs="Times New Roman"/>
      <w:b/>
      <w:szCs w:val="20"/>
      <w:lang w:val="en-US" w:eastAsia="ar-SA"/>
    </w:rPr>
  </w:style>
  <w:style w:type="paragraph" w:styleId="EndnoteText">
    <w:name w:val="endnote text"/>
    <w:basedOn w:val="Normal"/>
    <w:link w:val="EndnoteTextChar"/>
    <w:uiPriority w:val="99"/>
    <w:semiHidden/>
    <w:pPr>
      <w:spacing w:after="240" w:line="240" w:lineRule="auto"/>
    </w:pPr>
    <w:rPr>
      <w:rFonts w:ascii="Arial" w:eastAsia="Times New Roman" w:hAnsi="Arial" w:cs="Times New Roman"/>
      <w:sz w:val="20"/>
      <w:szCs w:val="20"/>
      <w:lang w:eastAsia="en-GB"/>
    </w:rPr>
  </w:style>
  <w:style w:type="character" w:customStyle="1" w:styleId="EndnoteTextChar">
    <w:name w:val="Endnote Text Char"/>
    <w:basedOn w:val="DefaultParagraphFont"/>
    <w:link w:val="EndnoteText"/>
    <w:uiPriority w:val="99"/>
    <w:semiHidden/>
    <w:rPr>
      <w:rFonts w:ascii="Arial" w:eastAsia="Times New Roman" w:hAnsi="Arial" w:cs="Times New Roman"/>
      <w:sz w:val="20"/>
      <w:szCs w:val="20"/>
      <w:lang w:eastAsia="en-GB"/>
    </w:rPr>
  </w:style>
  <w:style w:type="character" w:styleId="EndnoteReference">
    <w:name w:val="endnote reference"/>
    <w:basedOn w:val="DefaultParagraphFont"/>
    <w:uiPriority w:val="99"/>
    <w:semiHidden/>
    <w:rPr>
      <w:vertAlign w:val="superscript"/>
    </w:rPr>
  </w:style>
  <w:style w:type="table" w:customStyle="1" w:styleId="Tabellenraster2">
    <w:name w:val="Tabellenraster2"/>
    <w:basedOn w:val="TableNormal"/>
    <w:next w:val="TableGri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pPr>
      <w:spacing w:before="0" w:after="240"/>
    </w:pPr>
    <w:rPr>
      <w:rFonts w:ascii="Arial" w:eastAsia="Times New Roman" w:hAnsi="Arial"/>
      <w:b/>
      <w:bCs/>
      <w:lang w:eastAsia="de-DE"/>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lang w:eastAsia="de-DE"/>
    </w:rPr>
  </w:style>
  <w:style w:type="paragraph" w:styleId="PlainText">
    <w:name w:val="Plain Text"/>
    <w:basedOn w:val="Normal"/>
    <w:link w:val="PlainTextChar"/>
    <w:uiPriority w:val="99"/>
    <w:unhideWhenUsed/>
    <w:pPr>
      <w:spacing w:after="0" w:line="240" w:lineRule="auto"/>
    </w:pPr>
    <w:rPr>
      <w:rFonts w:ascii="Calibri" w:eastAsia="Calibri" w:hAnsi="Calibri" w:cs="Times New Roman"/>
      <w:szCs w:val="21"/>
      <w:lang w:val="de-DE"/>
    </w:rPr>
  </w:style>
  <w:style w:type="character" w:customStyle="1" w:styleId="PlainTextChar">
    <w:name w:val="Plain Text Char"/>
    <w:basedOn w:val="DefaultParagraphFont"/>
    <w:link w:val="PlainText"/>
    <w:uiPriority w:val="99"/>
    <w:rPr>
      <w:rFonts w:ascii="Calibri" w:eastAsia="Calibri" w:hAnsi="Calibri" w:cs="Times New Roman"/>
      <w:szCs w:val="21"/>
      <w:lang w:val="de-DE"/>
    </w:rPr>
  </w:style>
  <w:style w:type="character" w:customStyle="1" w:styleId="ListParagraphChar">
    <w:name w:val="List Paragraph Char"/>
    <w:aliases w:val="1st level - Bullet List Paragraph Char,Paragrafo elenco Char,List Paragraph1 Char,Normal bullet 2 Char,Puce focus Char,Contact Char,Paragraphe de liste 2 Char,texte de base Char,6 pt paragraphe carré Char,calia titre 3 Char"/>
    <w:link w:val="ListParagraph"/>
    <w:uiPriority w:val="99"/>
    <w:rPr>
      <w:rFonts w:ascii="Arial" w:eastAsia="Times New Roman" w:hAnsi="Arial" w:cs="Times New Roman"/>
      <w:szCs w:val="20"/>
      <w:lang w:eastAsia="de-DE"/>
    </w:rPr>
  </w:style>
  <w:style w:type="table" w:customStyle="1" w:styleId="MediumShading1-Accent11">
    <w:name w:val="Medium Shading 1 - Accent 11"/>
    <w:basedOn w:val="TableNormal"/>
    <w:next w:val="MediumShading1-Accent1"/>
    <w:uiPriority w:val="63"/>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link w:val="TOCHeadingChar"/>
    <w:uiPriority w:val="39"/>
    <w:unhideWhenUsed/>
    <w:qFormat/>
    <w:pPr>
      <w:numPr>
        <w:numId w:val="0"/>
      </w:numPr>
      <w:outlineLvl w:val="9"/>
    </w:pPr>
    <w:rPr>
      <w:lang w:val="en-US" w:eastAsia="ja-JP"/>
    </w:rPr>
  </w:style>
  <w:style w:type="paragraph" w:styleId="NoSpacing">
    <w:name w:val="No Spacing"/>
    <w:uiPriority w:val="1"/>
    <w:qFormat/>
    <w:pPr>
      <w:spacing w:after="0" w:line="240" w:lineRule="auto"/>
      <w:jc w:val="both"/>
    </w:pPr>
    <w:rPr>
      <w:rFonts w:ascii="Arial" w:eastAsia="Times New Roman" w:hAnsi="Arial" w:cs="Times New Roman"/>
      <w:szCs w:val="20"/>
      <w:lang w:eastAsia="de-DE"/>
    </w:rPr>
  </w:style>
  <w:style w:type="paragraph" w:customStyle="1" w:styleId="Source">
    <w:name w:val="Source"/>
    <w:basedOn w:val="Normal"/>
    <w:link w:val="SourceCar"/>
    <w:qFormat/>
    <w:pPr>
      <w:spacing w:after="240" w:line="312" w:lineRule="atLeast"/>
      <w:jc w:val="both"/>
    </w:pPr>
    <w:rPr>
      <w:rFonts w:ascii="Arial" w:eastAsia="Times New Roman" w:hAnsi="Arial" w:cs="Times New Roman"/>
      <w:szCs w:val="20"/>
      <w:lang w:eastAsia="de-DE"/>
    </w:rPr>
  </w:style>
  <w:style w:type="character" w:customStyle="1" w:styleId="CaptionChar">
    <w:name w:val="Caption Char"/>
    <w:aliases w:val="Figure Caption Char, Char Char Char,Char Char Char,Figure Caption + Avant : 14 pt Char,Motif : Transparente (Gris - 15 %) Char,TF Char,Caption (all) Char,Inscription Char,Beschriftung Char Char Char Char,Beschriftung Char Char,Caption2 Char"/>
    <w:basedOn w:val="DefaultParagraphFont"/>
    <w:link w:val="Caption"/>
    <w:rPr>
      <w:rFonts w:ascii="Arial" w:eastAsia="Times New Roman" w:hAnsi="Arial" w:cs="Times New Roman"/>
      <w:szCs w:val="20"/>
      <w:lang w:eastAsia="de-DE"/>
    </w:rPr>
  </w:style>
  <w:style w:type="character" w:customStyle="1" w:styleId="SourceCar">
    <w:name w:val="Source Car"/>
    <w:basedOn w:val="DefaultParagraphFont"/>
    <w:link w:val="Source"/>
    <w:rPr>
      <w:rFonts w:ascii="Arial" w:eastAsia="Times New Roman" w:hAnsi="Arial" w:cs="Times New Roman"/>
      <w:szCs w:val="20"/>
      <w:lang w:eastAsia="de-DE"/>
    </w:rPr>
  </w:style>
  <w:style w:type="table" w:customStyle="1" w:styleId="Grilledutableau1">
    <w:name w:val="Grille du tableau1"/>
    <w:basedOn w:val="TableNormal"/>
    <w:next w:val="TableGrid"/>
    <w:uiPriority w:val="59"/>
    <w:pPr>
      <w:spacing w:before="40" w:after="20" w:line="240" w:lineRule="auto"/>
    </w:pPr>
    <w:rPr>
      <w:rFonts w:ascii="Arial" w:eastAsia="Arial" w:hAnsi="Arial" w:cs="Times New Roman"/>
      <w:sz w:val="18"/>
      <w:szCs w:val="20"/>
      <w:lang w:val="fr-FR"/>
    </w:rPr>
    <w:tblPr>
      <w:tblStyleRowBandSize w:val="1"/>
      <w:tblBorders>
        <w:top w:val="single" w:sz="4" w:space="0" w:color="294E71"/>
        <w:left w:val="single" w:sz="4" w:space="0" w:color="294E71"/>
        <w:bottom w:val="single" w:sz="4" w:space="0" w:color="294E71"/>
        <w:right w:val="single" w:sz="4" w:space="0" w:color="294E71"/>
      </w:tblBorders>
    </w:tblPr>
    <w:tcPr>
      <w:shd w:val="clear" w:color="auto" w:fill="FFFFFF"/>
    </w:tcPr>
    <w:tblStylePr w:type="firstRow">
      <w:rPr>
        <w:rFonts w:ascii="Arial" w:hAnsi="Arial"/>
        <w:b/>
        <w:color w:val="FFFFFF"/>
        <w:sz w:val="18"/>
      </w:rPr>
      <w:tblPr/>
      <w:trPr>
        <w:tblHeader/>
      </w:trPr>
      <w:tcPr>
        <w:shd w:val="clear" w:color="auto" w:fill="294E71"/>
      </w:tcPr>
    </w:tblStylePr>
    <w:tblStylePr w:type="firstCol">
      <w:rPr>
        <w:rFonts w:ascii="Arial" w:hAnsi="Arial"/>
        <w:b/>
        <w:sz w:val="18"/>
      </w:rPr>
    </w:tblStylePr>
    <w:tblStylePr w:type="band1Horz">
      <w:tblPr/>
      <w:tcPr>
        <w:shd w:val="clear" w:color="auto" w:fill="FFFFFF"/>
      </w:tcPr>
    </w:tblStylePr>
    <w:tblStylePr w:type="band2Horz">
      <w:tblPr/>
      <w:tcPr>
        <w:shd w:val="clear" w:color="auto" w:fill="E3E3EB"/>
      </w:tcPr>
    </w:tblStylePr>
  </w:style>
  <w:style w:type="numbering" w:customStyle="1" w:styleId="Headings">
    <w:name w:val="Headings"/>
    <w:uiPriority w:val="99"/>
    <w:pPr>
      <w:numPr>
        <w:numId w:val="2"/>
      </w:numPr>
    </w:pPr>
  </w:style>
  <w:style w:type="table" w:customStyle="1" w:styleId="Tabellengitternetz11">
    <w:name w:val="Tabellengitternetz1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Unit">
    <w:name w:val="Note Unité"/>
    <w:basedOn w:val="Normal"/>
    <w:next w:val="Normal"/>
    <w:link w:val="NoteUnitCar"/>
    <w:qFormat/>
    <w:pPr>
      <w:keepNext/>
      <w:keepLines/>
      <w:spacing w:before="60" w:after="60" w:line="240" w:lineRule="auto"/>
      <w:ind w:left="1134"/>
      <w:jc w:val="both"/>
    </w:pPr>
    <w:rPr>
      <w:sz w:val="16"/>
      <w:szCs w:val="16"/>
      <w:lang w:val="fr-FR"/>
    </w:rPr>
  </w:style>
  <w:style w:type="paragraph" w:customStyle="1" w:styleId="Normal12pt">
    <w:name w:val="Normal + 12 pt"/>
    <w:basedOn w:val="Normal"/>
    <w:next w:val="Normal"/>
    <w:qFormat/>
    <w:pPr>
      <w:spacing w:before="240" w:after="60" w:line="240" w:lineRule="auto"/>
      <w:jc w:val="both"/>
    </w:pPr>
    <w:rPr>
      <w:sz w:val="20"/>
      <w:szCs w:val="20"/>
      <w:lang w:val="fr-FR"/>
    </w:rPr>
  </w:style>
  <w:style w:type="character" w:customStyle="1" w:styleId="NoteUnitCar">
    <w:name w:val="Note Unité Car"/>
    <w:basedOn w:val="DefaultParagraphFont"/>
    <w:link w:val="NoteUnit"/>
    <w:rPr>
      <w:sz w:val="16"/>
      <w:szCs w:val="16"/>
      <w:lang w:val="fr-FR"/>
    </w:rPr>
  </w:style>
  <w:style w:type="paragraph" w:customStyle="1" w:styleId="broodtekst">
    <w:name w:val="broodtekst"/>
    <w:basedOn w:val="Normal"/>
    <w:pPr>
      <w:spacing w:after="0" w:line="280" w:lineRule="atLeast"/>
    </w:pPr>
    <w:rPr>
      <w:rFonts w:ascii="Arial" w:eastAsia="Times New Roman" w:hAnsi="Arial" w:cs="Times New Roman"/>
      <w:sz w:val="18"/>
      <w:szCs w:val="24"/>
      <w:lang w:eastAsia="nl-NL"/>
    </w:rPr>
  </w:style>
  <w:style w:type="character" w:customStyle="1" w:styleId="highlight">
    <w:name w:val="highlight"/>
    <w:basedOn w:val="DefaultParagraphFont"/>
  </w:style>
  <w:style w:type="character" w:customStyle="1" w:styleId="QuelleChar">
    <w:name w:val="Quelle Char"/>
    <w:link w:val="Quelle"/>
    <w:locked/>
    <w:rPr>
      <w:rFonts w:ascii="Arial" w:eastAsia="Times New Roman" w:hAnsi="Arial" w:cs="Times New Roman"/>
      <w:sz w:val="18"/>
      <w:szCs w:val="20"/>
      <w:lang w:eastAsia="de-DE"/>
    </w:rPr>
  </w:style>
  <w:style w:type="paragraph" w:styleId="Revision">
    <w:name w:val="Revision"/>
    <w:hidden/>
    <w:uiPriority w:val="99"/>
    <w:semiHidden/>
    <w:pPr>
      <w:spacing w:after="0" w:line="240" w:lineRule="auto"/>
    </w:pPr>
    <w:rPr>
      <w:rFonts w:ascii="Arial" w:eastAsia="Times New Roman" w:hAnsi="Arial" w:cs="Times New Roman"/>
      <w:szCs w:val="20"/>
      <w:lang w:eastAsia="de-DE"/>
    </w:rPr>
  </w:style>
  <w:style w:type="table" w:styleId="MediumGrid3-Accent2">
    <w:name w:val="Medium Grid 3 Accent 2"/>
    <w:basedOn w:val="TableNormal"/>
    <w:uiPriority w:val="69"/>
    <w:pPr>
      <w:spacing w:after="0" w:line="240" w:lineRule="auto"/>
    </w:pPr>
    <w:rPr>
      <w:lang w:val="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after="0" w:line="240" w:lineRule="auto"/>
    </w:pPr>
    <w:rPr>
      <w:rFonts w:ascii="Times New Roman" w:hAnsi="Times New Roman" w:cs="Times New Roman"/>
      <w:sz w:val="24"/>
      <w:szCs w:val="24"/>
      <w:lang w:val="en-US"/>
    </w:rPr>
  </w:style>
  <w:style w:type="character" w:styleId="PlaceholderText">
    <w:name w:val="Placeholder Text"/>
    <w:basedOn w:val="DefaultParagraphFont"/>
    <w:uiPriority w:val="99"/>
    <w:semiHidden/>
    <w:rPr>
      <w:color w:val="808080"/>
    </w:r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yperlink1">
    <w:name w:val="Hyperlink1"/>
    <w:basedOn w:val="DefaultParagraphFont"/>
    <w:uiPriority w:val="99"/>
    <w:unhideWhenUsed/>
    <w:rPr>
      <w:rFonts w:cs="Times New Roman"/>
      <w:color w:val="0000FF"/>
      <w:u w:val="single"/>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pPr>
      <w:autoSpaceDE w:val="0"/>
      <w:autoSpaceDN w:val="0"/>
      <w:adjustRightInd w:val="0"/>
    </w:pPr>
    <w:rPr>
      <w:rFonts w:ascii="EUAlbertina" w:eastAsiaTheme="minorHAnsi" w:hAnsi="EUAlbertina" w:cstheme="minorBidi"/>
      <w:snapToGrid/>
      <w:sz w:val="24"/>
      <w:szCs w:val="24"/>
      <w:lang w:val="fr-FR" w:eastAsia="en-US"/>
    </w:rPr>
  </w:style>
  <w:style w:type="paragraph" w:customStyle="1" w:styleId="CM3">
    <w:name w:val="CM3"/>
    <w:basedOn w:val="Default"/>
    <w:next w:val="Default"/>
    <w:uiPriority w:val="99"/>
    <w:pPr>
      <w:autoSpaceDE w:val="0"/>
      <w:autoSpaceDN w:val="0"/>
      <w:adjustRightInd w:val="0"/>
    </w:pPr>
    <w:rPr>
      <w:rFonts w:ascii="EUAlbertina" w:eastAsiaTheme="minorHAnsi" w:hAnsi="EUAlbertina" w:cstheme="minorBidi"/>
      <w:snapToGrid/>
      <w:sz w:val="24"/>
      <w:szCs w:val="24"/>
      <w:lang w:val="fr-FR" w:eastAsia="en-US"/>
    </w:rPr>
  </w:style>
  <w:style w:type="paragraph" w:customStyle="1" w:styleId="ms-rteelement-p1">
    <w:name w:val="ms-rteelement-p1"/>
    <w:basedOn w:val="Normal"/>
    <w:pPr>
      <w:spacing w:before="100" w:beforeAutospacing="1" w:after="300" w:line="240" w:lineRule="auto"/>
    </w:pPr>
    <w:rPr>
      <w:rFonts w:ascii="Times New Roman" w:eastAsia="Times New Roman" w:hAnsi="Times New Roman" w:cs="Times New Roman"/>
      <w:color w:val="576170"/>
      <w:sz w:val="24"/>
      <w:szCs w:val="24"/>
      <w:lang w:val="fr-FR" w:eastAsia="fr-FR"/>
    </w:rPr>
  </w:style>
  <w:style w:type="table" w:customStyle="1" w:styleId="GridTable4-Accent11">
    <w:name w:val="Grid Table 4 - Accent 1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andardTV">
    <w:name w:val="Standard_TÜV"/>
    <w:basedOn w:val="Normal"/>
    <w:link w:val="StandardTVZchn"/>
    <w:qFormat/>
    <w:pPr>
      <w:widowControl w:val="0"/>
      <w:overflowPunct w:val="0"/>
      <w:autoSpaceDE w:val="0"/>
      <w:autoSpaceDN w:val="0"/>
      <w:adjustRightInd w:val="0"/>
      <w:spacing w:before="60" w:after="60" w:line="312" w:lineRule="auto"/>
      <w:jc w:val="both"/>
      <w:textAlignment w:val="baseline"/>
    </w:pPr>
    <w:rPr>
      <w:rFonts w:ascii="Arial" w:eastAsia="Times New Roman" w:hAnsi="Arial" w:cs="Times New Roman"/>
      <w:szCs w:val="24"/>
      <w:lang w:eastAsia="de-DE"/>
    </w:rPr>
  </w:style>
  <w:style w:type="character" w:customStyle="1" w:styleId="StandardTVZchn">
    <w:name w:val="Standard_TÜV Zchn"/>
    <w:basedOn w:val="DefaultParagraphFont"/>
    <w:link w:val="StandardTV"/>
    <w:locked/>
    <w:rPr>
      <w:rFonts w:ascii="Arial" w:eastAsia="Times New Roman" w:hAnsi="Arial" w:cs="Times New Roman"/>
      <w:szCs w:val="24"/>
      <w:lang w:eastAsia="de-DE"/>
    </w:r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Shading1-Accent2">
    <w:name w:val="Medium Shading 1 Accent 2"/>
    <w:basedOn w:val="TableNormal"/>
    <w:uiPriority w:val="63"/>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ltBase">
    <w:name w:val="_AltBase"/>
    <w:pPr>
      <w:spacing w:after="0" w:line="240" w:lineRule="auto"/>
      <w:jc w:val="both"/>
    </w:pPr>
    <w:rPr>
      <w:rFonts w:ascii="Helvetica" w:eastAsia="Times New Roman" w:hAnsi="Helvetica" w:cs="Times New Roman"/>
      <w:sz w:val="20"/>
      <w:szCs w:val="20"/>
      <w:lang w:eastAsia="de-DE"/>
    </w:rPr>
  </w:style>
  <w:style w:type="paragraph" w:customStyle="1" w:styleId="Puce2">
    <w:name w:val="Puce 2"/>
    <w:basedOn w:val="Normal"/>
    <w:qFormat/>
    <w:pPr>
      <w:spacing w:before="60" w:after="60" w:line="240" w:lineRule="auto"/>
      <w:ind w:left="284" w:hanging="142"/>
      <w:jc w:val="both"/>
    </w:pPr>
    <w:rPr>
      <w:sz w:val="20"/>
      <w:szCs w:val="20"/>
      <w:lang w:val="fr-FR"/>
    </w:rPr>
  </w:style>
  <w:style w:type="paragraph" w:customStyle="1" w:styleId="Puce3">
    <w:name w:val="Puce 3"/>
    <w:basedOn w:val="Normal"/>
    <w:qFormat/>
    <w:pPr>
      <w:spacing w:before="60" w:after="60" w:line="240" w:lineRule="auto"/>
      <w:ind w:left="426" w:hanging="142"/>
      <w:jc w:val="both"/>
    </w:pPr>
    <w:rPr>
      <w:sz w:val="20"/>
      <w:szCs w:val="20"/>
      <w:lang w:val="fr-FR"/>
    </w:rPr>
  </w:style>
  <w:style w:type="paragraph" w:customStyle="1" w:styleId="Puce1">
    <w:name w:val="Puce 1"/>
    <w:basedOn w:val="Normal"/>
    <w:qFormat/>
    <w:pPr>
      <w:spacing w:before="60" w:after="60" w:line="240" w:lineRule="auto"/>
      <w:ind w:left="142" w:hanging="142"/>
      <w:jc w:val="both"/>
    </w:pPr>
    <w:rPr>
      <w:sz w:val="20"/>
      <w:szCs w:val="20"/>
      <w:lang w:val="fr-FR"/>
    </w:rPr>
  </w:style>
  <w:style w:type="paragraph" w:customStyle="1" w:styleId="Puce10">
    <w:name w:val="Puce1"/>
    <w:basedOn w:val="Normal"/>
    <w:link w:val="Puce1Car"/>
    <w:pPr>
      <w:tabs>
        <w:tab w:val="num" w:pos="1069"/>
      </w:tabs>
      <w:spacing w:before="60" w:after="60" w:line="240" w:lineRule="auto"/>
      <w:ind w:left="993" w:hanging="284"/>
      <w:jc w:val="both"/>
    </w:pPr>
    <w:rPr>
      <w:rFonts w:ascii="Arial" w:eastAsia="Times New Roman" w:hAnsi="Arial" w:cs="Times New Roman"/>
      <w:sz w:val="20"/>
      <w:szCs w:val="24"/>
      <w:lang w:eastAsia="fr-FR"/>
    </w:rPr>
  </w:style>
  <w:style w:type="character" w:customStyle="1" w:styleId="Puce1Car">
    <w:name w:val="Puce1 Car"/>
    <w:link w:val="Puce10"/>
    <w:rPr>
      <w:rFonts w:ascii="Arial" w:eastAsia="Times New Roman" w:hAnsi="Arial" w:cs="Times New Roman"/>
      <w:sz w:val="20"/>
      <w:szCs w:val="24"/>
      <w:lang w:eastAsia="fr-FR"/>
    </w:rPr>
  </w:style>
  <w:style w:type="character" w:customStyle="1" w:styleId="FootnoteTextChar3">
    <w:name w:val="Footnote Text Char3"/>
    <w:aliases w:val="Footnote Text Char1 Char1,Footnote Text Char Char Char1,Footnote Text Char2 Char Char Char1,Footnote Text Char3 Char1 Char Char Char1,Footnote Text Char2 Char1 Char1 Char Char Char1,Footnote Text Char3 Char1 Char Char Char Char Char1"/>
    <w:uiPriority w:val="99"/>
    <w:locked/>
    <w:rPr>
      <w:rFonts w:ascii="Arial" w:hAnsi="Arial"/>
      <w:sz w:val="18"/>
      <w:lang w:val="en-GB"/>
    </w:rPr>
  </w:style>
  <w:style w:type="character" w:customStyle="1" w:styleId="FootnotetestChar">
    <w:name w:val="Footnotetest Char"/>
    <w:aliases w:val="Note de bas de page Car Car Car Car Car Car Car Car Car Car Char,Note de bas de page Car Car Car Car Char,Note de bas de page Car Car Car Car Car Car Car Car Car Char,f t Char"/>
    <w:basedOn w:val="DefaultParagraphFont"/>
    <w:uiPriority w:val="99"/>
    <w:rPr>
      <w:rFonts w:ascii="Arial" w:hAnsi="Arial"/>
      <w:sz w:val="18"/>
      <w:lang w:val="en-GB"/>
    </w:rPr>
  </w:style>
  <w:style w:type="character" w:customStyle="1" w:styleId="apple-converted-space">
    <w:name w:val="apple-converted-space"/>
    <w:basedOn w:val="DefaultParagraphFont"/>
  </w:style>
  <w:style w:type="character" w:customStyle="1" w:styleId="outputecliaff">
    <w:name w:val="outputecliaff"/>
    <w:basedOn w:val="DefaultParagraphFont"/>
  </w:style>
  <w:style w:type="character" w:customStyle="1" w:styleId="ms-rtethemefontface-21">
    <w:name w:val="ms-rtethemefontface-21"/>
    <w:basedOn w:val="DefaultParagraphFont"/>
    <w:rPr>
      <w:rFonts w:ascii="Arial" w:hAnsi="Arial" w:cs="Arial" w:hint="default"/>
    </w:rPr>
  </w:style>
  <w:style w:type="character" w:customStyle="1" w:styleId="ms-rtethemefontface-22">
    <w:name w:val="ms-rtethemefontface-22"/>
    <w:basedOn w:val="DefaultParagraphFont"/>
    <w:rPr>
      <w:rFonts w:ascii="Arial" w:hAnsi="Arial" w:cs="Arial" w:hint="default"/>
    </w:rPr>
  </w:style>
  <w:style w:type="table" w:customStyle="1" w:styleId="TableauGrille4-Accentuation51">
    <w:name w:val="Tableau Grille 4 - Accentuation 51"/>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1">
    <w:name w:val="Text 1"/>
    <w:basedOn w:val="Normal"/>
    <w:pPr>
      <w:spacing w:before="120" w:after="120" w:line="240" w:lineRule="auto"/>
      <w:ind w:left="850"/>
      <w:jc w:val="both"/>
    </w:pPr>
    <w:rPr>
      <w:rFonts w:ascii="Times New Roman" w:hAnsi="Times New Roman" w:cs="Times New Roman"/>
      <w:sz w:val="24"/>
    </w:rPr>
  </w:style>
  <w:style w:type="character" w:customStyle="1" w:styleId="Corpsdutexte">
    <w:name w:val="Corps du texte_"/>
    <w:basedOn w:val="DefaultParagraphFont"/>
    <w:rPr>
      <w:b w:val="0"/>
      <w:bCs w:val="0"/>
      <w:i w:val="0"/>
      <w:iCs w:val="0"/>
      <w:smallCaps w:val="0"/>
      <w:strike w:val="0"/>
      <w:sz w:val="23"/>
      <w:szCs w:val="23"/>
      <w:u w:val="none"/>
    </w:rPr>
  </w:style>
  <w:style w:type="paragraph" w:customStyle="1" w:styleId="En-tte1">
    <w:name w:val="En-tête1"/>
    <w:next w:val="Corps"/>
    <w:pPr>
      <w:keepNext/>
      <w:pBdr>
        <w:top w:val="nil"/>
        <w:left w:val="nil"/>
        <w:bottom w:val="nil"/>
        <w:right w:val="nil"/>
        <w:between w:val="nil"/>
        <w:bar w:val="nil"/>
      </w:pBdr>
      <w:tabs>
        <w:tab w:val="left" w:pos="480"/>
      </w:tabs>
      <w:spacing w:before="240" w:after="240" w:line="240" w:lineRule="auto"/>
      <w:jc w:val="both"/>
      <w:outlineLvl w:val="0"/>
    </w:pPr>
    <w:rPr>
      <w:rFonts w:ascii="Times New Roman" w:eastAsia="Arial Unicode MS" w:hAnsi="Times New Roman" w:cs="Arial Unicode MS"/>
      <w:b/>
      <w:bCs/>
      <w:smallCaps/>
      <w:color w:val="000000"/>
      <w:sz w:val="24"/>
      <w:szCs w:val="24"/>
      <w:u w:color="000000"/>
      <w:bdr w:val="nil"/>
      <w:lang w:val="fr-FR" w:eastAsia="en-GB"/>
    </w:rPr>
  </w:style>
  <w:style w:type="paragraph" w:customStyle="1" w:styleId="Corps">
    <w:name w:val="Corps"/>
    <w:uiPriority w:val="99"/>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fr-FR" w:eastAsia="en-GB"/>
    </w:rPr>
  </w:style>
  <w:style w:type="numbering" w:customStyle="1" w:styleId="Style1import">
    <w:name w:val="Style 1 importé"/>
    <w:pPr>
      <w:numPr>
        <w:numId w:val="5"/>
      </w:numPr>
    </w:pPr>
  </w:style>
  <w:style w:type="paragraph" w:customStyle="1" w:styleId="Sous-section2">
    <w:name w:val="Sous-section 2"/>
    <w:next w:val="Normal"/>
    <w:pPr>
      <w:keepNext/>
      <w:pBdr>
        <w:top w:val="nil"/>
        <w:left w:val="nil"/>
        <w:bottom w:val="nil"/>
        <w:right w:val="nil"/>
        <w:between w:val="nil"/>
        <w:bar w:val="nil"/>
      </w:pBdr>
      <w:tabs>
        <w:tab w:val="left" w:pos="1080"/>
      </w:tabs>
      <w:spacing w:after="240" w:line="240" w:lineRule="auto"/>
      <w:jc w:val="both"/>
      <w:outlineLvl w:val="1"/>
    </w:pPr>
    <w:rPr>
      <w:rFonts w:ascii="Times New Roman" w:eastAsia="Arial Unicode MS" w:hAnsi="Times New Roman" w:cs="Arial Unicode MS"/>
      <w:b/>
      <w:bCs/>
      <w:color w:val="000000"/>
      <w:sz w:val="24"/>
      <w:szCs w:val="24"/>
      <w:u w:color="000000"/>
      <w:bdr w:val="nil"/>
      <w:lang w:val="en-US"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ret0">
    <w:name w:val="Tiret 0"/>
    <w:basedOn w:val="Normal"/>
    <w:pPr>
      <w:numPr>
        <w:numId w:val="6"/>
      </w:numPr>
      <w:spacing w:before="120" w:after="120" w:line="240" w:lineRule="auto"/>
      <w:jc w:val="both"/>
    </w:pPr>
    <w:rPr>
      <w:rFonts w:ascii="Times New Roman" w:hAnsi="Times New Roman" w:cs="Times New Roman"/>
      <w:sz w:val="24"/>
    </w:rPr>
  </w:style>
  <w:style w:type="character" w:customStyle="1" w:styleId="s12">
    <w:name w:val="s12"/>
    <w:basedOn w:val="DefaultParagraphFont"/>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0"/>
      <w:szCs w:val="20"/>
      <w:vertAlign w:val="superscript"/>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al"/>
    <w:uiPriority w:val="99"/>
    <w:pPr>
      <w:spacing w:after="160" w:line="240" w:lineRule="exact"/>
      <w:jc w:val="both"/>
    </w:pPr>
    <w:rPr>
      <w:rFonts w:ascii="Times New Roman" w:eastAsia="Times New Roman" w:hAnsi="Times New Roman" w:cs="Times New Roman"/>
      <w:sz w:val="20"/>
      <w:szCs w:val="20"/>
      <w:vertAlign w:val="superscript"/>
      <w:lang w:val="fr-BE" w:eastAsia="zh-TW"/>
    </w:r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En-tte">
    <w:name w:val="En-tête"/>
    <w:next w:val="Corps"/>
    <w:pPr>
      <w:keepNext/>
      <w:pBdr>
        <w:top w:val="nil"/>
        <w:left w:val="nil"/>
        <w:bottom w:val="nil"/>
        <w:right w:val="nil"/>
        <w:between w:val="nil"/>
        <w:bar w:val="nil"/>
      </w:pBdr>
      <w:tabs>
        <w:tab w:val="left" w:pos="480"/>
      </w:tabs>
      <w:spacing w:before="240" w:after="240" w:line="240" w:lineRule="auto"/>
      <w:jc w:val="both"/>
      <w:outlineLvl w:val="0"/>
    </w:pPr>
    <w:rPr>
      <w:rFonts w:ascii="Times New Roman" w:eastAsia="Arial Unicode MS" w:hAnsi="Times New Roman" w:cs="Arial Unicode MS"/>
      <w:b/>
      <w:bCs/>
      <w:smallCaps/>
      <w:color w:val="000000"/>
      <w:sz w:val="24"/>
      <w:szCs w:val="24"/>
      <w:u w:color="000000"/>
      <w:bdr w:val="nil"/>
      <w:lang w:val="fr-FR" w:eastAsia="en-GB"/>
    </w:rPr>
  </w:style>
  <w:style w:type="paragraph" w:customStyle="1" w:styleId="Pa0">
    <w:name w:val="Pa0"/>
    <w:basedOn w:val="Default"/>
    <w:next w:val="Default"/>
    <w:uiPriority w:val="99"/>
    <w:pPr>
      <w:autoSpaceDE w:val="0"/>
      <w:autoSpaceDN w:val="0"/>
      <w:adjustRightInd w:val="0"/>
      <w:spacing w:line="241" w:lineRule="atLeast"/>
    </w:pPr>
    <w:rPr>
      <w:rFonts w:ascii="Helvetica Neue LT Std" w:eastAsiaTheme="minorHAnsi" w:hAnsi="Helvetica Neue LT Std" w:cstheme="minorBidi"/>
      <w:snapToGrid/>
      <w:sz w:val="24"/>
      <w:szCs w:val="24"/>
      <w:lang w:val="en-GB" w:eastAsia="en-US"/>
    </w:rPr>
  </w:style>
  <w:style w:type="character" w:customStyle="1" w:styleId="A5">
    <w:name w:val="A5"/>
    <w:uiPriority w:val="99"/>
    <w:rPr>
      <w:rFonts w:cs="Helvetica Neue LT Std"/>
      <w:color w:val="000000"/>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ajorEastAsia" w:hAnsi="Times New Roman" w:cstheme="majorBidi"/>
      <w:color w:val="365F91" w:themeColor="accent1" w:themeShade="BF"/>
      <w:sz w:val="24"/>
      <w:szCs w:val="28"/>
      <w:lang w:val="en-US" w:eastAsia="ja-JP"/>
    </w:rPr>
  </w:style>
  <w:style w:type="character" w:customStyle="1" w:styleId="TOCHeadingChar">
    <w:name w:val="TOC Heading Char"/>
    <w:basedOn w:val="Heading1Char"/>
    <w:link w:val="TOCHeading"/>
    <w:uiPriority w:val="39"/>
    <w:rPr>
      <w:rFonts w:asciiTheme="majorHAnsi" w:eastAsiaTheme="majorEastAsia" w:hAnsiTheme="majorHAnsi" w:cstheme="majorBidi"/>
      <w:b/>
      <w:bCs/>
      <w:color w:val="365F91" w:themeColor="accent1" w:themeShade="BF"/>
      <w:sz w:val="28"/>
      <w:szCs w:val="28"/>
      <w:lang w:val="en-US" w:eastAsia="ja-JP"/>
    </w:rPr>
  </w:style>
  <w:style w:type="character" w:customStyle="1" w:styleId="FooterCoverPageChar">
    <w:name w:val="Footer Cover Page Char"/>
    <w:basedOn w:val="TOCHeadingChar"/>
    <w:link w:val="FooterCoverPage"/>
    <w:rPr>
      <w:rFonts w:ascii="Times New Roman" w:eastAsiaTheme="majorEastAsia" w:hAnsi="Times New Roman" w:cstheme="majorBidi"/>
      <w:b w:val="0"/>
      <w:bCs w:val="0"/>
      <w:color w:val="365F91" w:themeColor="accent1" w:themeShade="BF"/>
      <w:sz w:val="24"/>
      <w:szCs w:val="28"/>
      <w:lang w:val="en-US" w:eastAsia="ja-JP"/>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ajorEastAsia" w:hAnsi="Times New Roman" w:cstheme="majorBidi"/>
      <w:color w:val="365F91" w:themeColor="accent1" w:themeShade="BF"/>
      <w:sz w:val="24"/>
      <w:szCs w:val="28"/>
      <w:lang w:val="en-US" w:eastAsia="ja-JP"/>
    </w:rPr>
  </w:style>
  <w:style w:type="character" w:customStyle="1" w:styleId="HeaderCoverPageChar">
    <w:name w:val="Header Cover Page Char"/>
    <w:basedOn w:val="TOCHeadingChar"/>
    <w:link w:val="HeaderCoverPage"/>
    <w:rPr>
      <w:rFonts w:ascii="Times New Roman" w:eastAsiaTheme="majorEastAsia" w:hAnsi="Times New Roman" w:cstheme="majorBidi"/>
      <w:b w:val="0"/>
      <w:bCs w:val="0"/>
      <w:color w:val="365F91" w:themeColor="accent1" w:themeShade="BF"/>
      <w:sz w:val="24"/>
      <w:szCs w:val="28"/>
      <w:lang w:val="en-US" w:eastAsia="ja-JP"/>
    </w:rPr>
  </w:style>
  <w:style w:type="character" w:customStyle="1" w:styleId="FootnoteTextChar2">
    <w:name w:val="Footnote Text Char2"/>
    <w:aliases w:val="Footnote Text Char Char Char2,Fußnote Char2,single space Char2,FOOTNOTES Char2,fn Char2,Char Char Char Char2,Note de bas de page2 Char2,Footnotes Char Char2,footnote text Char Char2,Footnotes Char11,Footn Cha"/>
    <w:basedOn w:val="DefaultParagraphFont"/>
    <w:uiPriority w:val="99"/>
    <w:rPr>
      <w:rFonts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style>
  <w:style w:type="paragraph" w:styleId="Heading1">
    <w:name w:val="heading 1"/>
    <w:aliases w:val="h1"/>
    <w:basedOn w:val="Normal"/>
    <w:next w:val="Normal"/>
    <w:link w:val="Heading1Char"/>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l2,list + change bar,???,heading 2,h21,Titre 2"/>
    <w:basedOn w:val="Normal"/>
    <w:next w:val="Normal"/>
    <w:link w:val="Heading2Char"/>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1,h3,3,heading 3,Underrubrik2,Titre 3"/>
    <w:basedOn w:val="Normal"/>
    <w:next w:val="Normal"/>
    <w:link w:val="Heading3Char"/>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1,h4"/>
    <w:basedOn w:val="Normal"/>
    <w:next w:val="Normal"/>
    <w:link w:val="Heading4Char"/>
    <w:unhideWhenUsed/>
    <w:qFormat/>
    <w:pPr>
      <w:spacing w:after="120" w:line="240" w:lineRule="auto"/>
      <w:jc w:val="both"/>
      <w:outlineLvl w:val="3"/>
    </w:pPr>
    <w:rPr>
      <w:rFonts w:ascii="Times New Roman" w:hAnsi="Times New Roman" w:cs="Times New Roman"/>
      <w:i/>
      <w:sz w:val="24"/>
      <w:u w:val="single"/>
      <w:lang w:val="en-US"/>
    </w:rPr>
  </w:style>
  <w:style w:type="paragraph" w:styleId="Heading5">
    <w:name w:val="heading 5"/>
    <w:basedOn w:val="Normal"/>
    <w:next w:val="Normal"/>
    <w:link w:val="Heading5Char"/>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l2 Char,list + change bar Char,??? Char,heading 2 Char,h21 Char,Titre 2 Char"/>
    <w:basedOn w:val="DefaultParagraphFont"/>
    <w:link w:val="Heading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1 Char,h3 Char,3 Char,heading 3 Char,Underrubrik2 Char,Titre 3 Char"/>
    <w:basedOn w:val="DefaultParagraphFont"/>
    <w:link w:val="Heading3"/>
    <w:rPr>
      <w:rFonts w:asciiTheme="majorHAnsi" w:eastAsiaTheme="majorEastAsia" w:hAnsiTheme="majorHAnsi" w:cstheme="majorBidi"/>
      <w:b/>
      <w:bCs/>
      <w:color w:val="4F81BD" w:themeColor="accent1"/>
    </w:rPr>
  </w:style>
  <w:style w:type="character" w:customStyle="1" w:styleId="Heading4Char">
    <w:name w:val="Heading 4 Char"/>
    <w:aliases w:val="h41 Char,h4 Char"/>
    <w:basedOn w:val="DefaultParagraphFont"/>
    <w:link w:val="Heading4"/>
    <w:rPr>
      <w:rFonts w:ascii="Times New Roman" w:hAnsi="Times New Roman" w:cs="Times New Roman"/>
      <w:i/>
      <w:sz w:val="24"/>
      <w:u w:val="single"/>
      <w:lang w:val="en-US"/>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rPr>
  </w:style>
  <w:style w:type="paragraph" w:styleId="FootnoteText">
    <w:name w:val="footnote text"/>
    <w:aliases w:val="Footnote Text3 Char,Footnote Text12 Char,ALTS FOOTNOTE12 Char,Footnote Text Char112 Char,Footnote Text Char Char Char12 Char,Footnote Text Char1 Char Char Char Char12 Char,Footnote Text Char1 Char Char Char12 Char,Footnote Text3,fn,f,Plonk"/>
    <w:basedOn w:val="Normal"/>
    <w:link w:val="FootnoteTextChar"/>
    <w:uiPriority w:val="99"/>
    <w:unhideWhenUsed/>
    <w:qFormat/>
    <w:pPr>
      <w:spacing w:after="0" w:line="240" w:lineRule="auto"/>
      <w:ind w:left="720" w:hanging="720"/>
      <w:jc w:val="both"/>
    </w:pPr>
    <w:rPr>
      <w:rFonts w:ascii="Times New Roman" w:hAnsi="Times New Roman" w:cs="Times New Roman"/>
      <w:sz w:val="20"/>
      <w:szCs w:val="20"/>
    </w:rPr>
  </w:style>
  <w:style w:type="character" w:customStyle="1" w:styleId="FootnoteTextChar">
    <w:name w:val="Footnote Text Char"/>
    <w:aliases w:val="Footnote Text3 Char Char,Footnote Text12 Char Char,ALTS FOOTNOTE12 Char Char,Footnote Text Char112 Char Char,Footnote Text Char Char Char12 Char Char,Footnote Text Char1 Char Char Char Char12 Char Char,Footnote Text3 Char1,fn Char"/>
    <w:basedOn w:val="DefaultParagraphFont"/>
    <w:link w:val="FootnoteText"/>
    <w:uiPriority w:val="99"/>
    <w:rPr>
      <w:rFonts w:ascii="Times New Roman" w:hAnsi="Times New Roman" w:cs="Times New Roman"/>
      <w:sz w:val="20"/>
      <w:szCs w:val="20"/>
    </w:rPr>
  </w:style>
  <w:style w:type="character" w:styleId="FootnoteReference">
    <w:name w:val="footnote reference"/>
    <w:aliases w:val="Nota,fr,o,Style 6,(NECG) Footnote Reference,Footnote,Footnote symbol,Voetnootverwijzing,Appel note de bas de p,Style 12,Style 124,Footnote number,Footnotemark,FR,Footnotemark1,Footnotemark2,FR1,Footnotemark3,FR2,Footnotemark4,FR3,FR4"/>
    <w:basedOn w:val="DefaultParagraphFont"/>
    <w:link w:val="FootnoteReferenceNumber"/>
    <w:uiPriority w:val="99"/>
    <w:unhideWhenUsed/>
    <w:qFormat/>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before="120" w:after="12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stylish"/>
    <w:basedOn w:val="Normal"/>
    <w:link w:val="FootnoteReference"/>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Indent">
    <w:name w:val="Normal Indent"/>
    <w:basedOn w:val="Normal"/>
    <w:uiPriority w:val="99"/>
    <w:pPr>
      <w:spacing w:after="240" w:line="312" w:lineRule="atLeast"/>
      <w:ind w:left="568"/>
      <w:jc w:val="both"/>
    </w:pPr>
    <w:rPr>
      <w:rFonts w:ascii="Arial" w:eastAsia="Times New Roman" w:hAnsi="Arial" w:cs="Times New Roman"/>
      <w:szCs w:val="20"/>
      <w:lang w:eastAsia="de-DE"/>
    </w:rPr>
  </w:style>
  <w:style w:type="paragraph" w:styleId="TOC2">
    <w:name w:val="toc 2"/>
    <w:basedOn w:val="Normal"/>
    <w:next w:val="Normal"/>
    <w:uiPriority w:val="39"/>
    <w:qFormat/>
    <w:pPr>
      <w:tabs>
        <w:tab w:val="right" w:pos="8505"/>
      </w:tabs>
      <w:spacing w:after="120" w:line="312" w:lineRule="atLeast"/>
      <w:ind w:left="709" w:hanging="425"/>
    </w:pPr>
    <w:rPr>
      <w:rFonts w:ascii="Arial" w:eastAsia="Times New Roman" w:hAnsi="Arial" w:cs="Times New Roman"/>
      <w:sz w:val="20"/>
      <w:szCs w:val="20"/>
      <w:lang w:eastAsia="de-DE"/>
    </w:rPr>
  </w:style>
  <w:style w:type="paragraph" w:styleId="TOC1">
    <w:name w:val="toc 1"/>
    <w:basedOn w:val="Normal"/>
    <w:next w:val="Normal"/>
    <w:uiPriority w:val="39"/>
    <w:qFormat/>
    <w:pPr>
      <w:tabs>
        <w:tab w:val="right" w:pos="8505"/>
      </w:tabs>
      <w:spacing w:after="120" w:line="312" w:lineRule="atLeast"/>
      <w:ind w:left="284" w:hanging="284"/>
    </w:pPr>
    <w:rPr>
      <w:rFonts w:ascii="Arial" w:eastAsia="Times New Roman" w:hAnsi="Arial" w:cs="Times New Roman"/>
      <w:b/>
      <w:sz w:val="20"/>
      <w:szCs w:val="20"/>
      <w:lang w:eastAsia="de-DE"/>
    </w:rPr>
  </w:style>
  <w:style w:type="paragraph" w:styleId="TOC3">
    <w:name w:val="toc 3"/>
    <w:basedOn w:val="Normal"/>
    <w:next w:val="Normal"/>
    <w:uiPriority w:val="39"/>
    <w:qFormat/>
    <w:pPr>
      <w:tabs>
        <w:tab w:val="right" w:pos="8505"/>
      </w:tabs>
      <w:spacing w:after="120" w:line="312" w:lineRule="atLeast"/>
      <w:ind w:left="1276" w:hanging="567"/>
    </w:pPr>
    <w:rPr>
      <w:rFonts w:ascii="Arial" w:eastAsia="Times New Roman" w:hAnsi="Arial" w:cs="Times New Roman"/>
      <w:sz w:val="20"/>
      <w:szCs w:val="20"/>
      <w:lang w:eastAsia="de-DE"/>
    </w:rPr>
  </w:style>
  <w:style w:type="paragraph" w:styleId="TOC4">
    <w:name w:val="toc 4"/>
    <w:basedOn w:val="Normal"/>
    <w:next w:val="Normal"/>
    <w:uiPriority w:val="39"/>
    <w:pPr>
      <w:tabs>
        <w:tab w:val="right" w:pos="8505"/>
      </w:tabs>
      <w:spacing w:after="120" w:line="312" w:lineRule="atLeast"/>
      <w:ind w:left="1985" w:hanging="709"/>
    </w:pPr>
    <w:rPr>
      <w:rFonts w:ascii="Arial" w:eastAsia="Times New Roman" w:hAnsi="Arial" w:cs="Times New Roman"/>
      <w:sz w:val="20"/>
      <w:szCs w:val="20"/>
      <w:lang w:eastAsia="de-DE"/>
    </w:rPr>
  </w:style>
  <w:style w:type="paragraph" w:styleId="TOC5">
    <w:name w:val="toc 5"/>
    <w:basedOn w:val="Normal"/>
    <w:next w:val="Normal"/>
    <w:uiPriority w:val="39"/>
    <w:pPr>
      <w:tabs>
        <w:tab w:val="right" w:pos="8566"/>
      </w:tabs>
      <w:spacing w:after="120" w:line="312" w:lineRule="atLeast"/>
      <w:ind w:left="2977" w:hanging="992"/>
    </w:pPr>
    <w:rPr>
      <w:rFonts w:ascii="Arial" w:eastAsia="Times New Roman" w:hAnsi="Arial" w:cs="Times New Roman"/>
      <w:sz w:val="20"/>
      <w:szCs w:val="20"/>
      <w:lang w:eastAsia="de-DE"/>
    </w:rPr>
  </w:style>
  <w:style w:type="paragraph" w:styleId="TOC6">
    <w:name w:val="toc 6"/>
    <w:basedOn w:val="Normal"/>
    <w:next w:val="Normal"/>
    <w:uiPriority w:val="39"/>
    <w:pPr>
      <w:tabs>
        <w:tab w:val="right" w:leader="dot" w:pos="8566"/>
      </w:tabs>
      <w:spacing w:after="240" w:line="312" w:lineRule="atLeast"/>
      <w:ind w:left="1100"/>
      <w:jc w:val="both"/>
    </w:pPr>
    <w:rPr>
      <w:rFonts w:ascii="Arial" w:eastAsia="Times New Roman" w:hAnsi="Arial" w:cs="Times New Roman"/>
      <w:szCs w:val="20"/>
      <w:lang w:eastAsia="de-DE"/>
    </w:rPr>
  </w:style>
  <w:style w:type="paragraph" w:styleId="TOC7">
    <w:name w:val="toc 7"/>
    <w:basedOn w:val="Normal"/>
    <w:next w:val="Normal"/>
    <w:uiPriority w:val="39"/>
    <w:pPr>
      <w:tabs>
        <w:tab w:val="right" w:leader="dot" w:pos="8566"/>
      </w:tabs>
      <w:spacing w:after="240" w:line="312" w:lineRule="atLeast"/>
      <w:ind w:left="1320"/>
      <w:jc w:val="both"/>
    </w:pPr>
    <w:rPr>
      <w:rFonts w:ascii="Arial" w:eastAsia="Times New Roman" w:hAnsi="Arial" w:cs="Times New Roman"/>
      <w:szCs w:val="20"/>
      <w:lang w:eastAsia="de-DE"/>
    </w:rPr>
  </w:style>
  <w:style w:type="paragraph" w:styleId="TOC8">
    <w:name w:val="toc 8"/>
    <w:basedOn w:val="Normal"/>
    <w:next w:val="Normal"/>
    <w:uiPriority w:val="39"/>
    <w:pPr>
      <w:tabs>
        <w:tab w:val="right" w:leader="dot" w:pos="8566"/>
      </w:tabs>
      <w:spacing w:after="240" w:line="312" w:lineRule="atLeast"/>
      <w:ind w:left="1540"/>
      <w:jc w:val="both"/>
    </w:pPr>
    <w:rPr>
      <w:rFonts w:ascii="Arial" w:eastAsia="Times New Roman" w:hAnsi="Arial" w:cs="Times New Roman"/>
      <w:szCs w:val="20"/>
      <w:lang w:eastAsia="de-DE"/>
    </w:rPr>
  </w:style>
  <w:style w:type="paragraph" w:styleId="TOC9">
    <w:name w:val="toc 9"/>
    <w:basedOn w:val="Normal"/>
    <w:next w:val="Normal"/>
    <w:uiPriority w:val="39"/>
    <w:pPr>
      <w:tabs>
        <w:tab w:val="right" w:leader="dot" w:pos="8566"/>
      </w:tabs>
      <w:spacing w:after="240" w:line="312" w:lineRule="atLeast"/>
      <w:ind w:left="1760"/>
      <w:jc w:val="both"/>
    </w:pPr>
    <w:rPr>
      <w:rFonts w:ascii="Arial" w:eastAsia="Times New Roman" w:hAnsi="Arial" w:cs="Times New Roman"/>
      <w:szCs w:val="20"/>
      <w:lang w:eastAsia="de-DE"/>
    </w:rPr>
  </w:style>
  <w:style w:type="paragraph" w:styleId="Footer">
    <w:name w:val="footer"/>
    <w:basedOn w:val="Normal"/>
    <w:link w:val="FooterChar"/>
    <w:uiPriority w:val="99"/>
    <w:pPr>
      <w:tabs>
        <w:tab w:val="center" w:pos="4819"/>
        <w:tab w:val="right" w:pos="9071"/>
      </w:tabs>
      <w:spacing w:after="240" w:line="312" w:lineRule="atLeast"/>
      <w:jc w:val="both"/>
    </w:pPr>
    <w:rPr>
      <w:rFonts w:ascii="Arial" w:eastAsia="Times New Roman" w:hAnsi="Arial" w:cs="Times New Roman"/>
      <w:szCs w:val="20"/>
      <w:lang w:eastAsia="de-DE"/>
    </w:rPr>
  </w:style>
  <w:style w:type="character" w:customStyle="1" w:styleId="FooterChar">
    <w:name w:val="Footer Char"/>
    <w:basedOn w:val="DefaultParagraphFont"/>
    <w:link w:val="Footer"/>
    <w:uiPriority w:val="99"/>
    <w:rPr>
      <w:rFonts w:ascii="Arial" w:eastAsia="Times New Roman" w:hAnsi="Arial" w:cs="Times New Roman"/>
      <w:szCs w:val="20"/>
      <w:lang w:eastAsia="de-DE"/>
    </w:rPr>
  </w:style>
  <w:style w:type="paragraph" w:styleId="Header">
    <w:name w:val="header"/>
    <w:basedOn w:val="Normal"/>
    <w:link w:val="HeaderChar"/>
    <w:pPr>
      <w:tabs>
        <w:tab w:val="center" w:pos="4253"/>
        <w:tab w:val="right" w:pos="8505"/>
      </w:tabs>
      <w:spacing w:after="480" w:line="336" w:lineRule="atLeast"/>
      <w:jc w:val="both"/>
    </w:pPr>
    <w:rPr>
      <w:rFonts w:ascii="Arial" w:eastAsia="Times New Roman" w:hAnsi="Arial" w:cs="Times New Roman"/>
      <w:szCs w:val="20"/>
      <w:lang w:eastAsia="de-DE"/>
    </w:rPr>
  </w:style>
  <w:style w:type="character" w:customStyle="1" w:styleId="HeaderChar">
    <w:name w:val="Header Char"/>
    <w:basedOn w:val="DefaultParagraphFont"/>
    <w:link w:val="Header"/>
    <w:rPr>
      <w:rFonts w:ascii="Arial" w:eastAsia="Times New Roman" w:hAnsi="Arial" w:cs="Times New Roman"/>
      <w:szCs w:val="20"/>
      <w:lang w:eastAsia="de-DE"/>
    </w:rPr>
  </w:style>
  <w:style w:type="paragraph" w:customStyle="1" w:styleId="Abbberschrift">
    <w:name w:val="Abb_Überschrift"/>
    <w:basedOn w:val="Normal"/>
    <w:next w:val="Normal"/>
    <w:pPr>
      <w:keepNext/>
      <w:spacing w:before="120" w:after="120" w:line="312" w:lineRule="atLeast"/>
      <w:ind w:left="1418" w:hanging="1418"/>
    </w:pPr>
    <w:rPr>
      <w:rFonts w:ascii="Arial" w:eastAsia="Times New Roman" w:hAnsi="Arial" w:cs="Times New Roman"/>
      <w:szCs w:val="20"/>
      <w:lang w:eastAsia="de-DE"/>
    </w:rPr>
  </w:style>
  <w:style w:type="paragraph" w:customStyle="1" w:styleId="Spiegelstrich">
    <w:name w:val="Spiegelstrich"/>
    <w:basedOn w:val="Normal"/>
    <w:pPr>
      <w:numPr>
        <w:numId w:val="4"/>
      </w:numPr>
      <w:tabs>
        <w:tab w:val="left" w:pos="357"/>
      </w:tabs>
      <w:spacing w:after="240" w:line="312" w:lineRule="atLeast"/>
      <w:jc w:val="both"/>
    </w:pPr>
    <w:rPr>
      <w:rFonts w:ascii="Arial" w:eastAsia="Times New Roman" w:hAnsi="Arial" w:cs="Times New Roman"/>
      <w:szCs w:val="20"/>
      <w:lang w:eastAsia="de-DE"/>
    </w:rPr>
  </w:style>
  <w:style w:type="paragraph" w:customStyle="1" w:styleId="Zahlen">
    <w:name w:val="Zahlen"/>
    <w:basedOn w:val="Spiegelstrich"/>
    <w:pPr>
      <w:numPr>
        <w:numId w:val="0"/>
      </w:numPr>
    </w:pPr>
  </w:style>
  <w:style w:type="paragraph" w:styleId="Bibliography">
    <w:name w:val="Bibliography"/>
    <w:basedOn w:val="Normal"/>
    <w:pPr>
      <w:spacing w:after="240" w:line="240" w:lineRule="atLeast"/>
      <w:ind w:left="720" w:hanging="720"/>
      <w:jc w:val="both"/>
    </w:pPr>
    <w:rPr>
      <w:rFonts w:ascii="Arial" w:eastAsia="Times New Roman" w:hAnsi="Arial" w:cs="Times New Roman"/>
      <w:sz w:val="20"/>
      <w:szCs w:val="20"/>
      <w:lang w:eastAsia="de-DE"/>
    </w:rPr>
  </w:style>
  <w:style w:type="paragraph" w:customStyle="1" w:styleId="ungerKopfzeile">
    <w:name w:val="unger. Kopfzeile"/>
    <w:basedOn w:val="Normal"/>
    <w:pPr>
      <w:tabs>
        <w:tab w:val="center" w:pos="4253"/>
        <w:tab w:val="right" w:pos="8505"/>
      </w:tabs>
      <w:spacing w:after="480" w:line="312" w:lineRule="atLeast"/>
      <w:jc w:val="both"/>
    </w:pPr>
    <w:rPr>
      <w:rFonts w:ascii="Arial" w:eastAsia="Times New Roman" w:hAnsi="Arial" w:cs="Times New Roman"/>
      <w:szCs w:val="20"/>
      <w:lang w:eastAsia="de-DE"/>
    </w:rPr>
  </w:style>
  <w:style w:type="paragraph" w:customStyle="1" w:styleId="Quelle">
    <w:name w:val="Quelle"/>
    <w:basedOn w:val="Normal"/>
    <w:link w:val="QuelleChar"/>
    <w:pPr>
      <w:spacing w:before="120" w:after="480" w:line="240" w:lineRule="auto"/>
      <w:ind w:left="709" w:hanging="709"/>
      <w:jc w:val="both"/>
    </w:pPr>
    <w:rPr>
      <w:rFonts w:ascii="Arial" w:eastAsia="Times New Roman" w:hAnsi="Arial" w:cs="Times New Roman"/>
      <w:sz w:val="18"/>
      <w:szCs w:val="20"/>
      <w:lang w:eastAsia="de-DE"/>
    </w:rPr>
  </w:style>
  <w:style w:type="paragraph" w:customStyle="1" w:styleId="Tabberschrift">
    <w:name w:val="Tab_Überschrift"/>
    <w:basedOn w:val="Normal"/>
    <w:next w:val="Normal"/>
    <w:pPr>
      <w:keepNext/>
      <w:spacing w:before="120" w:after="120" w:line="312" w:lineRule="atLeast"/>
      <w:ind w:left="1418" w:hanging="1418"/>
    </w:pPr>
    <w:rPr>
      <w:rFonts w:ascii="Arial" w:eastAsia="Times New Roman" w:hAnsi="Arial" w:cs="Times New Roman"/>
      <w:szCs w:val="20"/>
      <w:lang w:eastAsia="de-DE"/>
    </w:rPr>
  </w:style>
  <w:style w:type="paragraph" w:styleId="Caption">
    <w:name w:val="caption"/>
    <w:aliases w:val="Figure Caption, Char Char,Char Char,Figure Caption + Avant : 14 pt,Motif : Transparente (Gris - 15 %),TF,Caption (all),Inscription,Beschriftung Char Char Char,Beschriftung Char,Caption2,figura,figura1,figura2,ITT d,Table Title,cp + Justifie"/>
    <w:basedOn w:val="Normal"/>
    <w:next w:val="Normal"/>
    <w:link w:val="CaptionChar"/>
    <w:qFormat/>
    <w:pPr>
      <w:spacing w:before="120" w:after="120" w:line="312" w:lineRule="atLeast"/>
      <w:jc w:val="both"/>
    </w:pPr>
    <w:rPr>
      <w:rFonts w:ascii="Arial" w:eastAsia="Times New Roman" w:hAnsi="Arial" w:cs="Times New Roman"/>
      <w:szCs w:val="20"/>
      <w:lang w:eastAsia="de-DE"/>
    </w:rPr>
  </w:style>
  <w:style w:type="paragraph" w:styleId="TableofFigures">
    <w:name w:val="table of figures"/>
    <w:basedOn w:val="Normal"/>
    <w:next w:val="Normal"/>
    <w:uiPriority w:val="99"/>
    <w:pPr>
      <w:tabs>
        <w:tab w:val="right" w:pos="8505"/>
      </w:tabs>
      <w:spacing w:after="120" w:line="312" w:lineRule="atLeast"/>
      <w:ind w:left="1559" w:hanging="1559"/>
    </w:pPr>
    <w:rPr>
      <w:rFonts w:ascii="Arial" w:eastAsia="Times New Roman" w:hAnsi="Arial" w:cs="Times New Roman"/>
      <w:sz w:val="20"/>
      <w:szCs w:val="20"/>
      <w:lang w:eastAsia="de-DE"/>
    </w:rPr>
  </w:style>
  <w:style w:type="paragraph" w:customStyle="1" w:styleId="Tabellenverzeichnis">
    <w:name w:val="Tabellenverzeichnis"/>
    <w:basedOn w:val="TableofFigures"/>
    <w:rPr>
      <w:sz w:val="22"/>
    </w:rPr>
  </w:style>
  <w:style w:type="paragraph" w:styleId="BlockText">
    <w:name w:val="Block Text"/>
    <w:basedOn w:val="Normal"/>
    <w:pPr>
      <w:spacing w:after="240" w:line="360" w:lineRule="atLeast"/>
      <w:ind w:left="680" w:right="680"/>
      <w:jc w:val="center"/>
    </w:pPr>
    <w:rPr>
      <w:rFonts w:ascii="Arial" w:eastAsia="Times New Roman" w:hAnsi="Arial" w:cs="Times New Roman"/>
      <w:szCs w:val="20"/>
      <w:lang w:val="de-DE" w:eastAsia="de-DE"/>
    </w:rPr>
  </w:style>
  <w:style w:type="table" w:styleId="TableGrid">
    <w:name w:val="Table Grid"/>
    <w:aliases w:val="Deloitte"/>
    <w:basedOn w:val="TableNormal"/>
    <w:uiPriority w:val="39"/>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styleId="BodyTextIndent">
    <w:name w:val="Body Text Indent"/>
    <w:basedOn w:val="Normal"/>
    <w:link w:val="BodyTextIndentChar"/>
    <w:pPr>
      <w:spacing w:after="240" w:line="312" w:lineRule="atLeast"/>
      <w:ind w:left="709"/>
      <w:jc w:val="both"/>
    </w:pPr>
    <w:rPr>
      <w:rFonts w:ascii="Arial" w:eastAsia="Times New Roman" w:hAnsi="Arial" w:cs="Times New Roman"/>
      <w:szCs w:val="20"/>
      <w:lang w:val="de-DE" w:eastAsia="de-DE"/>
    </w:rPr>
  </w:style>
  <w:style w:type="character" w:customStyle="1" w:styleId="BodyTextIndentChar">
    <w:name w:val="Body Text Indent Char"/>
    <w:basedOn w:val="DefaultParagraphFont"/>
    <w:link w:val="BodyTextIndent"/>
    <w:rPr>
      <w:rFonts w:ascii="Arial" w:eastAsia="Times New Roman" w:hAnsi="Arial" w:cs="Times New Roman"/>
      <w:szCs w:val="20"/>
      <w:lang w:val="de-DE" w:eastAsia="de-DE"/>
    </w:rPr>
  </w:style>
  <w:style w:type="paragraph" w:styleId="ListParagraph">
    <w:name w:val="List Paragraph"/>
    <w:aliases w:val="1st level - Bullet List Paragraph,Paragrafo elenco,List Paragraph1,Normal bullet 2,Puce focus,Contact,Paragraphe de liste 2,texte de base,6 pt paragraphe carré,calia titre 3"/>
    <w:basedOn w:val="Normal"/>
    <w:link w:val="ListParagraphChar"/>
    <w:uiPriority w:val="99"/>
    <w:qFormat/>
    <w:pPr>
      <w:spacing w:after="240" w:line="312" w:lineRule="atLeast"/>
      <w:ind w:left="720"/>
      <w:contextualSpacing/>
      <w:jc w:val="both"/>
    </w:pPr>
    <w:rPr>
      <w:rFonts w:ascii="Arial" w:eastAsia="Times New Roman" w:hAnsi="Arial" w:cs="Times New Roman"/>
      <w:szCs w:val="20"/>
      <w:lang w:eastAsia="de-DE"/>
    </w:rPr>
  </w:style>
  <w:style w:type="numbering" w:customStyle="1" w:styleId="KeineListe1">
    <w:name w:val="Keine Liste1"/>
    <w:next w:val="NoList"/>
    <w:uiPriority w:val="99"/>
    <w:semiHidden/>
    <w:unhideWhenUsed/>
  </w:style>
  <w:style w:type="table" w:customStyle="1" w:styleId="Tabellenraster1">
    <w:name w:val="Tabellenraster1"/>
    <w:basedOn w:val="TableNormal"/>
    <w:next w:val="TableGri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before="120" w:after="720" w:line="312" w:lineRule="atLeast"/>
      <w:jc w:val="center"/>
    </w:pPr>
    <w:rPr>
      <w:rFonts w:ascii="Arial" w:eastAsia="Times New Roman" w:hAnsi="Arial" w:cs="Times New Roman"/>
      <w:b/>
      <w:sz w:val="32"/>
      <w:szCs w:val="20"/>
      <w:lang w:eastAsia="de-DE"/>
    </w:rPr>
  </w:style>
  <w:style w:type="character" w:customStyle="1" w:styleId="BodyTextChar">
    <w:name w:val="Body Text Char"/>
    <w:basedOn w:val="DefaultParagraphFont"/>
    <w:link w:val="BodyText"/>
    <w:rPr>
      <w:rFonts w:ascii="Arial" w:eastAsia="Times New Roman" w:hAnsi="Arial" w:cs="Times New Roman"/>
      <w:b/>
      <w:sz w:val="32"/>
      <w:szCs w:val="20"/>
      <w:lang w:eastAsia="de-DE"/>
    </w:rPr>
  </w:style>
  <w:style w:type="paragraph" w:styleId="BodyText2">
    <w:name w:val="Body Text 2"/>
    <w:basedOn w:val="Normal"/>
    <w:link w:val="BodyText2Char"/>
    <w:pPr>
      <w:spacing w:before="120" w:after="240" w:line="240" w:lineRule="atLeast"/>
      <w:jc w:val="both"/>
    </w:pPr>
    <w:rPr>
      <w:rFonts w:ascii="Arial" w:eastAsia="Times New Roman" w:hAnsi="Arial" w:cs="Times New Roman"/>
      <w:szCs w:val="20"/>
      <w:lang w:eastAsia="de-DE"/>
    </w:rPr>
  </w:style>
  <w:style w:type="character" w:customStyle="1" w:styleId="BodyText2Char">
    <w:name w:val="Body Text 2 Char"/>
    <w:basedOn w:val="DefaultParagraphFont"/>
    <w:link w:val="BodyText2"/>
    <w:rPr>
      <w:rFonts w:ascii="Arial" w:eastAsia="Times New Roman" w:hAnsi="Arial" w:cs="Times New Roman"/>
      <w:szCs w:val="20"/>
      <w:lang w:eastAsia="de-DE"/>
    </w:rPr>
  </w:style>
  <w:style w:type="paragraph" w:styleId="BodyText3">
    <w:name w:val="Body Text 3"/>
    <w:basedOn w:val="Normal"/>
    <w:link w:val="BodyText3Char"/>
    <w:pPr>
      <w:spacing w:after="240" w:line="312" w:lineRule="atLeast"/>
      <w:jc w:val="both"/>
    </w:pPr>
    <w:rPr>
      <w:rFonts w:ascii="Arial" w:eastAsia="Times New Roman" w:hAnsi="Arial" w:cs="Times New Roman"/>
      <w:i/>
      <w:szCs w:val="20"/>
      <w:lang w:eastAsia="de-DE"/>
    </w:rPr>
  </w:style>
  <w:style w:type="character" w:customStyle="1" w:styleId="BodyText3Char">
    <w:name w:val="Body Text 3 Char"/>
    <w:basedOn w:val="DefaultParagraphFont"/>
    <w:link w:val="BodyText3"/>
    <w:rPr>
      <w:rFonts w:ascii="Arial" w:eastAsia="Times New Roman" w:hAnsi="Arial" w:cs="Times New Roman"/>
      <w:i/>
      <w:szCs w:val="20"/>
      <w:lang w:eastAsia="de-DE"/>
    </w:rPr>
  </w:style>
  <w:style w:type="paragraph" w:styleId="BodyTextIndent3">
    <w:name w:val="Body Text Indent 3"/>
    <w:basedOn w:val="Normal"/>
    <w:link w:val="BodyTextIndent3Char"/>
    <w:pPr>
      <w:spacing w:after="240" w:line="312" w:lineRule="atLeast"/>
      <w:ind w:left="3402" w:hanging="3402"/>
      <w:jc w:val="both"/>
    </w:pPr>
    <w:rPr>
      <w:rFonts w:ascii="Arial" w:eastAsia="Times New Roman" w:hAnsi="Arial" w:cs="Times New Roman"/>
      <w:szCs w:val="20"/>
      <w:lang w:eastAsia="de-DE"/>
    </w:rPr>
  </w:style>
  <w:style w:type="character" w:customStyle="1" w:styleId="BodyTextIndent3Char">
    <w:name w:val="Body Text Indent 3 Char"/>
    <w:basedOn w:val="DefaultParagraphFont"/>
    <w:link w:val="BodyTextIndent3"/>
    <w:rPr>
      <w:rFonts w:ascii="Arial" w:eastAsia="Times New Roman" w:hAnsi="Arial" w:cs="Times New Roman"/>
      <w:szCs w:val="20"/>
      <w:lang w:eastAsia="de-DE"/>
    </w:rPr>
  </w:style>
  <w:style w:type="paragraph" w:styleId="ListBullet">
    <w:name w:val="List Bullet"/>
    <w:aliases w:val="2"/>
    <w:basedOn w:val="Normal"/>
    <w:link w:val="ListBulletChar"/>
    <w:autoRedefine/>
    <w:pPr>
      <w:numPr>
        <w:numId w:val="3"/>
      </w:numPr>
      <w:spacing w:after="240" w:line="312" w:lineRule="atLeast"/>
      <w:jc w:val="both"/>
    </w:pPr>
    <w:rPr>
      <w:rFonts w:ascii="Arial" w:eastAsia="Times New Roman" w:hAnsi="Arial" w:cs="Times New Roman"/>
      <w:szCs w:val="20"/>
      <w:lang w:eastAsia="de-DE"/>
    </w:rPr>
  </w:style>
  <w:style w:type="paragraph" w:styleId="BodyTextIndent2">
    <w:name w:val="Body Text Indent 2"/>
    <w:basedOn w:val="Normal"/>
    <w:link w:val="BodyTextIndent2Char"/>
    <w:pPr>
      <w:spacing w:after="0" w:line="240" w:lineRule="auto"/>
      <w:ind w:left="426" w:hanging="426"/>
      <w:jc w:val="both"/>
    </w:pPr>
    <w:rPr>
      <w:rFonts w:ascii="Helvetica" w:eastAsia="Times New Roman" w:hAnsi="Helvetica" w:cs="Times New Roman"/>
      <w:sz w:val="18"/>
      <w:szCs w:val="20"/>
      <w:lang w:val="en-US" w:eastAsia="de-DE"/>
    </w:rPr>
  </w:style>
  <w:style w:type="character" w:customStyle="1" w:styleId="BodyTextIndent2Char">
    <w:name w:val="Body Text Indent 2 Char"/>
    <w:basedOn w:val="DefaultParagraphFont"/>
    <w:link w:val="BodyTextIndent2"/>
    <w:rPr>
      <w:rFonts w:ascii="Helvetica" w:eastAsia="Times New Roman" w:hAnsi="Helvetica" w:cs="Times New Roman"/>
      <w:sz w:val="18"/>
      <w:szCs w:val="20"/>
      <w:lang w:val="en-US" w:eastAsia="de-DE"/>
    </w:rPr>
  </w:style>
  <w:style w:type="paragraph" w:customStyle="1" w:styleId="Bullet">
    <w:name w:val="Bullet"/>
    <w:basedOn w:val="Normal"/>
    <w:pPr>
      <w:tabs>
        <w:tab w:val="left" w:pos="-720"/>
        <w:tab w:val="left" w:pos="0"/>
        <w:tab w:val="left" w:pos="720"/>
        <w:tab w:val="left" w:pos="1441"/>
        <w:tab w:val="left" w:pos="2161"/>
        <w:tab w:val="left" w:pos="2881"/>
        <w:tab w:val="left" w:pos="3601"/>
        <w:tab w:val="left" w:pos="4320"/>
        <w:tab w:val="left" w:pos="5041"/>
        <w:tab w:val="left" w:pos="5761"/>
        <w:tab w:val="left" w:pos="6481"/>
        <w:tab w:val="left" w:pos="7201"/>
        <w:tab w:val="left" w:pos="7921"/>
        <w:tab w:val="left" w:pos="8641"/>
      </w:tabs>
      <w:spacing w:after="0" w:line="200" w:lineRule="atLeast"/>
      <w:ind w:left="720" w:hanging="720"/>
      <w:jc w:val="both"/>
    </w:pPr>
    <w:rPr>
      <w:rFonts w:ascii="Times New Roman" w:eastAsia="Times New Roman" w:hAnsi="Times New Roman" w:cs="Times New Roman"/>
      <w:noProof/>
      <w:sz w:val="24"/>
      <w:szCs w:val="20"/>
      <w:lang w:eastAsia="de-DE"/>
    </w:rPr>
  </w:style>
  <w:style w:type="paragraph" w:customStyle="1" w:styleId="Nextrow">
    <w:name w:val="Nextrow"/>
    <w:pPr>
      <w:spacing w:before="40" w:after="40" w:line="240" w:lineRule="auto"/>
    </w:pPr>
    <w:rPr>
      <w:rFonts w:ascii="Times New Roman" w:eastAsia="Times New Roman" w:hAnsi="Times New Roman" w:cs="Times New Roman"/>
      <w:sz w:val="20"/>
      <w:szCs w:val="20"/>
      <w:lang w:eastAsia="de-DE"/>
    </w:rPr>
  </w:style>
  <w:style w:type="paragraph" w:customStyle="1" w:styleId="Default">
    <w:name w:val="Default"/>
    <w:pPr>
      <w:spacing w:after="0" w:line="240" w:lineRule="auto"/>
    </w:pPr>
    <w:rPr>
      <w:rFonts w:ascii="TimesNewRoman" w:eastAsia="Times New Roman" w:hAnsi="TimesNewRoman" w:cs="Times New Roman"/>
      <w:snapToGrid w:val="0"/>
      <w:sz w:val="20"/>
      <w:szCs w:val="20"/>
      <w:lang w:val="de-DE" w:eastAsia="de-DE"/>
    </w:rPr>
  </w:style>
  <w:style w:type="character" w:customStyle="1" w:styleId="ListBulletChar">
    <w:name w:val="List Bullet Char"/>
    <w:aliases w:val="2 Char"/>
    <w:basedOn w:val="DefaultParagraphFont"/>
    <w:link w:val="ListBullet"/>
    <w:rPr>
      <w:rFonts w:ascii="Arial" w:eastAsia="Times New Roman" w:hAnsi="Arial" w:cs="Times New Roman"/>
      <w:szCs w:val="20"/>
      <w:lang w:eastAsia="de-DE"/>
    </w:rPr>
  </w:style>
  <w:style w:type="table" w:customStyle="1" w:styleId="Tabellengitternetz1">
    <w:name w:val="Tabellengitternetz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spacing w:after="240" w:line="312" w:lineRule="atLeast"/>
      <w:jc w:val="both"/>
    </w:pPr>
    <w:rPr>
      <w:rFonts w:ascii="Tahoma" w:eastAsia="Times New Roman" w:hAnsi="Tahoma" w:cs="Tahoma"/>
      <w:szCs w:val="20"/>
      <w:lang w:eastAsia="de-DE"/>
    </w:rPr>
  </w:style>
  <w:style w:type="character" w:customStyle="1" w:styleId="DocumentMapChar">
    <w:name w:val="Document Map Char"/>
    <w:basedOn w:val="DefaultParagraphFont"/>
    <w:link w:val="DocumentMap"/>
    <w:semiHidden/>
    <w:rPr>
      <w:rFonts w:ascii="Tahoma" w:eastAsia="Times New Roman" w:hAnsi="Tahoma" w:cs="Tahoma"/>
      <w:szCs w:val="20"/>
      <w:shd w:val="clear" w:color="auto" w:fill="000080"/>
      <w:lang w:eastAsia="de-DE"/>
    </w:rPr>
  </w:style>
  <w:style w:type="paragraph" w:styleId="Title">
    <w:name w:val="Title"/>
    <w:basedOn w:val="Normal"/>
    <w:link w:val="TitleChar"/>
    <w:qFormat/>
    <w:pPr>
      <w:spacing w:after="600" w:line="360" w:lineRule="atLeast"/>
      <w:jc w:val="both"/>
      <w:outlineLvl w:val="0"/>
    </w:pPr>
    <w:rPr>
      <w:rFonts w:ascii="Arial" w:eastAsia="Times New Roman" w:hAnsi="Arial" w:cs="Arial"/>
      <w:b/>
      <w:bCs/>
      <w:kern w:val="28"/>
      <w:sz w:val="24"/>
      <w:szCs w:val="24"/>
      <w:lang w:eastAsia="de-DE"/>
    </w:rPr>
  </w:style>
  <w:style w:type="character" w:customStyle="1" w:styleId="TitleChar">
    <w:name w:val="Title Char"/>
    <w:basedOn w:val="DefaultParagraphFont"/>
    <w:link w:val="Title"/>
    <w:rPr>
      <w:rFonts w:ascii="Arial" w:eastAsia="Times New Roman" w:hAnsi="Arial" w:cs="Arial"/>
      <w:b/>
      <w:bCs/>
      <w:kern w:val="28"/>
      <w:sz w:val="24"/>
      <w:szCs w:val="24"/>
      <w:lang w:eastAsia="de-DE"/>
    </w:rPr>
  </w:style>
  <w:style w:type="paragraph" w:customStyle="1" w:styleId="Note">
    <w:name w:val="Note"/>
    <w:basedOn w:val="Normal"/>
    <w:next w:val="Normal"/>
    <w:qFormat/>
    <w:pPr>
      <w:spacing w:before="60" w:after="60" w:line="240" w:lineRule="auto"/>
      <w:jc w:val="both"/>
    </w:pPr>
    <w:rPr>
      <w:sz w:val="16"/>
      <w:szCs w:val="20"/>
      <w:lang w:val="fr-FR"/>
    </w:rPr>
  </w:style>
  <w:style w:type="table" w:styleId="MediumGrid3-Accent1">
    <w:name w:val="Medium Grid 3 Accent 1"/>
    <w:basedOn w:val="TableNormal"/>
    <w:uiPriority w:val="69"/>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pPr>
      <w:spacing w:after="0" w:line="240" w:lineRule="auto"/>
    </w:pPr>
    <w:rPr>
      <w:rFonts w:ascii="Times" w:eastAsia="Times New Roman" w:hAnsi="Times" w:cs="Times New Roman"/>
      <w:color w:val="000000" w:themeColor="text1"/>
      <w:sz w:val="20"/>
      <w:szCs w:val="20"/>
      <w:lang w:val="de-DE"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1">
    <w:name w:val="Light List Accent 1"/>
    <w:basedOn w:val="TableNormal"/>
    <w:uiPriority w:val="61"/>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DefaultParagraphFont"/>
  </w:style>
  <w:style w:type="character" w:customStyle="1" w:styleId="clickable">
    <w:name w:val="clickable"/>
    <w:basedOn w:val="DefaultParagraphFont"/>
  </w:style>
  <w:style w:type="paragraph" w:customStyle="1" w:styleId="CVTitle">
    <w:name w:val="CV Title"/>
    <w:basedOn w:val="Normal"/>
    <w:pPr>
      <w:suppressAutoHyphens/>
      <w:spacing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CVHeading1">
    <w:name w:val="CV Heading 1"/>
    <w:basedOn w:val="Normal"/>
    <w:next w:val="Normal"/>
    <w:pPr>
      <w:suppressAutoHyphens/>
      <w:spacing w:before="74" w:after="0" w:line="240" w:lineRule="auto"/>
      <w:ind w:left="113" w:right="113"/>
      <w:jc w:val="right"/>
    </w:pPr>
    <w:rPr>
      <w:rFonts w:ascii="Arial Narrow" w:eastAsia="Times New Roman" w:hAnsi="Arial Narrow" w:cs="Times New Roman"/>
      <w:b/>
      <w:sz w:val="24"/>
      <w:szCs w:val="20"/>
      <w:lang w:val="en-US" w:eastAsia="ar-SA"/>
    </w:rPr>
  </w:style>
  <w:style w:type="paragraph" w:customStyle="1" w:styleId="CVHeading2-FirstLine">
    <w:name w:val="CV Heading 2 - First Line"/>
    <w:basedOn w:val="Normal"/>
    <w:next w:val="Normal"/>
    <w:pPr>
      <w:suppressAutoHyphens/>
      <w:spacing w:before="74" w:after="0" w:line="240" w:lineRule="auto"/>
      <w:ind w:left="113" w:right="113"/>
      <w:jc w:val="right"/>
    </w:pPr>
    <w:rPr>
      <w:rFonts w:ascii="Arial Narrow" w:eastAsia="Times New Roman" w:hAnsi="Arial Narrow" w:cs="Times New Roman"/>
      <w:szCs w:val="20"/>
      <w:lang w:val="en-US" w:eastAsia="ar-SA"/>
    </w:rPr>
  </w:style>
  <w:style w:type="paragraph" w:customStyle="1" w:styleId="CVHeading3">
    <w:name w:val="CV Heading 3"/>
    <w:basedOn w:val="Normal"/>
    <w:next w:val="Normal"/>
    <w:pPr>
      <w:suppressAutoHyphens/>
      <w:spacing w:after="0" w:line="240" w:lineRule="auto"/>
      <w:ind w:left="113" w:right="113"/>
      <w:jc w:val="right"/>
      <w:textAlignment w:val="center"/>
    </w:pPr>
    <w:rPr>
      <w:rFonts w:ascii="Arial Narrow" w:eastAsia="Times New Roman" w:hAnsi="Arial Narrow" w:cs="Times New Roman"/>
      <w:sz w:val="20"/>
      <w:szCs w:val="20"/>
      <w:lang w:val="en-US" w:eastAsia="ar-SA"/>
    </w:rPr>
  </w:style>
  <w:style w:type="paragraph" w:customStyle="1" w:styleId="CVHeading3-FirstLine">
    <w:name w:val="CV Heading 3 - First Line"/>
    <w:basedOn w:val="CVHeading3"/>
    <w:next w:val="CVHeading3"/>
    <w:pPr>
      <w:spacing w:before="74"/>
    </w:pPr>
  </w:style>
  <w:style w:type="paragraph" w:customStyle="1" w:styleId="CVMajor-FirstLine">
    <w:name w:val="CV Major - First Line"/>
    <w:basedOn w:val="Normal"/>
    <w:next w:val="Normal"/>
    <w:pPr>
      <w:suppressAutoHyphens/>
      <w:spacing w:before="74" w:after="0" w:line="240" w:lineRule="auto"/>
      <w:ind w:left="113" w:right="113"/>
    </w:pPr>
    <w:rPr>
      <w:rFonts w:ascii="Arial Narrow" w:eastAsia="Times New Roman" w:hAnsi="Arial Narrow" w:cs="Times New Roman"/>
      <w:b/>
      <w:sz w:val="24"/>
      <w:szCs w:val="20"/>
      <w:lang w:val="en-US" w:eastAsia="ar-SA"/>
    </w:rPr>
  </w:style>
  <w:style w:type="paragraph" w:customStyle="1" w:styleId="CVMedium-FirstLine">
    <w:name w:val="CV Medium - First Line"/>
    <w:basedOn w:val="Normal"/>
    <w:next w:val="Normal"/>
    <w:pPr>
      <w:suppressAutoHyphens/>
      <w:spacing w:before="74" w:after="0" w:line="240" w:lineRule="auto"/>
      <w:ind w:left="113" w:right="113"/>
    </w:pPr>
    <w:rPr>
      <w:rFonts w:ascii="Arial Narrow" w:eastAsia="Times New Roman" w:hAnsi="Arial Narrow" w:cs="Times New Roman"/>
      <w:b/>
      <w:szCs w:val="20"/>
      <w:lang w:val="en-US" w:eastAsia="ar-SA"/>
    </w:rPr>
  </w:style>
  <w:style w:type="paragraph" w:customStyle="1" w:styleId="CVNormal">
    <w:name w:val="CV Normal"/>
    <w:basedOn w:val="Normal"/>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paragraph" w:customStyle="1" w:styleId="CVHeading2">
    <w:name w:val="CV Heading 2"/>
    <w:basedOn w:val="CVHeading1"/>
    <w:next w:val="Normal"/>
    <w:pPr>
      <w:spacing w:before="0"/>
    </w:pPr>
    <w:rPr>
      <w:b w:val="0"/>
      <w:sz w:val="22"/>
    </w:r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line="240" w:lineRule="auto"/>
      <w:ind w:left="28"/>
      <w:jc w:val="center"/>
    </w:pPr>
    <w:rPr>
      <w:rFonts w:ascii="Arial Narrow" w:eastAsia="Times New Roman" w:hAnsi="Arial Narrow" w:cs="Times New Roman"/>
      <w:sz w:val="18"/>
      <w:szCs w:val="20"/>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pPr>
      <w:ind w:left="113"/>
      <w:jc w:val="left"/>
    </w:pPr>
    <w:rPr>
      <w:i/>
    </w:rPr>
  </w:style>
  <w:style w:type="paragraph" w:customStyle="1" w:styleId="CVMedium">
    <w:name w:val="CV Medium"/>
    <w:basedOn w:val="Normal"/>
    <w:pPr>
      <w:suppressAutoHyphens/>
      <w:spacing w:after="0" w:line="240" w:lineRule="auto"/>
      <w:ind w:left="113" w:right="113"/>
    </w:pPr>
    <w:rPr>
      <w:rFonts w:ascii="Arial Narrow" w:eastAsia="Times New Roman" w:hAnsi="Arial Narrow" w:cs="Times New Roman"/>
      <w:b/>
      <w:szCs w:val="20"/>
      <w:lang w:val="en-US" w:eastAsia="ar-SA"/>
    </w:rPr>
  </w:style>
  <w:style w:type="paragraph" w:styleId="EndnoteText">
    <w:name w:val="endnote text"/>
    <w:basedOn w:val="Normal"/>
    <w:link w:val="EndnoteTextChar"/>
    <w:uiPriority w:val="99"/>
    <w:semiHidden/>
    <w:pPr>
      <w:spacing w:after="240" w:line="240" w:lineRule="auto"/>
    </w:pPr>
    <w:rPr>
      <w:rFonts w:ascii="Arial" w:eastAsia="Times New Roman" w:hAnsi="Arial" w:cs="Times New Roman"/>
      <w:sz w:val="20"/>
      <w:szCs w:val="20"/>
      <w:lang w:eastAsia="en-GB"/>
    </w:rPr>
  </w:style>
  <w:style w:type="character" w:customStyle="1" w:styleId="EndnoteTextChar">
    <w:name w:val="Endnote Text Char"/>
    <w:basedOn w:val="DefaultParagraphFont"/>
    <w:link w:val="EndnoteText"/>
    <w:uiPriority w:val="99"/>
    <w:semiHidden/>
    <w:rPr>
      <w:rFonts w:ascii="Arial" w:eastAsia="Times New Roman" w:hAnsi="Arial" w:cs="Times New Roman"/>
      <w:sz w:val="20"/>
      <w:szCs w:val="20"/>
      <w:lang w:eastAsia="en-GB"/>
    </w:rPr>
  </w:style>
  <w:style w:type="character" w:styleId="EndnoteReference">
    <w:name w:val="endnote reference"/>
    <w:basedOn w:val="DefaultParagraphFont"/>
    <w:uiPriority w:val="99"/>
    <w:semiHidden/>
    <w:rPr>
      <w:vertAlign w:val="superscript"/>
    </w:rPr>
  </w:style>
  <w:style w:type="table" w:customStyle="1" w:styleId="Tabellenraster2">
    <w:name w:val="Tabellenraster2"/>
    <w:basedOn w:val="TableNormal"/>
    <w:next w:val="TableGri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pPr>
      <w:spacing w:before="0" w:after="240"/>
    </w:pPr>
    <w:rPr>
      <w:rFonts w:ascii="Arial" w:eastAsia="Times New Roman" w:hAnsi="Arial"/>
      <w:b/>
      <w:bCs/>
      <w:lang w:eastAsia="de-DE"/>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lang w:eastAsia="de-DE"/>
    </w:rPr>
  </w:style>
  <w:style w:type="paragraph" w:styleId="PlainText">
    <w:name w:val="Plain Text"/>
    <w:basedOn w:val="Normal"/>
    <w:link w:val="PlainTextChar"/>
    <w:uiPriority w:val="99"/>
    <w:unhideWhenUsed/>
    <w:pPr>
      <w:spacing w:after="0" w:line="240" w:lineRule="auto"/>
    </w:pPr>
    <w:rPr>
      <w:rFonts w:ascii="Calibri" w:eastAsia="Calibri" w:hAnsi="Calibri" w:cs="Times New Roman"/>
      <w:szCs w:val="21"/>
      <w:lang w:val="de-DE"/>
    </w:rPr>
  </w:style>
  <w:style w:type="character" w:customStyle="1" w:styleId="PlainTextChar">
    <w:name w:val="Plain Text Char"/>
    <w:basedOn w:val="DefaultParagraphFont"/>
    <w:link w:val="PlainText"/>
    <w:uiPriority w:val="99"/>
    <w:rPr>
      <w:rFonts w:ascii="Calibri" w:eastAsia="Calibri" w:hAnsi="Calibri" w:cs="Times New Roman"/>
      <w:szCs w:val="21"/>
      <w:lang w:val="de-DE"/>
    </w:rPr>
  </w:style>
  <w:style w:type="character" w:customStyle="1" w:styleId="ListParagraphChar">
    <w:name w:val="List Paragraph Char"/>
    <w:aliases w:val="1st level - Bullet List Paragraph Char,Paragrafo elenco Char,List Paragraph1 Char,Normal bullet 2 Char,Puce focus Char,Contact Char,Paragraphe de liste 2 Char,texte de base Char,6 pt paragraphe carré Char,calia titre 3 Char"/>
    <w:link w:val="ListParagraph"/>
    <w:uiPriority w:val="99"/>
    <w:rPr>
      <w:rFonts w:ascii="Arial" w:eastAsia="Times New Roman" w:hAnsi="Arial" w:cs="Times New Roman"/>
      <w:szCs w:val="20"/>
      <w:lang w:eastAsia="de-DE"/>
    </w:rPr>
  </w:style>
  <w:style w:type="table" w:customStyle="1" w:styleId="MediumShading1-Accent11">
    <w:name w:val="Medium Shading 1 - Accent 11"/>
    <w:basedOn w:val="TableNormal"/>
    <w:next w:val="MediumShading1-Accent1"/>
    <w:uiPriority w:val="63"/>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link w:val="TOCHeadingChar"/>
    <w:uiPriority w:val="39"/>
    <w:unhideWhenUsed/>
    <w:qFormat/>
    <w:pPr>
      <w:numPr>
        <w:numId w:val="0"/>
      </w:numPr>
      <w:outlineLvl w:val="9"/>
    </w:pPr>
    <w:rPr>
      <w:lang w:val="en-US" w:eastAsia="ja-JP"/>
    </w:rPr>
  </w:style>
  <w:style w:type="paragraph" w:styleId="NoSpacing">
    <w:name w:val="No Spacing"/>
    <w:uiPriority w:val="1"/>
    <w:qFormat/>
    <w:pPr>
      <w:spacing w:after="0" w:line="240" w:lineRule="auto"/>
      <w:jc w:val="both"/>
    </w:pPr>
    <w:rPr>
      <w:rFonts w:ascii="Arial" w:eastAsia="Times New Roman" w:hAnsi="Arial" w:cs="Times New Roman"/>
      <w:szCs w:val="20"/>
      <w:lang w:eastAsia="de-DE"/>
    </w:rPr>
  </w:style>
  <w:style w:type="paragraph" w:customStyle="1" w:styleId="Source">
    <w:name w:val="Source"/>
    <w:basedOn w:val="Normal"/>
    <w:link w:val="SourceCar"/>
    <w:qFormat/>
    <w:pPr>
      <w:spacing w:after="240" w:line="312" w:lineRule="atLeast"/>
      <w:jc w:val="both"/>
    </w:pPr>
    <w:rPr>
      <w:rFonts w:ascii="Arial" w:eastAsia="Times New Roman" w:hAnsi="Arial" w:cs="Times New Roman"/>
      <w:szCs w:val="20"/>
      <w:lang w:eastAsia="de-DE"/>
    </w:rPr>
  </w:style>
  <w:style w:type="character" w:customStyle="1" w:styleId="CaptionChar">
    <w:name w:val="Caption Char"/>
    <w:aliases w:val="Figure Caption Char, Char Char Char,Char Char Char,Figure Caption + Avant : 14 pt Char,Motif : Transparente (Gris - 15 %) Char,TF Char,Caption (all) Char,Inscription Char,Beschriftung Char Char Char Char,Beschriftung Char Char,Caption2 Char"/>
    <w:basedOn w:val="DefaultParagraphFont"/>
    <w:link w:val="Caption"/>
    <w:rPr>
      <w:rFonts w:ascii="Arial" w:eastAsia="Times New Roman" w:hAnsi="Arial" w:cs="Times New Roman"/>
      <w:szCs w:val="20"/>
      <w:lang w:eastAsia="de-DE"/>
    </w:rPr>
  </w:style>
  <w:style w:type="character" w:customStyle="1" w:styleId="SourceCar">
    <w:name w:val="Source Car"/>
    <w:basedOn w:val="DefaultParagraphFont"/>
    <w:link w:val="Source"/>
    <w:rPr>
      <w:rFonts w:ascii="Arial" w:eastAsia="Times New Roman" w:hAnsi="Arial" w:cs="Times New Roman"/>
      <w:szCs w:val="20"/>
      <w:lang w:eastAsia="de-DE"/>
    </w:rPr>
  </w:style>
  <w:style w:type="table" w:customStyle="1" w:styleId="Grilledutableau1">
    <w:name w:val="Grille du tableau1"/>
    <w:basedOn w:val="TableNormal"/>
    <w:next w:val="TableGrid"/>
    <w:uiPriority w:val="59"/>
    <w:pPr>
      <w:spacing w:before="40" w:after="20" w:line="240" w:lineRule="auto"/>
    </w:pPr>
    <w:rPr>
      <w:rFonts w:ascii="Arial" w:eastAsia="Arial" w:hAnsi="Arial" w:cs="Times New Roman"/>
      <w:sz w:val="18"/>
      <w:szCs w:val="20"/>
      <w:lang w:val="fr-FR"/>
    </w:rPr>
    <w:tblPr>
      <w:tblStyleRowBandSize w:val="1"/>
      <w:tblBorders>
        <w:top w:val="single" w:sz="4" w:space="0" w:color="294E71"/>
        <w:left w:val="single" w:sz="4" w:space="0" w:color="294E71"/>
        <w:bottom w:val="single" w:sz="4" w:space="0" w:color="294E71"/>
        <w:right w:val="single" w:sz="4" w:space="0" w:color="294E71"/>
      </w:tblBorders>
    </w:tblPr>
    <w:tcPr>
      <w:shd w:val="clear" w:color="auto" w:fill="FFFFFF"/>
    </w:tcPr>
    <w:tblStylePr w:type="firstRow">
      <w:rPr>
        <w:rFonts w:ascii="Arial" w:hAnsi="Arial"/>
        <w:b/>
        <w:color w:val="FFFFFF"/>
        <w:sz w:val="18"/>
      </w:rPr>
      <w:tblPr/>
      <w:trPr>
        <w:tblHeader/>
      </w:trPr>
      <w:tcPr>
        <w:shd w:val="clear" w:color="auto" w:fill="294E71"/>
      </w:tcPr>
    </w:tblStylePr>
    <w:tblStylePr w:type="firstCol">
      <w:rPr>
        <w:rFonts w:ascii="Arial" w:hAnsi="Arial"/>
        <w:b/>
        <w:sz w:val="18"/>
      </w:rPr>
    </w:tblStylePr>
    <w:tblStylePr w:type="band1Horz">
      <w:tblPr/>
      <w:tcPr>
        <w:shd w:val="clear" w:color="auto" w:fill="FFFFFF"/>
      </w:tcPr>
    </w:tblStylePr>
    <w:tblStylePr w:type="band2Horz">
      <w:tblPr/>
      <w:tcPr>
        <w:shd w:val="clear" w:color="auto" w:fill="E3E3EB"/>
      </w:tcPr>
    </w:tblStylePr>
  </w:style>
  <w:style w:type="numbering" w:customStyle="1" w:styleId="Headings">
    <w:name w:val="Headings"/>
    <w:uiPriority w:val="99"/>
    <w:pPr>
      <w:numPr>
        <w:numId w:val="2"/>
      </w:numPr>
    </w:pPr>
  </w:style>
  <w:style w:type="table" w:customStyle="1" w:styleId="Tabellengitternetz11">
    <w:name w:val="Tabellengitternetz1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Unit">
    <w:name w:val="Note Unité"/>
    <w:basedOn w:val="Normal"/>
    <w:next w:val="Normal"/>
    <w:link w:val="NoteUnitCar"/>
    <w:qFormat/>
    <w:pPr>
      <w:keepNext/>
      <w:keepLines/>
      <w:spacing w:before="60" w:after="60" w:line="240" w:lineRule="auto"/>
      <w:ind w:left="1134"/>
      <w:jc w:val="both"/>
    </w:pPr>
    <w:rPr>
      <w:sz w:val="16"/>
      <w:szCs w:val="16"/>
      <w:lang w:val="fr-FR"/>
    </w:rPr>
  </w:style>
  <w:style w:type="paragraph" w:customStyle="1" w:styleId="Normal12pt">
    <w:name w:val="Normal + 12 pt"/>
    <w:basedOn w:val="Normal"/>
    <w:next w:val="Normal"/>
    <w:qFormat/>
    <w:pPr>
      <w:spacing w:before="240" w:after="60" w:line="240" w:lineRule="auto"/>
      <w:jc w:val="both"/>
    </w:pPr>
    <w:rPr>
      <w:sz w:val="20"/>
      <w:szCs w:val="20"/>
      <w:lang w:val="fr-FR"/>
    </w:rPr>
  </w:style>
  <w:style w:type="character" w:customStyle="1" w:styleId="NoteUnitCar">
    <w:name w:val="Note Unité Car"/>
    <w:basedOn w:val="DefaultParagraphFont"/>
    <w:link w:val="NoteUnit"/>
    <w:rPr>
      <w:sz w:val="16"/>
      <w:szCs w:val="16"/>
      <w:lang w:val="fr-FR"/>
    </w:rPr>
  </w:style>
  <w:style w:type="paragraph" w:customStyle="1" w:styleId="broodtekst">
    <w:name w:val="broodtekst"/>
    <w:basedOn w:val="Normal"/>
    <w:pPr>
      <w:spacing w:after="0" w:line="280" w:lineRule="atLeast"/>
    </w:pPr>
    <w:rPr>
      <w:rFonts w:ascii="Arial" w:eastAsia="Times New Roman" w:hAnsi="Arial" w:cs="Times New Roman"/>
      <w:sz w:val="18"/>
      <w:szCs w:val="24"/>
      <w:lang w:eastAsia="nl-NL"/>
    </w:rPr>
  </w:style>
  <w:style w:type="character" w:customStyle="1" w:styleId="highlight">
    <w:name w:val="highlight"/>
    <w:basedOn w:val="DefaultParagraphFont"/>
  </w:style>
  <w:style w:type="character" w:customStyle="1" w:styleId="QuelleChar">
    <w:name w:val="Quelle Char"/>
    <w:link w:val="Quelle"/>
    <w:locked/>
    <w:rPr>
      <w:rFonts w:ascii="Arial" w:eastAsia="Times New Roman" w:hAnsi="Arial" w:cs="Times New Roman"/>
      <w:sz w:val="18"/>
      <w:szCs w:val="20"/>
      <w:lang w:eastAsia="de-DE"/>
    </w:rPr>
  </w:style>
  <w:style w:type="paragraph" w:styleId="Revision">
    <w:name w:val="Revision"/>
    <w:hidden/>
    <w:uiPriority w:val="99"/>
    <w:semiHidden/>
    <w:pPr>
      <w:spacing w:after="0" w:line="240" w:lineRule="auto"/>
    </w:pPr>
    <w:rPr>
      <w:rFonts w:ascii="Arial" w:eastAsia="Times New Roman" w:hAnsi="Arial" w:cs="Times New Roman"/>
      <w:szCs w:val="20"/>
      <w:lang w:eastAsia="de-DE"/>
    </w:rPr>
  </w:style>
  <w:style w:type="table" w:styleId="MediumGrid3-Accent2">
    <w:name w:val="Medium Grid 3 Accent 2"/>
    <w:basedOn w:val="TableNormal"/>
    <w:uiPriority w:val="69"/>
    <w:pPr>
      <w:spacing w:after="0" w:line="240" w:lineRule="auto"/>
    </w:pPr>
    <w:rPr>
      <w:lang w:val="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after="0" w:line="240" w:lineRule="auto"/>
    </w:pPr>
    <w:rPr>
      <w:rFonts w:ascii="Times New Roman" w:hAnsi="Times New Roman" w:cs="Times New Roman"/>
      <w:sz w:val="24"/>
      <w:szCs w:val="24"/>
      <w:lang w:val="en-US"/>
    </w:rPr>
  </w:style>
  <w:style w:type="character" w:styleId="PlaceholderText">
    <w:name w:val="Placeholder Text"/>
    <w:basedOn w:val="DefaultParagraphFont"/>
    <w:uiPriority w:val="99"/>
    <w:semiHidden/>
    <w:rPr>
      <w:color w:val="808080"/>
    </w:r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yperlink1">
    <w:name w:val="Hyperlink1"/>
    <w:basedOn w:val="DefaultParagraphFont"/>
    <w:uiPriority w:val="99"/>
    <w:unhideWhenUsed/>
    <w:rPr>
      <w:rFonts w:cs="Times New Roman"/>
      <w:color w:val="0000FF"/>
      <w:u w:val="single"/>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pPr>
      <w:autoSpaceDE w:val="0"/>
      <w:autoSpaceDN w:val="0"/>
      <w:adjustRightInd w:val="0"/>
    </w:pPr>
    <w:rPr>
      <w:rFonts w:ascii="EUAlbertina" w:eastAsiaTheme="minorHAnsi" w:hAnsi="EUAlbertina" w:cstheme="minorBidi"/>
      <w:snapToGrid/>
      <w:sz w:val="24"/>
      <w:szCs w:val="24"/>
      <w:lang w:val="fr-FR" w:eastAsia="en-US"/>
    </w:rPr>
  </w:style>
  <w:style w:type="paragraph" w:customStyle="1" w:styleId="CM3">
    <w:name w:val="CM3"/>
    <w:basedOn w:val="Default"/>
    <w:next w:val="Default"/>
    <w:uiPriority w:val="99"/>
    <w:pPr>
      <w:autoSpaceDE w:val="0"/>
      <w:autoSpaceDN w:val="0"/>
      <w:adjustRightInd w:val="0"/>
    </w:pPr>
    <w:rPr>
      <w:rFonts w:ascii="EUAlbertina" w:eastAsiaTheme="minorHAnsi" w:hAnsi="EUAlbertina" w:cstheme="minorBidi"/>
      <w:snapToGrid/>
      <w:sz w:val="24"/>
      <w:szCs w:val="24"/>
      <w:lang w:val="fr-FR" w:eastAsia="en-US"/>
    </w:rPr>
  </w:style>
  <w:style w:type="paragraph" w:customStyle="1" w:styleId="ms-rteelement-p1">
    <w:name w:val="ms-rteelement-p1"/>
    <w:basedOn w:val="Normal"/>
    <w:pPr>
      <w:spacing w:before="100" w:beforeAutospacing="1" w:after="300" w:line="240" w:lineRule="auto"/>
    </w:pPr>
    <w:rPr>
      <w:rFonts w:ascii="Times New Roman" w:eastAsia="Times New Roman" w:hAnsi="Times New Roman" w:cs="Times New Roman"/>
      <w:color w:val="576170"/>
      <w:sz w:val="24"/>
      <w:szCs w:val="24"/>
      <w:lang w:val="fr-FR" w:eastAsia="fr-FR"/>
    </w:rPr>
  </w:style>
  <w:style w:type="table" w:customStyle="1" w:styleId="GridTable4-Accent11">
    <w:name w:val="Grid Table 4 - Accent 1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andardTV">
    <w:name w:val="Standard_TÜV"/>
    <w:basedOn w:val="Normal"/>
    <w:link w:val="StandardTVZchn"/>
    <w:qFormat/>
    <w:pPr>
      <w:widowControl w:val="0"/>
      <w:overflowPunct w:val="0"/>
      <w:autoSpaceDE w:val="0"/>
      <w:autoSpaceDN w:val="0"/>
      <w:adjustRightInd w:val="0"/>
      <w:spacing w:before="60" w:after="60" w:line="312" w:lineRule="auto"/>
      <w:jc w:val="both"/>
      <w:textAlignment w:val="baseline"/>
    </w:pPr>
    <w:rPr>
      <w:rFonts w:ascii="Arial" w:eastAsia="Times New Roman" w:hAnsi="Arial" w:cs="Times New Roman"/>
      <w:szCs w:val="24"/>
      <w:lang w:eastAsia="de-DE"/>
    </w:rPr>
  </w:style>
  <w:style w:type="character" w:customStyle="1" w:styleId="StandardTVZchn">
    <w:name w:val="Standard_TÜV Zchn"/>
    <w:basedOn w:val="DefaultParagraphFont"/>
    <w:link w:val="StandardTV"/>
    <w:locked/>
    <w:rPr>
      <w:rFonts w:ascii="Arial" w:eastAsia="Times New Roman" w:hAnsi="Arial" w:cs="Times New Roman"/>
      <w:szCs w:val="24"/>
      <w:lang w:eastAsia="de-DE"/>
    </w:r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Shading1-Accent2">
    <w:name w:val="Medium Shading 1 Accent 2"/>
    <w:basedOn w:val="TableNormal"/>
    <w:uiPriority w:val="63"/>
    <w:pPr>
      <w:spacing w:after="0" w:line="240" w:lineRule="auto"/>
    </w:pPr>
    <w:rPr>
      <w:rFonts w:ascii="Times" w:eastAsia="Times New Roman" w:hAnsi="Times" w:cs="Times New Roman"/>
      <w:sz w:val="20"/>
      <w:szCs w:val="20"/>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ltBase">
    <w:name w:val="_AltBase"/>
    <w:pPr>
      <w:spacing w:after="0" w:line="240" w:lineRule="auto"/>
      <w:jc w:val="both"/>
    </w:pPr>
    <w:rPr>
      <w:rFonts w:ascii="Helvetica" w:eastAsia="Times New Roman" w:hAnsi="Helvetica" w:cs="Times New Roman"/>
      <w:sz w:val="20"/>
      <w:szCs w:val="20"/>
      <w:lang w:eastAsia="de-DE"/>
    </w:rPr>
  </w:style>
  <w:style w:type="paragraph" w:customStyle="1" w:styleId="Puce2">
    <w:name w:val="Puce 2"/>
    <w:basedOn w:val="Normal"/>
    <w:qFormat/>
    <w:pPr>
      <w:spacing w:before="60" w:after="60" w:line="240" w:lineRule="auto"/>
      <w:ind w:left="284" w:hanging="142"/>
      <w:jc w:val="both"/>
    </w:pPr>
    <w:rPr>
      <w:sz w:val="20"/>
      <w:szCs w:val="20"/>
      <w:lang w:val="fr-FR"/>
    </w:rPr>
  </w:style>
  <w:style w:type="paragraph" w:customStyle="1" w:styleId="Puce3">
    <w:name w:val="Puce 3"/>
    <w:basedOn w:val="Normal"/>
    <w:qFormat/>
    <w:pPr>
      <w:spacing w:before="60" w:after="60" w:line="240" w:lineRule="auto"/>
      <w:ind w:left="426" w:hanging="142"/>
      <w:jc w:val="both"/>
    </w:pPr>
    <w:rPr>
      <w:sz w:val="20"/>
      <w:szCs w:val="20"/>
      <w:lang w:val="fr-FR"/>
    </w:rPr>
  </w:style>
  <w:style w:type="paragraph" w:customStyle="1" w:styleId="Puce1">
    <w:name w:val="Puce 1"/>
    <w:basedOn w:val="Normal"/>
    <w:qFormat/>
    <w:pPr>
      <w:spacing w:before="60" w:after="60" w:line="240" w:lineRule="auto"/>
      <w:ind w:left="142" w:hanging="142"/>
      <w:jc w:val="both"/>
    </w:pPr>
    <w:rPr>
      <w:sz w:val="20"/>
      <w:szCs w:val="20"/>
      <w:lang w:val="fr-FR"/>
    </w:rPr>
  </w:style>
  <w:style w:type="paragraph" w:customStyle="1" w:styleId="Puce10">
    <w:name w:val="Puce1"/>
    <w:basedOn w:val="Normal"/>
    <w:link w:val="Puce1Car"/>
    <w:pPr>
      <w:tabs>
        <w:tab w:val="num" w:pos="1069"/>
      </w:tabs>
      <w:spacing w:before="60" w:after="60" w:line="240" w:lineRule="auto"/>
      <w:ind w:left="993" w:hanging="284"/>
      <w:jc w:val="both"/>
    </w:pPr>
    <w:rPr>
      <w:rFonts w:ascii="Arial" w:eastAsia="Times New Roman" w:hAnsi="Arial" w:cs="Times New Roman"/>
      <w:sz w:val="20"/>
      <w:szCs w:val="24"/>
      <w:lang w:eastAsia="fr-FR"/>
    </w:rPr>
  </w:style>
  <w:style w:type="character" w:customStyle="1" w:styleId="Puce1Car">
    <w:name w:val="Puce1 Car"/>
    <w:link w:val="Puce10"/>
    <w:rPr>
      <w:rFonts w:ascii="Arial" w:eastAsia="Times New Roman" w:hAnsi="Arial" w:cs="Times New Roman"/>
      <w:sz w:val="20"/>
      <w:szCs w:val="24"/>
      <w:lang w:eastAsia="fr-FR"/>
    </w:rPr>
  </w:style>
  <w:style w:type="character" w:customStyle="1" w:styleId="FootnoteTextChar3">
    <w:name w:val="Footnote Text Char3"/>
    <w:aliases w:val="Footnote Text Char1 Char1,Footnote Text Char Char Char1,Footnote Text Char2 Char Char Char1,Footnote Text Char3 Char1 Char Char Char1,Footnote Text Char2 Char1 Char1 Char Char Char1,Footnote Text Char3 Char1 Char Char Char Char Char1"/>
    <w:uiPriority w:val="99"/>
    <w:locked/>
    <w:rPr>
      <w:rFonts w:ascii="Arial" w:hAnsi="Arial"/>
      <w:sz w:val="18"/>
      <w:lang w:val="en-GB"/>
    </w:rPr>
  </w:style>
  <w:style w:type="character" w:customStyle="1" w:styleId="FootnotetestChar">
    <w:name w:val="Footnotetest Char"/>
    <w:aliases w:val="Note de bas de page Car Car Car Car Car Car Car Car Car Car Char,Note de bas de page Car Car Car Car Char,Note de bas de page Car Car Car Car Car Car Car Car Car Char,f t Char"/>
    <w:basedOn w:val="DefaultParagraphFont"/>
    <w:uiPriority w:val="99"/>
    <w:rPr>
      <w:rFonts w:ascii="Arial" w:hAnsi="Arial"/>
      <w:sz w:val="18"/>
      <w:lang w:val="en-GB"/>
    </w:rPr>
  </w:style>
  <w:style w:type="character" w:customStyle="1" w:styleId="apple-converted-space">
    <w:name w:val="apple-converted-space"/>
    <w:basedOn w:val="DefaultParagraphFont"/>
  </w:style>
  <w:style w:type="character" w:customStyle="1" w:styleId="outputecliaff">
    <w:name w:val="outputecliaff"/>
    <w:basedOn w:val="DefaultParagraphFont"/>
  </w:style>
  <w:style w:type="character" w:customStyle="1" w:styleId="ms-rtethemefontface-21">
    <w:name w:val="ms-rtethemefontface-21"/>
    <w:basedOn w:val="DefaultParagraphFont"/>
    <w:rPr>
      <w:rFonts w:ascii="Arial" w:hAnsi="Arial" w:cs="Arial" w:hint="default"/>
    </w:rPr>
  </w:style>
  <w:style w:type="character" w:customStyle="1" w:styleId="ms-rtethemefontface-22">
    <w:name w:val="ms-rtethemefontface-22"/>
    <w:basedOn w:val="DefaultParagraphFont"/>
    <w:rPr>
      <w:rFonts w:ascii="Arial" w:hAnsi="Arial" w:cs="Arial" w:hint="default"/>
    </w:rPr>
  </w:style>
  <w:style w:type="table" w:customStyle="1" w:styleId="TableauGrille4-Accentuation51">
    <w:name w:val="Tableau Grille 4 - Accentuation 51"/>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1">
    <w:name w:val="Text 1"/>
    <w:basedOn w:val="Normal"/>
    <w:pPr>
      <w:spacing w:before="120" w:after="120" w:line="240" w:lineRule="auto"/>
      <w:ind w:left="850"/>
      <w:jc w:val="both"/>
    </w:pPr>
    <w:rPr>
      <w:rFonts w:ascii="Times New Roman" w:hAnsi="Times New Roman" w:cs="Times New Roman"/>
      <w:sz w:val="24"/>
    </w:rPr>
  </w:style>
  <w:style w:type="character" w:customStyle="1" w:styleId="Corpsdutexte">
    <w:name w:val="Corps du texte_"/>
    <w:basedOn w:val="DefaultParagraphFont"/>
    <w:rPr>
      <w:b w:val="0"/>
      <w:bCs w:val="0"/>
      <w:i w:val="0"/>
      <w:iCs w:val="0"/>
      <w:smallCaps w:val="0"/>
      <w:strike w:val="0"/>
      <w:sz w:val="23"/>
      <w:szCs w:val="23"/>
      <w:u w:val="none"/>
    </w:rPr>
  </w:style>
  <w:style w:type="paragraph" w:customStyle="1" w:styleId="En-tte1">
    <w:name w:val="En-tête1"/>
    <w:next w:val="Corps"/>
    <w:pPr>
      <w:keepNext/>
      <w:pBdr>
        <w:top w:val="nil"/>
        <w:left w:val="nil"/>
        <w:bottom w:val="nil"/>
        <w:right w:val="nil"/>
        <w:between w:val="nil"/>
        <w:bar w:val="nil"/>
      </w:pBdr>
      <w:tabs>
        <w:tab w:val="left" w:pos="480"/>
      </w:tabs>
      <w:spacing w:before="240" w:after="240" w:line="240" w:lineRule="auto"/>
      <w:jc w:val="both"/>
      <w:outlineLvl w:val="0"/>
    </w:pPr>
    <w:rPr>
      <w:rFonts w:ascii="Times New Roman" w:eastAsia="Arial Unicode MS" w:hAnsi="Times New Roman" w:cs="Arial Unicode MS"/>
      <w:b/>
      <w:bCs/>
      <w:smallCaps/>
      <w:color w:val="000000"/>
      <w:sz w:val="24"/>
      <w:szCs w:val="24"/>
      <w:u w:color="000000"/>
      <w:bdr w:val="nil"/>
      <w:lang w:val="fr-FR" w:eastAsia="en-GB"/>
    </w:rPr>
  </w:style>
  <w:style w:type="paragraph" w:customStyle="1" w:styleId="Corps">
    <w:name w:val="Corps"/>
    <w:uiPriority w:val="99"/>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fr-FR" w:eastAsia="en-GB"/>
    </w:rPr>
  </w:style>
  <w:style w:type="numbering" w:customStyle="1" w:styleId="Style1import">
    <w:name w:val="Style 1 importé"/>
    <w:pPr>
      <w:numPr>
        <w:numId w:val="5"/>
      </w:numPr>
    </w:pPr>
  </w:style>
  <w:style w:type="paragraph" w:customStyle="1" w:styleId="Sous-section2">
    <w:name w:val="Sous-section 2"/>
    <w:next w:val="Normal"/>
    <w:pPr>
      <w:keepNext/>
      <w:pBdr>
        <w:top w:val="nil"/>
        <w:left w:val="nil"/>
        <w:bottom w:val="nil"/>
        <w:right w:val="nil"/>
        <w:between w:val="nil"/>
        <w:bar w:val="nil"/>
      </w:pBdr>
      <w:tabs>
        <w:tab w:val="left" w:pos="1080"/>
      </w:tabs>
      <w:spacing w:after="240" w:line="240" w:lineRule="auto"/>
      <w:jc w:val="both"/>
      <w:outlineLvl w:val="1"/>
    </w:pPr>
    <w:rPr>
      <w:rFonts w:ascii="Times New Roman" w:eastAsia="Arial Unicode MS" w:hAnsi="Times New Roman" w:cs="Arial Unicode MS"/>
      <w:b/>
      <w:bCs/>
      <w:color w:val="000000"/>
      <w:sz w:val="24"/>
      <w:szCs w:val="24"/>
      <w:u w:color="000000"/>
      <w:bdr w:val="nil"/>
      <w:lang w:val="en-US"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ret0">
    <w:name w:val="Tiret 0"/>
    <w:basedOn w:val="Normal"/>
    <w:pPr>
      <w:numPr>
        <w:numId w:val="6"/>
      </w:numPr>
      <w:spacing w:before="120" w:after="120" w:line="240" w:lineRule="auto"/>
      <w:jc w:val="both"/>
    </w:pPr>
    <w:rPr>
      <w:rFonts w:ascii="Times New Roman" w:hAnsi="Times New Roman" w:cs="Times New Roman"/>
      <w:sz w:val="24"/>
    </w:rPr>
  </w:style>
  <w:style w:type="character" w:customStyle="1" w:styleId="s12">
    <w:name w:val="s12"/>
    <w:basedOn w:val="DefaultParagraphFont"/>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0"/>
      <w:szCs w:val="20"/>
      <w:vertAlign w:val="superscript"/>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al"/>
    <w:uiPriority w:val="99"/>
    <w:pPr>
      <w:spacing w:after="160" w:line="240" w:lineRule="exact"/>
      <w:jc w:val="both"/>
    </w:pPr>
    <w:rPr>
      <w:rFonts w:ascii="Times New Roman" w:eastAsia="Times New Roman" w:hAnsi="Times New Roman" w:cs="Times New Roman"/>
      <w:sz w:val="20"/>
      <w:szCs w:val="20"/>
      <w:vertAlign w:val="superscript"/>
      <w:lang w:val="fr-BE" w:eastAsia="zh-TW"/>
    </w:r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En-tte">
    <w:name w:val="En-tête"/>
    <w:next w:val="Corps"/>
    <w:pPr>
      <w:keepNext/>
      <w:pBdr>
        <w:top w:val="nil"/>
        <w:left w:val="nil"/>
        <w:bottom w:val="nil"/>
        <w:right w:val="nil"/>
        <w:between w:val="nil"/>
        <w:bar w:val="nil"/>
      </w:pBdr>
      <w:tabs>
        <w:tab w:val="left" w:pos="480"/>
      </w:tabs>
      <w:spacing w:before="240" w:after="240" w:line="240" w:lineRule="auto"/>
      <w:jc w:val="both"/>
      <w:outlineLvl w:val="0"/>
    </w:pPr>
    <w:rPr>
      <w:rFonts w:ascii="Times New Roman" w:eastAsia="Arial Unicode MS" w:hAnsi="Times New Roman" w:cs="Arial Unicode MS"/>
      <w:b/>
      <w:bCs/>
      <w:smallCaps/>
      <w:color w:val="000000"/>
      <w:sz w:val="24"/>
      <w:szCs w:val="24"/>
      <w:u w:color="000000"/>
      <w:bdr w:val="nil"/>
      <w:lang w:val="fr-FR" w:eastAsia="en-GB"/>
    </w:rPr>
  </w:style>
  <w:style w:type="paragraph" w:customStyle="1" w:styleId="Pa0">
    <w:name w:val="Pa0"/>
    <w:basedOn w:val="Default"/>
    <w:next w:val="Default"/>
    <w:uiPriority w:val="99"/>
    <w:pPr>
      <w:autoSpaceDE w:val="0"/>
      <w:autoSpaceDN w:val="0"/>
      <w:adjustRightInd w:val="0"/>
      <w:spacing w:line="241" w:lineRule="atLeast"/>
    </w:pPr>
    <w:rPr>
      <w:rFonts w:ascii="Helvetica Neue LT Std" w:eastAsiaTheme="minorHAnsi" w:hAnsi="Helvetica Neue LT Std" w:cstheme="minorBidi"/>
      <w:snapToGrid/>
      <w:sz w:val="24"/>
      <w:szCs w:val="24"/>
      <w:lang w:val="en-GB" w:eastAsia="en-US"/>
    </w:rPr>
  </w:style>
  <w:style w:type="character" w:customStyle="1" w:styleId="A5">
    <w:name w:val="A5"/>
    <w:uiPriority w:val="99"/>
    <w:rPr>
      <w:rFonts w:cs="Helvetica Neue LT Std"/>
      <w:color w:val="000000"/>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ajorEastAsia" w:hAnsi="Times New Roman" w:cstheme="majorBidi"/>
      <w:color w:val="365F91" w:themeColor="accent1" w:themeShade="BF"/>
      <w:sz w:val="24"/>
      <w:szCs w:val="28"/>
      <w:lang w:val="en-US" w:eastAsia="ja-JP"/>
    </w:rPr>
  </w:style>
  <w:style w:type="character" w:customStyle="1" w:styleId="TOCHeadingChar">
    <w:name w:val="TOC Heading Char"/>
    <w:basedOn w:val="Heading1Char"/>
    <w:link w:val="TOCHeading"/>
    <w:uiPriority w:val="39"/>
    <w:rPr>
      <w:rFonts w:asciiTheme="majorHAnsi" w:eastAsiaTheme="majorEastAsia" w:hAnsiTheme="majorHAnsi" w:cstheme="majorBidi"/>
      <w:b/>
      <w:bCs/>
      <w:color w:val="365F91" w:themeColor="accent1" w:themeShade="BF"/>
      <w:sz w:val="28"/>
      <w:szCs w:val="28"/>
      <w:lang w:val="en-US" w:eastAsia="ja-JP"/>
    </w:rPr>
  </w:style>
  <w:style w:type="character" w:customStyle="1" w:styleId="FooterCoverPageChar">
    <w:name w:val="Footer Cover Page Char"/>
    <w:basedOn w:val="TOCHeadingChar"/>
    <w:link w:val="FooterCoverPage"/>
    <w:rPr>
      <w:rFonts w:ascii="Times New Roman" w:eastAsiaTheme="majorEastAsia" w:hAnsi="Times New Roman" w:cstheme="majorBidi"/>
      <w:b w:val="0"/>
      <w:bCs w:val="0"/>
      <w:color w:val="365F91" w:themeColor="accent1" w:themeShade="BF"/>
      <w:sz w:val="24"/>
      <w:szCs w:val="28"/>
      <w:lang w:val="en-US" w:eastAsia="ja-JP"/>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ajorEastAsia" w:hAnsi="Times New Roman" w:cstheme="majorBidi"/>
      <w:color w:val="365F91" w:themeColor="accent1" w:themeShade="BF"/>
      <w:sz w:val="24"/>
      <w:szCs w:val="28"/>
      <w:lang w:val="en-US" w:eastAsia="ja-JP"/>
    </w:rPr>
  </w:style>
  <w:style w:type="character" w:customStyle="1" w:styleId="HeaderCoverPageChar">
    <w:name w:val="Header Cover Page Char"/>
    <w:basedOn w:val="TOCHeadingChar"/>
    <w:link w:val="HeaderCoverPage"/>
    <w:rPr>
      <w:rFonts w:ascii="Times New Roman" w:eastAsiaTheme="majorEastAsia" w:hAnsi="Times New Roman" w:cstheme="majorBidi"/>
      <w:b w:val="0"/>
      <w:bCs w:val="0"/>
      <w:color w:val="365F91" w:themeColor="accent1" w:themeShade="BF"/>
      <w:sz w:val="24"/>
      <w:szCs w:val="28"/>
      <w:lang w:val="en-US" w:eastAsia="ja-JP"/>
    </w:rPr>
  </w:style>
  <w:style w:type="character" w:customStyle="1" w:styleId="FootnoteTextChar2">
    <w:name w:val="Footnote Text Char2"/>
    <w:aliases w:val="Footnote Text Char Char Char2,Fußnote Char2,single space Char2,FOOTNOTES Char2,fn Char2,Char Char Char Char2,Note de bas de page2 Char2,Footnotes Char Char2,footnote text Char Char2,Footnotes Char11,Footn Cha"/>
    <w:basedOn w:val="DefaultParagraphFont"/>
    <w:uiPriority w:val="99"/>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0347">
      <w:bodyDiv w:val="1"/>
      <w:marLeft w:val="0"/>
      <w:marRight w:val="0"/>
      <w:marTop w:val="0"/>
      <w:marBottom w:val="0"/>
      <w:divBdr>
        <w:top w:val="none" w:sz="0" w:space="0" w:color="auto"/>
        <w:left w:val="none" w:sz="0" w:space="0" w:color="auto"/>
        <w:bottom w:val="none" w:sz="0" w:space="0" w:color="auto"/>
        <w:right w:val="none" w:sz="0" w:space="0" w:color="auto"/>
      </w:divBdr>
    </w:div>
    <w:div w:id="177551441">
      <w:bodyDiv w:val="1"/>
      <w:marLeft w:val="0"/>
      <w:marRight w:val="0"/>
      <w:marTop w:val="0"/>
      <w:marBottom w:val="0"/>
      <w:divBdr>
        <w:top w:val="none" w:sz="0" w:space="0" w:color="auto"/>
        <w:left w:val="none" w:sz="0" w:space="0" w:color="auto"/>
        <w:bottom w:val="none" w:sz="0" w:space="0" w:color="auto"/>
        <w:right w:val="none" w:sz="0" w:space="0" w:color="auto"/>
      </w:divBdr>
    </w:div>
    <w:div w:id="252520222">
      <w:bodyDiv w:val="1"/>
      <w:marLeft w:val="0"/>
      <w:marRight w:val="0"/>
      <w:marTop w:val="0"/>
      <w:marBottom w:val="0"/>
      <w:divBdr>
        <w:top w:val="none" w:sz="0" w:space="0" w:color="auto"/>
        <w:left w:val="none" w:sz="0" w:space="0" w:color="auto"/>
        <w:bottom w:val="none" w:sz="0" w:space="0" w:color="auto"/>
        <w:right w:val="none" w:sz="0" w:space="0" w:color="auto"/>
      </w:divBdr>
    </w:div>
    <w:div w:id="286282217">
      <w:bodyDiv w:val="1"/>
      <w:marLeft w:val="0"/>
      <w:marRight w:val="0"/>
      <w:marTop w:val="0"/>
      <w:marBottom w:val="0"/>
      <w:divBdr>
        <w:top w:val="none" w:sz="0" w:space="0" w:color="auto"/>
        <w:left w:val="none" w:sz="0" w:space="0" w:color="auto"/>
        <w:bottom w:val="none" w:sz="0" w:space="0" w:color="auto"/>
        <w:right w:val="none" w:sz="0" w:space="0" w:color="auto"/>
      </w:divBdr>
    </w:div>
    <w:div w:id="413742078">
      <w:bodyDiv w:val="1"/>
      <w:marLeft w:val="0"/>
      <w:marRight w:val="0"/>
      <w:marTop w:val="0"/>
      <w:marBottom w:val="0"/>
      <w:divBdr>
        <w:top w:val="none" w:sz="0" w:space="0" w:color="auto"/>
        <w:left w:val="none" w:sz="0" w:space="0" w:color="auto"/>
        <w:bottom w:val="none" w:sz="0" w:space="0" w:color="auto"/>
        <w:right w:val="none" w:sz="0" w:space="0" w:color="auto"/>
      </w:divBdr>
    </w:div>
    <w:div w:id="418450026">
      <w:bodyDiv w:val="1"/>
      <w:marLeft w:val="0"/>
      <w:marRight w:val="0"/>
      <w:marTop w:val="0"/>
      <w:marBottom w:val="0"/>
      <w:divBdr>
        <w:top w:val="none" w:sz="0" w:space="0" w:color="auto"/>
        <w:left w:val="none" w:sz="0" w:space="0" w:color="auto"/>
        <w:bottom w:val="none" w:sz="0" w:space="0" w:color="auto"/>
        <w:right w:val="none" w:sz="0" w:space="0" w:color="auto"/>
      </w:divBdr>
    </w:div>
    <w:div w:id="458374542">
      <w:bodyDiv w:val="1"/>
      <w:marLeft w:val="0"/>
      <w:marRight w:val="0"/>
      <w:marTop w:val="0"/>
      <w:marBottom w:val="0"/>
      <w:divBdr>
        <w:top w:val="none" w:sz="0" w:space="0" w:color="auto"/>
        <w:left w:val="none" w:sz="0" w:space="0" w:color="auto"/>
        <w:bottom w:val="none" w:sz="0" w:space="0" w:color="auto"/>
        <w:right w:val="none" w:sz="0" w:space="0" w:color="auto"/>
      </w:divBdr>
    </w:div>
    <w:div w:id="491680024">
      <w:bodyDiv w:val="1"/>
      <w:marLeft w:val="0"/>
      <w:marRight w:val="0"/>
      <w:marTop w:val="0"/>
      <w:marBottom w:val="0"/>
      <w:divBdr>
        <w:top w:val="none" w:sz="0" w:space="0" w:color="auto"/>
        <w:left w:val="none" w:sz="0" w:space="0" w:color="auto"/>
        <w:bottom w:val="none" w:sz="0" w:space="0" w:color="auto"/>
        <w:right w:val="none" w:sz="0" w:space="0" w:color="auto"/>
      </w:divBdr>
    </w:div>
    <w:div w:id="656805272">
      <w:bodyDiv w:val="1"/>
      <w:marLeft w:val="0"/>
      <w:marRight w:val="0"/>
      <w:marTop w:val="0"/>
      <w:marBottom w:val="0"/>
      <w:divBdr>
        <w:top w:val="none" w:sz="0" w:space="0" w:color="auto"/>
        <w:left w:val="none" w:sz="0" w:space="0" w:color="auto"/>
        <w:bottom w:val="none" w:sz="0" w:space="0" w:color="auto"/>
        <w:right w:val="none" w:sz="0" w:space="0" w:color="auto"/>
      </w:divBdr>
    </w:div>
    <w:div w:id="711032029">
      <w:bodyDiv w:val="1"/>
      <w:marLeft w:val="0"/>
      <w:marRight w:val="0"/>
      <w:marTop w:val="0"/>
      <w:marBottom w:val="0"/>
      <w:divBdr>
        <w:top w:val="none" w:sz="0" w:space="0" w:color="auto"/>
        <w:left w:val="none" w:sz="0" w:space="0" w:color="auto"/>
        <w:bottom w:val="none" w:sz="0" w:space="0" w:color="auto"/>
        <w:right w:val="none" w:sz="0" w:space="0" w:color="auto"/>
      </w:divBdr>
    </w:div>
    <w:div w:id="1001591833">
      <w:bodyDiv w:val="1"/>
      <w:marLeft w:val="0"/>
      <w:marRight w:val="0"/>
      <w:marTop w:val="0"/>
      <w:marBottom w:val="0"/>
      <w:divBdr>
        <w:top w:val="none" w:sz="0" w:space="0" w:color="auto"/>
        <w:left w:val="none" w:sz="0" w:space="0" w:color="auto"/>
        <w:bottom w:val="none" w:sz="0" w:space="0" w:color="auto"/>
        <w:right w:val="none" w:sz="0" w:space="0" w:color="auto"/>
      </w:divBdr>
    </w:div>
    <w:div w:id="1038817111">
      <w:bodyDiv w:val="1"/>
      <w:marLeft w:val="0"/>
      <w:marRight w:val="0"/>
      <w:marTop w:val="0"/>
      <w:marBottom w:val="0"/>
      <w:divBdr>
        <w:top w:val="none" w:sz="0" w:space="0" w:color="auto"/>
        <w:left w:val="none" w:sz="0" w:space="0" w:color="auto"/>
        <w:bottom w:val="none" w:sz="0" w:space="0" w:color="auto"/>
        <w:right w:val="none" w:sz="0" w:space="0" w:color="auto"/>
      </w:divBdr>
    </w:div>
    <w:div w:id="1232693522">
      <w:bodyDiv w:val="1"/>
      <w:marLeft w:val="0"/>
      <w:marRight w:val="0"/>
      <w:marTop w:val="0"/>
      <w:marBottom w:val="0"/>
      <w:divBdr>
        <w:top w:val="none" w:sz="0" w:space="0" w:color="auto"/>
        <w:left w:val="none" w:sz="0" w:space="0" w:color="auto"/>
        <w:bottom w:val="none" w:sz="0" w:space="0" w:color="auto"/>
        <w:right w:val="none" w:sz="0" w:space="0" w:color="auto"/>
      </w:divBdr>
    </w:div>
    <w:div w:id="1239437200">
      <w:bodyDiv w:val="1"/>
      <w:marLeft w:val="0"/>
      <w:marRight w:val="0"/>
      <w:marTop w:val="0"/>
      <w:marBottom w:val="0"/>
      <w:divBdr>
        <w:top w:val="none" w:sz="0" w:space="0" w:color="auto"/>
        <w:left w:val="none" w:sz="0" w:space="0" w:color="auto"/>
        <w:bottom w:val="none" w:sz="0" w:space="0" w:color="auto"/>
        <w:right w:val="none" w:sz="0" w:space="0" w:color="auto"/>
      </w:divBdr>
    </w:div>
    <w:div w:id="1285036474">
      <w:bodyDiv w:val="1"/>
      <w:marLeft w:val="0"/>
      <w:marRight w:val="0"/>
      <w:marTop w:val="0"/>
      <w:marBottom w:val="0"/>
      <w:divBdr>
        <w:top w:val="none" w:sz="0" w:space="0" w:color="auto"/>
        <w:left w:val="none" w:sz="0" w:space="0" w:color="auto"/>
        <w:bottom w:val="none" w:sz="0" w:space="0" w:color="auto"/>
        <w:right w:val="none" w:sz="0" w:space="0" w:color="auto"/>
      </w:divBdr>
    </w:div>
    <w:div w:id="1415130091">
      <w:bodyDiv w:val="1"/>
      <w:marLeft w:val="0"/>
      <w:marRight w:val="0"/>
      <w:marTop w:val="0"/>
      <w:marBottom w:val="0"/>
      <w:divBdr>
        <w:top w:val="none" w:sz="0" w:space="0" w:color="auto"/>
        <w:left w:val="none" w:sz="0" w:space="0" w:color="auto"/>
        <w:bottom w:val="none" w:sz="0" w:space="0" w:color="auto"/>
        <w:right w:val="none" w:sz="0" w:space="0" w:color="auto"/>
      </w:divBdr>
    </w:div>
    <w:div w:id="1617060357">
      <w:bodyDiv w:val="1"/>
      <w:marLeft w:val="0"/>
      <w:marRight w:val="0"/>
      <w:marTop w:val="0"/>
      <w:marBottom w:val="0"/>
      <w:divBdr>
        <w:top w:val="none" w:sz="0" w:space="0" w:color="auto"/>
        <w:left w:val="none" w:sz="0" w:space="0" w:color="auto"/>
        <w:bottom w:val="none" w:sz="0" w:space="0" w:color="auto"/>
        <w:right w:val="none" w:sz="0" w:space="0" w:color="auto"/>
      </w:divBdr>
    </w:div>
    <w:div w:id="1722704943">
      <w:bodyDiv w:val="1"/>
      <w:marLeft w:val="0"/>
      <w:marRight w:val="0"/>
      <w:marTop w:val="0"/>
      <w:marBottom w:val="0"/>
      <w:divBdr>
        <w:top w:val="none" w:sz="0" w:space="0" w:color="auto"/>
        <w:left w:val="none" w:sz="0" w:space="0" w:color="auto"/>
        <w:bottom w:val="none" w:sz="0" w:space="0" w:color="auto"/>
        <w:right w:val="none" w:sz="0" w:space="0" w:color="auto"/>
      </w:divBdr>
    </w:div>
    <w:div w:id="204520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wmf"/><Relationship Id="rId50" Type="http://schemas.openxmlformats.org/officeDocument/2006/relationships/image" Target="media/image31.png"/><Relationship Id="rId55" Type="http://schemas.openxmlformats.org/officeDocument/2006/relationships/header" Target="header5.xml"/><Relationship Id="rId63" Type="http://schemas.openxmlformats.org/officeDocument/2006/relationships/footer" Target="footer8.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wmf"/><Relationship Id="rId53" Type="http://schemas.openxmlformats.org/officeDocument/2006/relationships/image" Target="media/image34.emf"/><Relationship Id="rId58" Type="http://schemas.openxmlformats.org/officeDocument/2006/relationships/header" Target="header6.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image" Target="media/image17.emf"/><Relationship Id="rId49" Type="http://schemas.openxmlformats.org/officeDocument/2006/relationships/image" Target="media/image30.wmf"/><Relationship Id="rId57" Type="http://schemas.openxmlformats.org/officeDocument/2006/relationships/footer" Target="footer5.xml"/><Relationship Id="rId61"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wmf"/><Relationship Id="rId52" Type="http://schemas.openxmlformats.org/officeDocument/2006/relationships/image" Target="media/image33.png"/><Relationship Id="rId60" Type="http://schemas.openxmlformats.org/officeDocument/2006/relationships/header" Target="header7.xm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4.xml"/><Relationship Id="rId64"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4.jpg"/><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footer" Target="footer6.xml"/><Relationship Id="rId67"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22.wmf"/><Relationship Id="rId54" Type="http://schemas.openxmlformats.org/officeDocument/2006/relationships/header" Target="header4.xml"/><Relationship Id="rId62"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statistics-explained/index.php/European_cities_%E2%80%93_the_EU-OECD_functional_urban_area_definition" TargetMode="External"/><Relationship Id="rId3" Type="http://schemas.openxmlformats.org/officeDocument/2006/relationships/hyperlink" Target="http://ec.europa.eu/digital-agenda/en/digital-agenda-scoreboard" TargetMode="External"/><Relationship Id="rId7" Type="http://schemas.openxmlformats.org/officeDocument/2006/relationships/hyperlink" Target="https://cohesiondata.ec.europa.eu/themes/2" TargetMode="External"/><Relationship Id="rId2" Type="http://schemas.openxmlformats.org/officeDocument/2006/relationships/hyperlink" Target="https://ec.europa.eu/digital-single-market/en/news/full-synopsis-report-public-consultation-needs-internet-speed-and-quality-beyond-2020" TargetMode="External"/><Relationship Id="rId1" Type="http://schemas.openxmlformats.org/officeDocument/2006/relationships/hyperlink" Target="http://www.europarl.europa.eu/oeil/popups/ficheprocedure.do?lang=en&amp;reference=2015/2147(INI)" TargetMode="External"/><Relationship Id="rId6" Type="http://schemas.openxmlformats.org/officeDocument/2006/relationships/hyperlink" Target="http://s3platform.jrc.ec.europa.eu/ict-monitoring" TargetMode="External"/><Relationship Id="rId5" Type="http://schemas.openxmlformats.org/officeDocument/2006/relationships/hyperlink" Target="http://www.fibre-systems.com/news/story/orange-plans-full-fibre-coverage-9-french-cities-2016" TargetMode="External"/><Relationship Id="rId4" Type="http://schemas.openxmlformats.org/officeDocument/2006/relationships/hyperlink" Target="https://ec.europa.eu/digital-single-market/en/download-scoreboard-report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et1.cec.eu.int\CNECT\F\4\BROADBAND\Implementation%20report-Broadband%20Cocom%20(Telecom%20Sector)\Broadband%20COCOM%20July%202015\Broadband%202015%20Jul%20fin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yssnni\AppData\Local\Microsoft\Windows\Temporary%20Internet%20Files\Content.Outlook\5YIEKPNB\Book1%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yssnni\AppData\Local\Microsoft\Windows\Temporary%20Internet%20Files\Content.Outlook\5YIEKPNB\100Mbps%20take-up%20per%20Member%20St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7205937106572"/>
          <c:y val="0.17995762041916138"/>
          <c:w val="0.82850682220024829"/>
          <c:h val="0.71352624714841328"/>
        </c:manualLayout>
      </c:layout>
      <c:lineChart>
        <c:grouping val="standard"/>
        <c:varyColors val="0"/>
        <c:ser>
          <c:idx val="3"/>
          <c:order val="0"/>
          <c:tx>
            <c:strRef>
              <c:f>'Scoreboard charts'!$C$102</c:f>
              <c:strCache>
                <c:ptCount val="1"/>
                <c:pt idx="0">
                  <c:v>Total</c:v>
                </c:pt>
              </c:strCache>
            </c:strRef>
          </c:tx>
          <c:spPr>
            <a:ln>
              <a:solidFill>
                <a:srgbClr val="FF0000"/>
              </a:solidFill>
            </a:ln>
          </c:spPr>
          <c:marker>
            <c:symbol val="circle"/>
            <c:size val="5"/>
            <c:spPr>
              <a:solidFill>
                <a:srgbClr val="FF0000"/>
              </a:solidFill>
              <a:ln>
                <a:solidFill>
                  <a:srgbClr val="FF0000"/>
                </a:solidFill>
              </a:ln>
            </c:spPr>
          </c:marker>
          <c:cat>
            <c:strRef>
              <c:f>'Scoreboard charts'!$B$103:$B$108</c:f>
              <c:strCache>
                <c:ptCount val="6"/>
                <c:pt idx="0">
                  <c:v>End 2010</c:v>
                </c:pt>
                <c:pt idx="1">
                  <c:v>End 2011</c:v>
                </c:pt>
                <c:pt idx="2">
                  <c:v>End 2012</c:v>
                </c:pt>
                <c:pt idx="3">
                  <c:v>End 2013</c:v>
                </c:pt>
                <c:pt idx="4">
                  <c:v>End 2014</c:v>
                </c:pt>
                <c:pt idx="5">
                  <c:v>Mid 2015</c:v>
                </c:pt>
              </c:strCache>
            </c:strRef>
          </c:cat>
          <c:val>
            <c:numRef>
              <c:f>'Scoreboard charts'!$C$103:$C$108</c:f>
              <c:numCache>
                <c:formatCode>0%</c:formatCode>
                <c:ptCount val="6"/>
                <c:pt idx="0">
                  <c:v>0.29000000000000009</c:v>
                </c:pt>
                <c:pt idx="1">
                  <c:v>0.48147418619119225</c:v>
                </c:pt>
                <c:pt idx="2">
                  <c:v>0.53728869891665676</c:v>
                </c:pt>
                <c:pt idx="3">
                  <c:v>0.61884586874173475</c:v>
                </c:pt>
                <c:pt idx="4">
                  <c:v>0.68077828107146798</c:v>
                </c:pt>
                <c:pt idx="5">
                  <c:v>0.7089884296541179</c:v>
                </c:pt>
              </c:numCache>
            </c:numRef>
          </c:val>
          <c:smooth val="0"/>
          <c:extLst xmlns:c16r2="http://schemas.microsoft.com/office/drawing/2015/06/chart">
            <c:ext xmlns:c16="http://schemas.microsoft.com/office/drawing/2014/chart" uri="{C3380CC4-5D6E-409C-BE32-E72D297353CC}">
              <c16:uniqueId val="{00000000-97BF-4E1F-9C6B-0DC2D26FD9D2}"/>
            </c:ext>
          </c:extLst>
        </c:ser>
        <c:ser>
          <c:idx val="0"/>
          <c:order val="1"/>
          <c:tx>
            <c:strRef>
              <c:f>'Scoreboard charts'!$D$102</c:f>
              <c:strCache>
                <c:ptCount val="1"/>
                <c:pt idx="0">
                  <c:v>Rural</c:v>
                </c:pt>
              </c:strCache>
            </c:strRef>
          </c:tx>
          <c:spPr>
            <a:ln>
              <a:solidFill>
                <a:schemeClr val="bg2">
                  <a:lumMod val="25000"/>
                </a:schemeClr>
              </a:solidFill>
            </a:ln>
          </c:spPr>
          <c:marker>
            <c:spPr>
              <a:solidFill>
                <a:schemeClr val="bg2">
                  <a:lumMod val="25000"/>
                </a:schemeClr>
              </a:solidFill>
            </c:spPr>
          </c:marker>
          <c:cat>
            <c:strRef>
              <c:f>'Scoreboard charts'!$B$103:$B$108</c:f>
              <c:strCache>
                <c:ptCount val="6"/>
                <c:pt idx="0">
                  <c:v>End 2010</c:v>
                </c:pt>
                <c:pt idx="1">
                  <c:v>End 2011</c:v>
                </c:pt>
                <c:pt idx="2">
                  <c:v>End 2012</c:v>
                </c:pt>
                <c:pt idx="3">
                  <c:v>End 2013</c:v>
                </c:pt>
                <c:pt idx="4">
                  <c:v>End 2014</c:v>
                </c:pt>
                <c:pt idx="5">
                  <c:v>Mid 2015</c:v>
                </c:pt>
              </c:strCache>
            </c:strRef>
          </c:cat>
          <c:val>
            <c:numRef>
              <c:f>'Scoreboard charts'!$D$103:$D$108</c:f>
              <c:numCache>
                <c:formatCode>0%</c:formatCode>
                <c:ptCount val="6"/>
                <c:pt idx="1">
                  <c:v>8.5334960463542581E-2</c:v>
                </c:pt>
                <c:pt idx="2">
                  <c:v>0.12377346068719659</c:v>
                </c:pt>
                <c:pt idx="3">
                  <c:v>0.18057333589488275</c:v>
                </c:pt>
                <c:pt idx="4">
                  <c:v>0.25076909059590025</c:v>
                </c:pt>
                <c:pt idx="5">
                  <c:v>0.2777427879819469</c:v>
                </c:pt>
              </c:numCache>
            </c:numRef>
          </c:val>
          <c:smooth val="0"/>
          <c:extLst xmlns:c16r2="http://schemas.microsoft.com/office/drawing/2015/06/chart">
            <c:ext xmlns:c16="http://schemas.microsoft.com/office/drawing/2014/chart" uri="{C3380CC4-5D6E-409C-BE32-E72D297353CC}">
              <c16:uniqueId val="{00000001-97BF-4E1F-9C6B-0DC2D26FD9D2}"/>
            </c:ext>
          </c:extLst>
        </c:ser>
        <c:dLbls>
          <c:showLegendKey val="0"/>
          <c:showVal val="0"/>
          <c:showCatName val="0"/>
          <c:showSerName val="0"/>
          <c:showPercent val="0"/>
          <c:showBubbleSize val="0"/>
        </c:dLbls>
        <c:marker val="1"/>
        <c:smooth val="0"/>
        <c:axId val="80983552"/>
        <c:axId val="82167296"/>
      </c:lineChart>
      <c:catAx>
        <c:axId val="80983552"/>
        <c:scaling>
          <c:orientation val="minMax"/>
        </c:scaling>
        <c:delete val="0"/>
        <c:axPos val="b"/>
        <c:numFmt formatCode="General" sourceLinked="1"/>
        <c:majorTickMark val="none"/>
        <c:minorTickMark val="none"/>
        <c:tickLblPos val="nextTo"/>
        <c:crossAx val="82167296"/>
        <c:crosses val="autoZero"/>
        <c:auto val="1"/>
        <c:lblAlgn val="ctr"/>
        <c:lblOffset val="100"/>
        <c:noMultiLvlLbl val="0"/>
      </c:catAx>
      <c:valAx>
        <c:axId val="82167296"/>
        <c:scaling>
          <c:orientation val="minMax"/>
          <c:max val="1"/>
        </c:scaling>
        <c:delete val="0"/>
        <c:axPos val="l"/>
        <c:majorGridlines>
          <c:spPr>
            <a:ln>
              <a:solidFill>
                <a:schemeClr val="tx1">
                  <a:lumMod val="65000"/>
                  <a:lumOff val="35000"/>
                </a:schemeClr>
              </a:solidFill>
              <a:prstDash val="dash"/>
            </a:ln>
          </c:spPr>
        </c:majorGridlines>
        <c:numFmt formatCode="0%" sourceLinked="0"/>
        <c:majorTickMark val="none"/>
        <c:minorTickMark val="none"/>
        <c:tickLblPos val="nextTo"/>
        <c:crossAx val="80983552"/>
        <c:crosses val="autoZero"/>
        <c:crossBetween val="between"/>
        <c:majorUnit val="0.2"/>
      </c:valAx>
    </c:plotArea>
    <c:legend>
      <c:legendPos val="r"/>
      <c:layout>
        <c:manualLayout>
          <c:xMode val="edge"/>
          <c:yMode val="edge"/>
          <c:x val="0.13881735829582675"/>
          <c:y val="0.18083432394697291"/>
          <c:w val="0.30035777803561525"/>
          <c:h val="0.12837097944013107"/>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4960445926135"/>
          <c:y val="0.14812032917954246"/>
          <c:w val="0.84772416745779133"/>
          <c:h val="0.67854425350254588"/>
        </c:manualLayout>
      </c:layout>
      <c:lineChart>
        <c:grouping val="standard"/>
        <c:varyColors val="0"/>
        <c:ser>
          <c:idx val="1"/>
          <c:order val="0"/>
          <c:tx>
            <c:strRef>
              <c:f>Sheet1!$D$22</c:f>
              <c:strCache>
                <c:ptCount val="1"/>
                <c:pt idx="0">
                  <c:v>At least 100Mbps</c:v>
                </c:pt>
              </c:strCache>
            </c:strRef>
          </c:tx>
          <c:marker>
            <c:symbol val="none"/>
          </c:marker>
          <c:cat>
            <c:strRef>
              <c:f>Sheet1!$B$23:$B$33</c:f>
              <c:strCache>
                <c:ptCount val="11"/>
                <c:pt idx="0">
                  <c:v> Jul-10</c:v>
                </c:pt>
                <c:pt idx="1">
                  <c:v> Jan-11</c:v>
                </c:pt>
                <c:pt idx="2">
                  <c:v> Jul-11</c:v>
                </c:pt>
                <c:pt idx="3">
                  <c:v> Jan-12</c:v>
                </c:pt>
                <c:pt idx="4">
                  <c:v> Jul-12</c:v>
                </c:pt>
                <c:pt idx="5">
                  <c:v> Jan-13</c:v>
                </c:pt>
                <c:pt idx="6">
                  <c:v> Jul-13</c:v>
                </c:pt>
                <c:pt idx="7">
                  <c:v> Jan-14</c:v>
                </c:pt>
                <c:pt idx="8">
                  <c:v> Jul-14</c:v>
                </c:pt>
                <c:pt idx="9">
                  <c:v> Jan-15</c:v>
                </c:pt>
                <c:pt idx="10">
                  <c:v> Jul-15</c:v>
                </c:pt>
              </c:strCache>
            </c:strRef>
          </c:cat>
          <c:val>
            <c:numRef>
              <c:f>Sheet1!$D$23:$D$33</c:f>
              <c:numCache>
                <c:formatCode>0.0%</c:formatCode>
                <c:ptCount val="11"/>
                <c:pt idx="0">
                  <c:v>4.6971003777994385E-3</c:v>
                </c:pt>
                <c:pt idx="1">
                  <c:v>8.3820097588391436E-3</c:v>
                </c:pt>
                <c:pt idx="2">
                  <c:v>8.9787206252265987E-3</c:v>
                </c:pt>
                <c:pt idx="3">
                  <c:v>1.617911974519887E-2</c:v>
                </c:pt>
                <c:pt idx="4">
                  <c:v>2.4669293142645564E-2</c:v>
                </c:pt>
                <c:pt idx="5">
                  <c:v>3.3259302970997814E-2</c:v>
                </c:pt>
                <c:pt idx="6">
                  <c:v>4.2105368013421726E-2</c:v>
                </c:pt>
                <c:pt idx="7">
                  <c:v>5.3669204453361381E-2</c:v>
                </c:pt>
                <c:pt idx="8">
                  <c:v>6.6518864059543228E-2</c:v>
                </c:pt>
                <c:pt idx="9">
                  <c:v>8.7136518243984315E-2</c:v>
                </c:pt>
                <c:pt idx="10">
                  <c:v>0.10819627252023163</c:v>
                </c:pt>
              </c:numCache>
            </c:numRef>
          </c:val>
          <c:smooth val="0"/>
          <c:extLst xmlns:c16r2="http://schemas.microsoft.com/office/drawing/2015/06/chart">
            <c:ext xmlns:c16="http://schemas.microsoft.com/office/drawing/2014/chart" uri="{C3380CC4-5D6E-409C-BE32-E72D297353CC}">
              <c16:uniqueId val="{00000000-3BA5-4E57-951E-46BFE8A3EA6E}"/>
            </c:ext>
          </c:extLst>
        </c:ser>
        <c:dLbls>
          <c:showLegendKey val="0"/>
          <c:showVal val="0"/>
          <c:showCatName val="0"/>
          <c:showSerName val="0"/>
          <c:showPercent val="0"/>
          <c:showBubbleSize val="0"/>
        </c:dLbls>
        <c:marker val="1"/>
        <c:smooth val="0"/>
        <c:axId val="84605184"/>
        <c:axId val="84639744"/>
      </c:lineChart>
      <c:catAx>
        <c:axId val="84605184"/>
        <c:scaling>
          <c:orientation val="minMax"/>
        </c:scaling>
        <c:delete val="0"/>
        <c:axPos val="b"/>
        <c:numFmt formatCode="General" sourceLinked="1"/>
        <c:majorTickMark val="none"/>
        <c:minorTickMark val="none"/>
        <c:tickLblPos val="nextTo"/>
        <c:crossAx val="84639744"/>
        <c:crosses val="autoZero"/>
        <c:auto val="1"/>
        <c:lblAlgn val="ctr"/>
        <c:lblOffset val="100"/>
        <c:tickLblSkip val="1"/>
        <c:noMultiLvlLbl val="0"/>
      </c:catAx>
      <c:valAx>
        <c:axId val="84639744"/>
        <c:scaling>
          <c:orientation val="minMax"/>
        </c:scaling>
        <c:delete val="0"/>
        <c:axPos val="l"/>
        <c:majorGridlines>
          <c:spPr>
            <a:ln>
              <a:solidFill>
                <a:schemeClr val="tx1">
                  <a:lumMod val="65000"/>
                  <a:lumOff val="35000"/>
                </a:schemeClr>
              </a:solidFill>
              <a:prstDash val="dash"/>
            </a:ln>
          </c:spPr>
        </c:majorGridlines>
        <c:numFmt formatCode="0%" sourceLinked="0"/>
        <c:majorTickMark val="none"/>
        <c:minorTickMark val="none"/>
        <c:tickLblPos val="nextTo"/>
        <c:crossAx val="84605184"/>
        <c:crosses val="autoZero"/>
        <c:crossBetween val="between"/>
        <c:majorUnit val="2.0000000000000007E-2"/>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296777092052715E-2"/>
          <c:y val="8.1895649832085277E-2"/>
          <c:w val="0.70422690406942379"/>
          <c:h val="0.82438789338623031"/>
        </c:manualLayout>
      </c:layout>
      <c:lineChart>
        <c:grouping val="standard"/>
        <c:varyColors val="0"/>
        <c:ser>
          <c:idx val="0"/>
          <c:order val="0"/>
          <c:tx>
            <c:strRef>
              <c:f>Sheet2!$E$17</c:f>
              <c:strCache>
                <c:ptCount val="1"/>
                <c:pt idx="0">
                  <c:v>LV</c:v>
                </c:pt>
              </c:strCache>
            </c:strRef>
          </c:tx>
          <c:marker>
            <c:symbol val="none"/>
          </c:marker>
          <c:cat>
            <c:numRef>
              <c:f>Sheet2!$D$18:$D$28</c:f>
              <c:numCache>
                <c:formatCode>[$-409]mmm\-yy;@</c:formatCode>
                <c:ptCount val="11"/>
                <c:pt idx="0">
                  <c:v>40360</c:v>
                </c:pt>
                <c:pt idx="1">
                  <c:v>40544</c:v>
                </c:pt>
                <c:pt idx="2">
                  <c:v>40725</c:v>
                </c:pt>
                <c:pt idx="3">
                  <c:v>40909</c:v>
                </c:pt>
                <c:pt idx="4">
                  <c:v>41091</c:v>
                </c:pt>
                <c:pt idx="5">
                  <c:v>41275</c:v>
                </c:pt>
                <c:pt idx="6">
                  <c:v>41456</c:v>
                </c:pt>
                <c:pt idx="7">
                  <c:v>41640</c:v>
                </c:pt>
                <c:pt idx="8">
                  <c:v>41821</c:v>
                </c:pt>
                <c:pt idx="9">
                  <c:v>42005</c:v>
                </c:pt>
                <c:pt idx="10">
                  <c:v>42186</c:v>
                </c:pt>
              </c:numCache>
            </c:numRef>
          </c:cat>
          <c:val>
            <c:numRef>
              <c:f>Sheet2!$E$18:$E$28</c:f>
              <c:numCache>
                <c:formatCode>0%</c:formatCode>
                <c:ptCount val="11"/>
                <c:pt idx="0">
                  <c:v>0</c:v>
                </c:pt>
                <c:pt idx="1">
                  <c:v>4.0000000000000008E-2</c:v>
                </c:pt>
                <c:pt idx="2">
                  <c:v>0.1</c:v>
                </c:pt>
                <c:pt idx="3">
                  <c:v>0.15000000000000002</c:v>
                </c:pt>
                <c:pt idx="4">
                  <c:v>0.14000000000000001</c:v>
                </c:pt>
                <c:pt idx="5">
                  <c:v>0.2</c:v>
                </c:pt>
                <c:pt idx="6">
                  <c:v>0.21000000000000002</c:v>
                </c:pt>
                <c:pt idx="7">
                  <c:v>0.36000000000000004</c:v>
                </c:pt>
                <c:pt idx="8">
                  <c:v>0.38000000000000006</c:v>
                </c:pt>
                <c:pt idx="9">
                  <c:v>0.4</c:v>
                </c:pt>
                <c:pt idx="10">
                  <c:v>0.42000000000000004</c:v>
                </c:pt>
              </c:numCache>
            </c:numRef>
          </c:val>
          <c:smooth val="0"/>
          <c:extLst xmlns:c16r2="http://schemas.microsoft.com/office/drawing/2015/06/chart">
            <c:ext xmlns:c16="http://schemas.microsoft.com/office/drawing/2014/chart" uri="{C3380CC4-5D6E-409C-BE32-E72D297353CC}">
              <c16:uniqueId val="{00000000-265B-40F5-9BC5-BE4E25FE93D2}"/>
            </c:ext>
          </c:extLst>
        </c:ser>
        <c:ser>
          <c:idx val="1"/>
          <c:order val="1"/>
          <c:tx>
            <c:strRef>
              <c:f>Sheet2!$F$17</c:f>
              <c:strCache>
                <c:ptCount val="1"/>
                <c:pt idx="0">
                  <c:v>RO</c:v>
                </c:pt>
              </c:strCache>
            </c:strRef>
          </c:tx>
          <c:marker>
            <c:symbol val="none"/>
          </c:marker>
          <c:cat>
            <c:numRef>
              <c:f>Sheet2!$D$18:$D$28</c:f>
              <c:numCache>
                <c:formatCode>[$-409]mmm\-yy;@</c:formatCode>
                <c:ptCount val="11"/>
                <c:pt idx="0">
                  <c:v>40360</c:v>
                </c:pt>
                <c:pt idx="1">
                  <c:v>40544</c:v>
                </c:pt>
                <c:pt idx="2">
                  <c:v>40725</c:v>
                </c:pt>
                <c:pt idx="3">
                  <c:v>40909</c:v>
                </c:pt>
                <c:pt idx="4">
                  <c:v>41091</c:v>
                </c:pt>
                <c:pt idx="5">
                  <c:v>41275</c:v>
                </c:pt>
                <c:pt idx="6">
                  <c:v>41456</c:v>
                </c:pt>
                <c:pt idx="7">
                  <c:v>41640</c:v>
                </c:pt>
                <c:pt idx="8">
                  <c:v>41821</c:v>
                </c:pt>
                <c:pt idx="9">
                  <c:v>42005</c:v>
                </c:pt>
                <c:pt idx="10">
                  <c:v>42186</c:v>
                </c:pt>
              </c:numCache>
            </c:numRef>
          </c:cat>
          <c:val>
            <c:numRef>
              <c:f>Sheet2!$F$18:$F$28</c:f>
              <c:numCache>
                <c:formatCode>0%</c:formatCode>
                <c:ptCount val="11"/>
                <c:pt idx="0">
                  <c:v>9.0000000000000011E-2</c:v>
                </c:pt>
                <c:pt idx="1">
                  <c:v>0.12000000000000001</c:v>
                </c:pt>
                <c:pt idx="2">
                  <c:v>0.15000000000000002</c:v>
                </c:pt>
                <c:pt idx="3">
                  <c:v>0.16</c:v>
                </c:pt>
                <c:pt idx="4">
                  <c:v>0.17</c:v>
                </c:pt>
                <c:pt idx="5">
                  <c:v>0.19</c:v>
                </c:pt>
                <c:pt idx="6">
                  <c:v>0.23</c:v>
                </c:pt>
                <c:pt idx="7">
                  <c:v>0.25</c:v>
                </c:pt>
                <c:pt idx="8">
                  <c:v>0.28000000000000008</c:v>
                </c:pt>
                <c:pt idx="9">
                  <c:v>0.49000000000000005</c:v>
                </c:pt>
                <c:pt idx="10">
                  <c:v>0.49000000000000005</c:v>
                </c:pt>
              </c:numCache>
            </c:numRef>
          </c:val>
          <c:smooth val="0"/>
          <c:extLst xmlns:c16r2="http://schemas.microsoft.com/office/drawing/2015/06/chart">
            <c:ext xmlns:c16="http://schemas.microsoft.com/office/drawing/2014/chart" uri="{C3380CC4-5D6E-409C-BE32-E72D297353CC}">
              <c16:uniqueId val="{00000001-265B-40F5-9BC5-BE4E25FE93D2}"/>
            </c:ext>
          </c:extLst>
        </c:ser>
        <c:ser>
          <c:idx val="2"/>
          <c:order val="2"/>
          <c:tx>
            <c:strRef>
              <c:f>Sheet2!$G$17</c:f>
              <c:strCache>
                <c:ptCount val="1"/>
                <c:pt idx="0">
                  <c:v>SE</c:v>
                </c:pt>
              </c:strCache>
            </c:strRef>
          </c:tx>
          <c:marker>
            <c:symbol val="none"/>
          </c:marker>
          <c:cat>
            <c:numRef>
              <c:f>Sheet2!$D$18:$D$28</c:f>
              <c:numCache>
                <c:formatCode>[$-409]mmm\-yy;@</c:formatCode>
                <c:ptCount val="11"/>
                <c:pt idx="0">
                  <c:v>40360</c:v>
                </c:pt>
                <c:pt idx="1">
                  <c:v>40544</c:v>
                </c:pt>
                <c:pt idx="2">
                  <c:v>40725</c:v>
                </c:pt>
                <c:pt idx="3">
                  <c:v>40909</c:v>
                </c:pt>
                <c:pt idx="4">
                  <c:v>41091</c:v>
                </c:pt>
                <c:pt idx="5">
                  <c:v>41275</c:v>
                </c:pt>
                <c:pt idx="6">
                  <c:v>41456</c:v>
                </c:pt>
                <c:pt idx="7">
                  <c:v>41640</c:v>
                </c:pt>
                <c:pt idx="8">
                  <c:v>41821</c:v>
                </c:pt>
                <c:pt idx="9">
                  <c:v>42005</c:v>
                </c:pt>
                <c:pt idx="10">
                  <c:v>42186</c:v>
                </c:pt>
              </c:numCache>
            </c:numRef>
          </c:cat>
          <c:val>
            <c:numRef>
              <c:f>Sheet2!$G$18:$G$28</c:f>
              <c:numCache>
                <c:formatCode>0%</c:formatCode>
                <c:ptCount val="11"/>
                <c:pt idx="0">
                  <c:v>0</c:v>
                </c:pt>
                <c:pt idx="1">
                  <c:v>4.0000000000000008E-2</c:v>
                </c:pt>
                <c:pt idx="2">
                  <c:v>4.0000000000000008E-2</c:v>
                </c:pt>
                <c:pt idx="3">
                  <c:v>0.16</c:v>
                </c:pt>
                <c:pt idx="4">
                  <c:v>0.18000000000000002</c:v>
                </c:pt>
                <c:pt idx="5">
                  <c:v>0.25</c:v>
                </c:pt>
                <c:pt idx="6">
                  <c:v>0.27</c:v>
                </c:pt>
                <c:pt idx="7">
                  <c:v>0.31000000000000005</c:v>
                </c:pt>
                <c:pt idx="8">
                  <c:v>0.34</c:v>
                </c:pt>
                <c:pt idx="9">
                  <c:v>0.38000000000000006</c:v>
                </c:pt>
                <c:pt idx="10">
                  <c:v>0.42000000000000004</c:v>
                </c:pt>
              </c:numCache>
            </c:numRef>
          </c:val>
          <c:smooth val="0"/>
          <c:extLst xmlns:c16r2="http://schemas.microsoft.com/office/drawing/2015/06/chart">
            <c:ext xmlns:c16="http://schemas.microsoft.com/office/drawing/2014/chart" uri="{C3380CC4-5D6E-409C-BE32-E72D297353CC}">
              <c16:uniqueId val="{00000002-265B-40F5-9BC5-BE4E25FE93D2}"/>
            </c:ext>
          </c:extLst>
        </c:ser>
        <c:dLbls>
          <c:showLegendKey val="0"/>
          <c:showVal val="0"/>
          <c:showCatName val="0"/>
          <c:showSerName val="0"/>
          <c:showPercent val="0"/>
          <c:showBubbleSize val="0"/>
        </c:dLbls>
        <c:marker val="1"/>
        <c:smooth val="0"/>
        <c:axId val="86833024"/>
        <c:axId val="86834560"/>
      </c:lineChart>
      <c:dateAx>
        <c:axId val="86833024"/>
        <c:scaling>
          <c:orientation val="minMax"/>
        </c:scaling>
        <c:delete val="0"/>
        <c:axPos val="b"/>
        <c:numFmt formatCode="[$-409]mmm\-yy;@" sourceLinked="1"/>
        <c:majorTickMark val="out"/>
        <c:minorTickMark val="none"/>
        <c:tickLblPos val="nextTo"/>
        <c:crossAx val="86834560"/>
        <c:crosses val="autoZero"/>
        <c:auto val="1"/>
        <c:lblOffset val="100"/>
        <c:baseTimeUnit val="months"/>
        <c:majorUnit val="6"/>
        <c:majorTimeUnit val="months"/>
      </c:dateAx>
      <c:valAx>
        <c:axId val="86834560"/>
        <c:scaling>
          <c:orientation val="minMax"/>
          <c:max val="0.5"/>
        </c:scaling>
        <c:delete val="0"/>
        <c:axPos val="l"/>
        <c:majorGridlines/>
        <c:numFmt formatCode="0%" sourceLinked="1"/>
        <c:majorTickMark val="out"/>
        <c:minorTickMark val="none"/>
        <c:tickLblPos val="nextTo"/>
        <c:crossAx val="8683302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_rels/drawing3.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0.01419</cdr:x>
      <cdr:y>0.01558</cdr:y>
    </cdr:from>
    <cdr:to>
      <cdr:x>0.98969</cdr:x>
      <cdr:y>0.19522</cdr:y>
    </cdr:to>
    <cdr:sp macro="" textlink="">
      <cdr:nvSpPr>
        <cdr:cNvPr id="3" name="TextBox 1"/>
        <cdr:cNvSpPr txBox="1"/>
      </cdr:nvSpPr>
      <cdr:spPr>
        <a:xfrm xmlns:a="http://schemas.openxmlformats.org/drawingml/2006/main">
          <a:off x="65552" y="37247"/>
          <a:ext cx="4506444" cy="429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b="1" dirty="0">
              <a:latin typeface="Arial" panose="020B0604020202020204" pitchFamily="34" charset="0"/>
              <a:cs typeface="Arial" panose="020B0604020202020204" pitchFamily="34" charset="0"/>
            </a:rPr>
            <a:t>Basic NGA broadband coverage in the EU</a:t>
          </a:r>
        </a:p>
      </cdr:txBody>
    </cdr:sp>
  </cdr:relSizeAnchor>
</c:userShapes>
</file>

<file path=word/drawings/drawing2.xml><?xml version="1.0" encoding="utf-8"?>
<c:userShapes xmlns:c="http://schemas.openxmlformats.org/drawingml/2006/chart">
  <cdr:relSizeAnchor xmlns:cdr="http://schemas.openxmlformats.org/drawingml/2006/chartDrawing">
    <cdr:from>
      <cdr:x>0.01419</cdr:x>
      <cdr:y>0.01558</cdr:y>
    </cdr:from>
    <cdr:to>
      <cdr:x>0.98763</cdr:x>
      <cdr:y>0.15972</cdr:y>
    </cdr:to>
    <cdr:sp macro="" textlink="">
      <cdr:nvSpPr>
        <cdr:cNvPr id="3" name="TextBox 1"/>
        <cdr:cNvSpPr txBox="1"/>
      </cdr:nvSpPr>
      <cdr:spPr>
        <a:xfrm xmlns:a="http://schemas.openxmlformats.org/drawingml/2006/main">
          <a:off x="45918" y="50416"/>
          <a:ext cx="3150013" cy="466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900" b="1" dirty="0">
              <a:latin typeface="Arial" panose="020B0604020202020204" pitchFamily="34" charset="0"/>
              <a:cs typeface="Arial" panose="020B0604020202020204" pitchFamily="34" charset="0"/>
            </a:rPr>
            <a:t>Fixed broadband subscriptions</a:t>
          </a:r>
          <a:r>
            <a:rPr lang="en-GB" sz="900" b="1" baseline="0" dirty="0">
              <a:latin typeface="Arial" panose="020B0604020202020204" pitchFamily="34" charset="0"/>
              <a:cs typeface="Arial" panose="020B0604020202020204" pitchFamily="34" charset="0"/>
            </a:rPr>
            <a:t> </a:t>
          </a:r>
          <a:r>
            <a:rPr lang="en-GB" sz="900" b="1" dirty="0">
              <a:latin typeface="Arial" panose="020B0604020202020204" pitchFamily="34" charset="0"/>
              <a:cs typeface="Arial" panose="020B0604020202020204" pitchFamily="34" charset="0"/>
            </a:rPr>
            <a:t>to at least</a:t>
          </a:r>
          <a:r>
            <a:rPr lang="en-GB" sz="900" b="1" baseline="0" dirty="0">
              <a:latin typeface="Arial" panose="020B0604020202020204" pitchFamily="34" charset="0"/>
              <a:cs typeface="Arial" panose="020B0604020202020204" pitchFamily="34" charset="0"/>
            </a:rPr>
            <a:t> 100 Mbps </a:t>
          </a:r>
          <a:r>
            <a:rPr lang="en-GB" sz="900" b="1" dirty="0">
              <a:latin typeface="Arial" panose="020B0604020202020204" pitchFamily="34" charset="0"/>
              <a:cs typeface="Arial" panose="020B0604020202020204" pitchFamily="34" charset="0"/>
            </a:rPr>
            <a:t>at EU level</a:t>
          </a:r>
        </a:p>
      </cdr:txBody>
    </cdr:sp>
  </cdr:relSizeAnchor>
</c:userShapes>
</file>

<file path=word/drawings/drawing3.xml><?xml version="1.0" encoding="utf-8"?>
<c:userShapes xmlns:c="http://schemas.openxmlformats.org/drawingml/2006/chart">
  <cdr:relSizeAnchor xmlns:cdr="http://schemas.openxmlformats.org/drawingml/2006/chartDrawing">
    <cdr:from>
      <cdr:x>0.20495</cdr:x>
      <cdr:y>0</cdr:y>
    </cdr:from>
    <cdr:to>
      <cdr:x>0.81041</cdr:x>
      <cdr:y>0.06108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6775" y="0"/>
          <a:ext cx="2560542" cy="33247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Reference xmlns="54035a28-145c-4b22-8bd3-f97db5a3862e" xsi:nil="true"/>
    <EC_Collab_DocumentLanguage xmlns="54035a28-145c-4b22-8bd3-f97db5a3862e">EN</EC_Collab_DocumentLanguag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14DA2D8941159F4C8CCEA250B6D56D68" ma:contentTypeVersion="9" ma:contentTypeDescription="Create a new document." ma:contentTypeScope="" ma:versionID="53daa7164df7b1a6a079f02bb8ea4be5">
  <xsd:schema xmlns:xsd="http://www.w3.org/2001/XMLSchema" xmlns:xs="http://www.w3.org/2001/XMLSchema" xmlns:p="http://schemas.microsoft.com/office/2006/metadata/properties" xmlns:ns3="54035a28-145c-4b22-8bd3-f97db5a3862e" targetNamespace="http://schemas.microsoft.com/office/2006/metadata/properties" ma:root="true" ma:fieldsID="3f84b9ba539f6764bcd001bbec80b44c" ns3:_="">
    <xsd:import namespace="54035a28-145c-4b22-8bd3-f97db5a3862e"/>
    <xsd:element name="properties">
      <xsd:complexType>
        <xsd:sequence>
          <xsd:element name="documentManagement">
            <xsd:complexType>
              <xsd:all>
                <xsd:element ref="ns3:EC_Collab_Reference" minOccurs="0"/>
                <xsd:element ref="ns3:EC_Collab_Document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5a28-145c-4b22-8bd3-f97db5a3862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F15AB-359C-4F9E-9B5D-4AC0287F8767}">
  <ds:schemaRefs>
    <ds:schemaRef ds:uri="http://schemas.microsoft.com/sharepoint/v3/contenttype/forms"/>
  </ds:schemaRefs>
</ds:datastoreItem>
</file>

<file path=customXml/itemProps2.xml><?xml version="1.0" encoding="utf-8"?>
<ds:datastoreItem xmlns:ds="http://schemas.openxmlformats.org/officeDocument/2006/customXml" ds:itemID="{60E9F8B1-392A-47AA-83A2-6B98FC379F66}">
  <ds:schemaRefs>
    <ds:schemaRef ds:uri="54035a28-145c-4b22-8bd3-f97db5a3862e"/>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98CCF79-F9A6-4FCA-A211-34F9E31C3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35a28-145c-4b22-8bd3-f97db5a38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56FD00-96D3-4CC5-8A35-E285BFCE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14225</Words>
  <Characters>76813</Characters>
  <Application>Microsoft Office Word</Application>
  <DocSecurity>0</DocSecurity>
  <Lines>2245</Lines>
  <Paragraphs>656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2016-09-14T07:09:00Z</dcterms:created>
  <dcterms:modified xsi:type="dcterms:W3CDTF">2016-09-14T07:09:00Z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0x010100258AA79CEB83498886A3A086811232500014DA2D8941159F4C8CCEA250B6D56D68</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