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21" w:rsidRDefault="00E73FF3" w:rsidP="00E73F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7A3FB5C33A4F1FBE811D19958DABDA" style="width:450.5pt;height:456.7pt">
            <v:imagedata r:id="rId7" o:title=""/>
          </v:shape>
        </w:pict>
      </w:r>
    </w:p>
    <w:bookmarkEnd w:id="0"/>
    <w:p w:rsidR="00555D21" w:rsidRDefault="00555D21">
      <w:pPr>
        <w:rPr>
          <w:noProof/>
        </w:rPr>
        <w:sectPr w:rsidR="00555D21" w:rsidSect="00E73FF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555D21" w:rsidRDefault="00B80EEF">
      <w:pPr>
        <w:spacing w:before="0" w:after="200" w:line="276" w:lineRule="auto"/>
        <w:jc w:val="center"/>
        <w:rPr>
          <w:rFonts w:cstheme="minorBidi"/>
          <w:noProof/>
          <w:szCs w:val="24"/>
        </w:rPr>
      </w:pPr>
      <w:bookmarkStart w:id="1" w:name="_GoBack"/>
      <w:bookmarkEnd w:id="1"/>
      <w:r>
        <w:rPr>
          <w:rFonts w:cstheme="minorBidi"/>
          <w:noProof/>
          <w:szCs w:val="24"/>
        </w:rPr>
        <w:lastRenderedPageBreak/>
        <w:t>REGIONAL CEILINGS</w:t>
      </w:r>
    </w:p>
    <w:p w:rsidR="00555D21" w:rsidRDefault="00555D21">
      <w:pPr>
        <w:spacing w:before="0" w:after="200" w:line="276" w:lineRule="auto"/>
        <w:jc w:val="center"/>
        <w:rPr>
          <w:rFonts w:cstheme="minorBidi"/>
          <w:noProof/>
          <w:szCs w:val="24"/>
        </w:rPr>
      </w:pPr>
    </w:p>
    <w:p w:rsidR="00555D21" w:rsidRDefault="00B80EEF">
      <w:pPr>
        <w:spacing w:before="0" w:after="200" w:line="276" w:lineRule="auto"/>
        <w:rPr>
          <w:rFonts w:cstheme="minorBidi"/>
          <w:i/>
          <w:noProof/>
          <w:szCs w:val="24"/>
        </w:rPr>
      </w:pPr>
      <w:r>
        <w:rPr>
          <w:rFonts w:cstheme="minorBidi"/>
          <w:noProof/>
          <w:szCs w:val="24"/>
        </w:rPr>
        <w:t>A. Pre-accession countries: EUR 9 679 000 000 of which EUR 9 239 000 000 under the general mandate and EUR 440 000 000 under the private sector lending mandate.</w:t>
      </w:r>
    </w:p>
    <w:p w:rsidR="00555D21" w:rsidRDefault="00B80EEF">
      <w:pPr>
        <w:spacing w:before="0" w:after="200" w:line="276" w:lineRule="auto"/>
        <w:rPr>
          <w:rFonts w:cstheme="minorBidi"/>
          <w:i/>
          <w:noProof/>
          <w:szCs w:val="24"/>
        </w:rPr>
      </w:pPr>
      <w:r>
        <w:rPr>
          <w:rFonts w:cstheme="minorBidi"/>
          <w:noProof/>
          <w:szCs w:val="24"/>
        </w:rPr>
        <w:t>B. Neighbourhood and Partnership countries: EUR 18 374 000 000, broken down into the following sub-ceilings:</w:t>
      </w:r>
    </w:p>
    <w:p w:rsidR="00555D21" w:rsidRDefault="00B80EEF">
      <w:pPr>
        <w:spacing w:before="0" w:after="200" w:line="276" w:lineRule="auto"/>
        <w:rPr>
          <w:rFonts w:cstheme="minorBidi"/>
          <w:i/>
          <w:noProof/>
          <w:szCs w:val="24"/>
        </w:rPr>
      </w:pPr>
      <w:r>
        <w:rPr>
          <w:rFonts w:cstheme="minorBidi"/>
          <w:noProof/>
          <w:szCs w:val="24"/>
        </w:rPr>
        <w:t>(i) Mediterranean countries: EUR 12 366 000 000 of which EUR 10 506 000 000 under the general mandate and EUR 1 860 000 000 under the private sector lending mandate;</w:t>
      </w:r>
    </w:p>
    <w:p w:rsidR="00555D21" w:rsidRDefault="00B80EEF">
      <w:pPr>
        <w:spacing w:before="0" w:after="200" w:line="276" w:lineRule="auto"/>
        <w:rPr>
          <w:rFonts w:cstheme="minorBidi"/>
          <w:i/>
          <w:noProof/>
          <w:szCs w:val="24"/>
        </w:rPr>
      </w:pPr>
      <w:r>
        <w:rPr>
          <w:rFonts w:cstheme="minorBidi"/>
          <w:noProof/>
          <w:szCs w:val="24"/>
        </w:rPr>
        <w:t>(ii) Eastern Europe, Southern Caucasus and Russia: EUR 6 008 000 000;</w:t>
      </w:r>
    </w:p>
    <w:p w:rsidR="00555D21" w:rsidRDefault="00B80EEF">
      <w:pPr>
        <w:spacing w:before="0" w:after="200" w:line="276" w:lineRule="auto"/>
        <w:rPr>
          <w:rFonts w:cstheme="minorBidi"/>
          <w:noProof/>
          <w:szCs w:val="24"/>
        </w:rPr>
      </w:pPr>
      <w:r>
        <w:rPr>
          <w:rFonts w:cstheme="minorBidi"/>
          <w:noProof/>
          <w:szCs w:val="24"/>
        </w:rPr>
        <w:t>C. Asia and Latin America: EUR 3 785 000 000, broken down into the following sub-ceilings:</w:t>
      </w:r>
    </w:p>
    <w:p w:rsidR="00555D21" w:rsidRDefault="00B80EEF">
      <w:pPr>
        <w:spacing w:before="0" w:after="200" w:line="276" w:lineRule="auto"/>
        <w:rPr>
          <w:rFonts w:cstheme="minorBidi"/>
          <w:noProof/>
          <w:szCs w:val="24"/>
          <w:lang w:val="it-IT"/>
        </w:rPr>
      </w:pPr>
      <w:r>
        <w:rPr>
          <w:rFonts w:cstheme="minorBidi"/>
          <w:noProof/>
          <w:szCs w:val="24"/>
          <w:lang w:val="it-IT"/>
        </w:rPr>
        <w:t xml:space="preserve">(i) Latin America: EUR 2 543 000 000; </w:t>
      </w:r>
    </w:p>
    <w:p w:rsidR="00555D21" w:rsidRDefault="00B80EEF">
      <w:pPr>
        <w:spacing w:before="0" w:after="200" w:line="276" w:lineRule="auto"/>
        <w:rPr>
          <w:rFonts w:cstheme="minorBidi"/>
          <w:noProof/>
          <w:szCs w:val="24"/>
          <w:lang w:val="it-IT"/>
        </w:rPr>
      </w:pPr>
      <w:r>
        <w:rPr>
          <w:rFonts w:cstheme="minorBidi"/>
          <w:noProof/>
          <w:szCs w:val="24"/>
          <w:lang w:val="it-IT"/>
        </w:rPr>
        <w:t xml:space="preserve">(ii) Asia: EUR 1 040 000 000; </w:t>
      </w:r>
    </w:p>
    <w:p w:rsidR="00555D21" w:rsidRDefault="00B80EEF">
      <w:pPr>
        <w:spacing w:before="0" w:after="200" w:line="276" w:lineRule="auto"/>
        <w:rPr>
          <w:rFonts w:cstheme="minorBidi"/>
          <w:noProof/>
          <w:szCs w:val="24"/>
        </w:rPr>
      </w:pPr>
      <w:r>
        <w:rPr>
          <w:rFonts w:cstheme="minorBidi"/>
          <w:noProof/>
          <w:szCs w:val="24"/>
        </w:rPr>
        <w:t xml:space="preserve">(iii) Central Asia: EUR 202 000 000; </w:t>
      </w:r>
    </w:p>
    <w:p w:rsidR="00555D21" w:rsidRDefault="00B80EEF">
      <w:pPr>
        <w:spacing w:before="0" w:after="200" w:line="276" w:lineRule="auto"/>
        <w:rPr>
          <w:rFonts w:cstheme="minorBidi"/>
          <w:noProof/>
          <w:szCs w:val="24"/>
        </w:rPr>
      </w:pPr>
      <w:r>
        <w:rPr>
          <w:rFonts w:cstheme="minorBidi"/>
          <w:noProof/>
          <w:szCs w:val="24"/>
        </w:rPr>
        <w:t>D. South Africa: EUR 462 000 000.</w:t>
      </w:r>
    </w:p>
    <w:p w:rsidR="00555D21" w:rsidRDefault="00B80EEF">
      <w:pPr>
        <w:spacing w:before="0" w:after="200" w:line="276" w:lineRule="auto"/>
        <w:rPr>
          <w:rFonts w:cstheme="minorBidi"/>
          <w:noProof/>
          <w:szCs w:val="24"/>
        </w:rPr>
      </w:pPr>
      <w:r>
        <w:rPr>
          <w:rFonts w:cstheme="minorBidi"/>
          <w:noProof/>
          <w:szCs w:val="24"/>
        </w:rPr>
        <w:t>Within the overall fixed ceiling, the EIB governing bodies may decide, after consulting the Commission, to reallocate an amount of up to 20 % of the sub-regional ceilings within regions and up to 20% of the regional ceilings between regions. The total amount of EUR 2 300 000 000 earmarked under the private sector lending mandate in points A and B shall not be modified.</w:t>
      </w:r>
    </w:p>
    <w:p w:rsidR="00555D21" w:rsidRDefault="00555D21">
      <w:pPr>
        <w:rPr>
          <w:noProof/>
        </w:rPr>
      </w:pPr>
    </w:p>
    <w:sectPr w:rsidR="00555D21" w:rsidSect="0066413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21" w:rsidRDefault="00B80EEF">
      <w:pPr>
        <w:spacing w:before="0" w:after="0"/>
      </w:pPr>
      <w:r>
        <w:separator/>
      </w:r>
    </w:p>
  </w:endnote>
  <w:endnote w:type="continuationSeparator" w:id="0">
    <w:p w:rsidR="00555D21" w:rsidRDefault="00B80E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FooterCoverPage"/>
      <w:rPr>
        <w:rFonts w:ascii="Arial" w:hAnsi="Arial" w:cs="Arial"/>
        <w:b/>
        <w:sz w:val="48"/>
      </w:rPr>
    </w:pPr>
    <w:r w:rsidRPr="00E73FF3">
      <w:rPr>
        <w:rFonts w:ascii="Arial" w:hAnsi="Arial" w:cs="Arial"/>
        <w:b/>
        <w:sz w:val="48"/>
      </w:rPr>
      <w:t>EN</w:t>
    </w:r>
    <w:r w:rsidRPr="00E73FF3">
      <w:rPr>
        <w:rFonts w:ascii="Arial" w:hAnsi="Arial" w:cs="Arial"/>
        <w:b/>
        <w:sz w:val="48"/>
      </w:rPr>
      <w:tab/>
    </w:r>
    <w:r w:rsidRPr="00E73FF3">
      <w:rPr>
        <w:rFonts w:ascii="Arial" w:hAnsi="Arial" w:cs="Arial"/>
        <w:b/>
        <w:sz w:val="48"/>
      </w:rPr>
      <w:tab/>
    </w:r>
    <w:fldSimple w:instr=" DOCVARIABLE &quot;LW_Confidence&quot; \* MERGEFORMAT ">
      <w:r>
        <w:t xml:space="preserve"> </w:t>
      </w:r>
    </w:fldSimple>
    <w:r w:rsidRPr="00E73FF3">
      <w:tab/>
    </w:r>
    <w:proofErr w:type="spellStart"/>
    <w:r w:rsidRPr="00E73FF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21" w:rsidRDefault="00555D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61279"/>
      <w:docPartObj>
        <w:docPartGallery w:val="Page Numbers (Bottom of Page)"/>
        <w:docPartUnique/>
      </w:docPartObj>
    </w:sdtPr>
    <w:sdtEndPr>
      <w:rPr>
        <w:noProof/>
      </w:rPr>
    </w:sdtEndPr>
    <w:sdtContent>
      <w:p w:rsidR="00664137" w:rsidRDefault="00664137">
        <w:pPr>
          <w:pStyle w:val="Footer"/>
          <w:jc w:val="center"/>
        </w:pPr>
        <w:r>
          <w:fldChar w:fldCharType="begin"/>
        </w:r>
        <w:r>
          <w:instrText xml:space="preserve"> PAGE   \* MERGEFORMAT </w:instrText>
        </w:r>
        <w:r>
          <w:fldChar w:fldCharType="separate"/>
        </w:r>
        <w:r w:rsidR="00E73FF3">
          <w:rPr>
            <w:noProof/>
          </w:rPr>
          <w:t>2</w:t>
        </w:r>
        <w:r>
          <w:rPr>
            <w:noProof/>
          </w:rPr>
          <w:fldChar w:fldCharType="end"/>
        </w:r>
      </w:p>
    </w:sdtContent>
  </w:sdt>
  <w:p w:rsidR="00555D21" w:rsidRDefault="00555D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21" w:rsidRDefault="00555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21" w:rsidRDefault="00B80EEF">
      <w:pPr>
        <w:spacing w:before="0" w:after="0"/>
      </w:pPr>
      <w:r>
        <w:separator/>
      </w:r>
    </w:p>
  </w:footnote>
  <w:footnote w:type="continuationSeparator" w:id="0">
    <w:p w:rsidR="00555D21" w:rsidRDefault="00B80E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F3" w:rsidRPr="00E73FF3" w:rsidRDefault="00E73FF3" w:rsidP="00E73F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21" w:rsidRDefault="00555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21" w:rsidRDefault="00555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21" w:rsidRDefault="00555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927A3FB5C33A4F1FBE811D19958DABDA"/>
    <w:docVar w:name="LW_CROSSREFERENCE" w:val="&lt;UNUSED&gt;"/>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mending Decision No 466/2014/EU of the European Parliament and of the Council of 16 April 2014 on granting an EU guarantee to the European Investment Bank against losses under financing operations supporting investment projects outside the Union_x000b_"/>
    <w:docVar w:name="LW_PART_NBR" w:val="1"/>
    <w:docVar w:name="LW_PART_NBR_TOTAL" w:val="1"/>
    <w:docVar w:name="LW_REF.INST.NEW" w:val="COM"/>
    <w:docVar w:name="LW_REF.INST.NEW_ADOPTED" w:val="&lt;EMPTY&gt;"/>
    <w:docVar w:name="LW_REF.INST.NEW_TEXT" w:val="(2016) 583 final"/>
    <w:docVar w:name="LW_REF.INTERNE" w:val="&lt;UNUSED&gt;"/>
    <w:docVar w:name="LW_SUPERTITRE" w:val="&lt;UNUSED&gt;"/>
    <w:docVar w:name="LW_TITRE.OBJ.CP" w:val="Regional Ceilings"/>
    <w:docVar w:name="LW_TYPE.DOC.CP" w:val="ANNEX_x000b_"/>
    <w:docVar w:name="LW_TYPEACTEPRINCIPAL.CP" w:val="Proposal for a Decision of the European Parliament and of the Council"/>
  </w:docVars>
  <w:rsids>
    <w:rsidRoot w:val="00555D21"/>
    <w:rsid w:val="00555D21"/>
    <w:rsid w:val="00664137"/>
    <w:rsid w:val="00B43A2C"/>
    <w:rsid w:val="00B80EEF"/>
    <w:rsid w:val="00C23F33"/>
    <w:rsid w:val="00E7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925</Characters>
  <Application>Microsoft Office Word</Application>
  <DocSecurity>4</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Monique (ECFIN)</dc:creator>
  <cp:lastModifiedBy>KITRIMI Efstathia (SG)</cp:lastModifiedBy>
  <cp:revision>2</cp:revision>
  <cp:lastPrinted>2016-09-09T18:19:00Z</cp:lastPrinted>
  <dcterms:created xsi:type="dcterms:W3CDTF">2016-09-14T06:57:00Z</dcterms:created>
  <dcterms:modified xsi:type="dcterms:W3CDTF">2016-09-14T06:57:00Z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