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179" w:rsidRDefault="004D304B" w:rsidP="004D304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739DEBE3DA34218A753F89E569F91DE" style="width:450.5pt;height:456.35pt">
            <v:imagedata r:id="rId7" o:title=""/>
          </v:shape>
        </w:pict>
      </w:r>
    </w:p>
    <w:bookmarkEnd w:id="0"/>
    <w:p w:rsidR="00E72179" w:rsidRDefault="00E72179">
      <w:pPr>
        <w:rPr>
          <w:noProof/>
        </w:rPr>
        <w:sectPr w:rsidR="00E72179" w:rsidSect="004D304B">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E72179" w:rsidRDefault="00A83AC2">
      <w:pPr>
        <w:spacing w:before="0" w:after="200" w:line="276" w:lineRule="auto"/>
        <w:jc w:val="center"/>
        <w:rPr>
          <w:rFonts w:cstheme="minorBidi"/>
          <w:noProof/>
          <w:szCs w:val="24"/>
        </w:rPr>
      </w:pPr>
      <w:bookmarkStart w:id="1" w:name="_GoBack"/>
      <w:bookmarkEnd w:id="1"/>
      <w:r>
        <w:rPr>
          <w:rFonts w:cstheme="minorBidi"/>
          <w:noProof/>
          <w:szCs w:val="24"/>
        </w:rPr>
        <w:lastRenderedPageBreak/>
        <w:t>POTENTIALLY ELIGIBLE REGIONS AND COUNTRIES</w:t>
      </w:r>
    </w:p>
    <w:p w:rsidR="00E72179" w:rsidRDefault="00A83AC2">
      <w:pPr>
        <w:widowControl w:val="0"/>
        <w:tabs>
          <w:tab w:val="left" w:pos="289"/>
        </w:tabs>
        <w:spacing w:before="0"/>
        <w:jc w:val="left"/>
        <w:rPr>
          <w:rFonts w:cstheme="minorBidi"/>
          <w:noProof/>
          <w:szCs w:val="24"/>
          <w:lang w:val="en-US"/>
        </w:rPr>
      </w:pPr>
      <w:r>
        <w:rPr>
          <w:rFonts w:cstheme="minorBidi"/>
          <w:noProof/>
          <w:szCs w:val="24"/>
          <w:shd w:val="clear" w:color="auto" w:fill="FFFFFF"/>
          <w:lang w:val="en-US"/>
        </w:rPr>
        <w:t>A. Pre-accession countries</w:t>
      </w:r>
    </w:p>
    <w:p w:rsidR="00E72179" w:rsidRDefault="00A83AC2">
      <w:pPr>
        <w:widowControl w:val="0"/>
        <w:tabs>
          <w:tab w:val="left" w:pos="250"/>
        </w:tabs>
        <w:spacing w:before="0"/>
        <w:jc w:val="left"/>
        <w:rPr>
          <w:rFonts w:cstheme="minorBidi"/>
          <w:noProof/>
          <w:szCs w:val="24"/>
          <w:lang w:val="en-US"/>
        </w:rPr>
      </w:pPr>
      <w:r>
        <w:rPr>
          <w:rFonts w:cstheme="minorBidi"/>
          <w:noProof/>
          <w:szCs w:val="24"/>
          <w:shd w:val="clear" w:color="auto" w:fill="FFFFFF"/>
          <w:lang w:val="en-US"/>
        </w:rPr>
        <w:t>1. Candidates</w:t>
      </w:r>
    </w:p>
    <w:p w:rsidR="00E72179" w:rsidRDefault="00A83AC2">
      <w:pPr>
        <w:widowControl w:val="0"/>
        <w:spacing w:before="0"/>
        <w:ind w:left="260"/>
        <w:rPr>
          <w:rFonts w:cstheme="minorBidi"/>
          <w:noProof/>
          <w:szCs w:val="24"/>
          <w:lang w:val="en-US"/>
        </w:rPr>
      </w:pPr>
      <w:r>
        <w:rPr>
          <w:rFonts w:cstheme="minorBidi"/>
          <w:noProof/>
          <w:szCs w:val="24"/>
          <w:shd w:val="clear" w:color="auto" w:fill="FFFFFF"/>
          <w:lang w:val="en-US"/>
        </w:rPr>
        <w:t>Albania, former Yugoslav Republic of Macedonia, Montenegro, Serbia, Turkey</w:t>
      </w:r>
    </w:p>
    <w:p w:rsidR="00E72179" w:rsidRDefault="00A83AC2">
      <w:pPr>
        <w:widowControl w:val="0"/>
        <w:tabs>
          <w:tab w:val="left" w:pos="250"/>
        </w:tabs>
        <w:spacing w:before="0"/>
        <w:jc w:val="left"/>
        <w:rPr>
          <w:rFonts w:cstheme="minorBidi"/>
          <w:noProof/>
          <w:szCs w:val="24"/>
          <w:lang w:val="en-US"/>
        </w:rPr>
      </w:pPr>
      <w:r>
        <w:rPr>
          <w:rFonts w:cstheme="minorBidi"/>
          <w:noProof/>
          <w:szCs w:val="24"/>
          <w:shd w:val="clear" w:color="auto" w:fill="FFFFFF"/>
          <w:lang w:val="en-US"/>
        </w:rPr>
        <w:t>2. Potential candidates</w:t>
      </w:r>
    </w:p>
    <w:p w:rsidR="00E72179" w:rsidRDefault="00A83AC2">
      <w:pPr>
        <w:widowControl w:val="0"/>
        <w:spacing w:before="0"/>
        <w:ind w:left="260"/>
        <w:rPr>
          <w:rFonts w:cstheme="minorBidi"/>
          <w:noProof/>
          <w:szCs w:val="24"/>
          <w:shd w:val="clear" w:color="auto" w:fill="FFFFFF"/>
          <w:lang w:val="en-US"/>
        </w:rPr>
      </w:pPr>
      <w:r>
        <w:rPr>
          <w:rFonts w:cstheme="minorBidi"/>
          <w:noProof/>
          <w:szCs w:val="24"/>
          <w:shd w:val="clear" w:color="auto" w:fill="FFFFFF"/>
          <w:lang w:val="en-US"/>
        </w:rPr>
        <w:t>Bosnia and Herzegovina, Kosovo</w:t>
      </w:r>
    </w:p>
    <w:p w:rsidR="00E72179" w:rsidRDefault="00E72179">
      <w:pPr>
        <w:widowControl w:val="0"/>
        <w:spacing w:before="0"/>
        <w:ind w:left="260"/>
        <w:rPr>
          <w:rFonts w:cstheme="minorBidi"/>
          <w:noProof/>
          <w:szCs w:val="24"/>
          <w:lang w:val="en-US"/>
        </w:rPr>
      </w:pPr>
    </w:p>
    <w:p w:rsidR="00E72179" w:rsidRDefault="00A83AC2">
      <w:pPr>
        <w:widowControl w:val="0"/>
        <w:tabs>
          <w:tab w:val="left" w:pos="260"/>
        </w:tabs>
        <w:spacing w:before="0"/>
        <w:jc w:val="left"/>
        <w:rPr>
          <w:rFonts w:cstheme="minorBidi"/>
          <w:noProof/>
          <w:szCs w:val="24"/>
          <w:lang w:val="en-US"/>
        </w:rPr>
      </w:pPr>
      <w:r>
        <w:rPr>
          <w:rFonts w:cstheme="minorBidi"/>
          <w:noProof/>
          <w:szCs w:val="24"/>
          <w:shd w:val="clear" w:color="auto" w:fill="FFFFFF"/>
          <w:lang w:val="en-US"/>
        </w:rPr>
        <w:t>B. Neighbourhood and Partnership countries</w:t>
      </w:r>
    </w:p>
    <w:p w:rsidR="00E72179" w:rsidRDefault="00A83AC2">
      <w:pPr>
        <w:widowControl w:val="0"/>
        <w:tabs>
          <w:tab w:val="left" w:pos="246"/>
        </w:tabs>
        <w:spacing w:before="0"/>
        <w:jc w:val="left"/>
        <w:rPr>
          <w:rFonts w:cstheme="minorBidi"/>
          <w:noProof/>
          <w:szCs w:val="24"/>
          <w:lang w:val="en-US"/>
        </w:rPr>
      </w:pPr>
      <w:r>
        <w:rPr>
          <w:rFonts w:cstheme="minorBidi"/>
          <w:noProof/>
          <w:szCs w:val="24"/>
          <w:shd w:val="clear" w:color="auto" w:fill="FFFFFF"/>
          <w:lang w:val="en-US"/>
        </w:rPr>
        <w:t>1. Mediterranean countries</w:t>
      </w:r>
    </w:p>
    <w:p w:rsidR="00E72179" w:rsidRDefault="00A83AC2">
      <w:pPr>
        <w:widowControl w:val="0"/>
        <w:spacing w:before="0"/>
        <w:ind w:left="260"/>
        <w:rPr>
          <w:rFonts w:cstheme="minorBidi"/>
          <w:noProof/>
          <w:szCs w:val="24"/>
          <w:lang w:val="en-US"/>
        </w:rPr>
      </w:pPr>
      <w:r>
        <w:rPr>
          <w:rFonts w:cstheme="minorBidi"/>
          <w:noProof/>
          <w:szCs w:val="24"/>
          <w:shd w:val="clear" w:color="auto" w:fill="FFFFFF"/>
          <w:lang w:val="en-US"/>
        </w:rPr>
        <w:t>Algeria, Egypt, Jordan, Lebanon, Libya, Morocco, Palestine, Syria, Tunisia</w:t>
      </w:r>
    </w:p>
    <w:p w:rsidR="00E72179" w:rsidRDefault="00A83AC2">
      <w:pPr>
        <w:widowControl w:val="0"/>
        <w:tabs>
          <w:tab w:val="left" w:pos="250"/>
          <w:tab w:val="left" w:pos="4080"/>
        </w:tabs>
        <w:spacing w:before="0"/>
        <w:ind w:right="169"/>
        <w:jc w:val="left"/>
        <w:rPr>
          <w:rFonts w:cstheme="minorBidi"/>
          <w:noProof/>
          <w:szCs w:val="24"/>
          <w:shd w:val="clear" w:color="auto" w:fill="FFFFFF"/>
          <w:lang w:val="en-US"/>
        </w:rPr>
      </w:pPr>
      <w:r>
        <w:rPr>
          <w:rFonts w:cstheme="minorBidi"/>
          <w:noProof/>
          <w:szCs w:val="24"/>
          <w:shd w:val="clear" w:color="auto" w:fill="FFFFFF"/>
          <w:lang w:val="en-US"/>
        </w:rPr>
        <w:t xml:space="preserve">2. Eastern Europe, Southern Caucasus and Russia </w:t>
      </w:r>
    </w:p>
    <w:p w:rsidR="00E72179" w:rsidRDefault="00A83AC2">
      <w:pPr>
        <w:widowControl w:val="0"/>
        <w:tabs>
          <w:tab w:val="left" w:pos="250"/>
          <w:tab w:val="left" w:pos="4080"/>
        </w:tabs>
        <w:spacing w:before="0"/>
        <w:ind w:right="169"/>
        <w:rPr>
          <w:rFonts w:cstheme="minorBidi"/>
          <w:noProof/>
          <w:szCs w:val="24"/>
          <w:shd w:val="clear" w:color="auto" w:fill="FFFFFF"/>
          <w:lang w:val="en-US"/>
        </w:rPr>
      </w:pPr>
      <w:r>
        <w:rPr>
          <w:rFonts w:cstheme="minorBidi"/>
          <w:noProof/>
          <w:szCs w:val="24"/>
          <w:shd w:val="clear" w:color="auto" w:fill="FFFFFF"/>
          <w:lang w:val="en-US"/>
        </w:rPr>
        <w:tab/>
        <w:t xml:space="preserve">Eastern Europe: Belarus, Republic of Moldova, Ukraine </w:t>
      </w:r>
    </w:p>
    <w:p w:rsidR="00A53BB8" w:rsidRDefault="00A83AC2">
      <w:pPr>
        <w:widowControl w:val="0"/>
        <w:shd w:val="clear" w:color="auto" w:fill="FFFFFF"/>
        <w:tabs>
          <w:tab w:val="left" w:pos="250"/>
        </w:tabs>
        <w:spacing w:before="0"/>
        <w:ind w:left="20" w:right="1031"/>
        <w:jc w:val="left"/>
        <w:rPr>
          <w:rFonts w:cstheme="minorBidi"/>
          <w:noProof/>
          <w:szCs w:val="24"/>
          <w:shd w:val="clear" w:color="auto" w:fill="FFFFFF"/>
          <w:lang w:val="en-US"/>
        </w:rPr>
      </w:pPr>
      <w:r>
        <w:rPr>
          <w:rFonts w:cstheme="minorBidi"/>
          <w:noProof/>
          <w:szCs w:val="24"/>
          <w:shd w:val="clear" w:color="auto" w:fill="FFFFFF"/>
          <w:lang w:val="en-US"/>
        </w:rPr>
        <w:tab/>
        <w:t xml:space="preserve">Southern Caucasus: Armenia, Azerbaijan, Georgia </w:t>
      </w:r>
    </w:p>
    <w:p w:rsidR="00E72179" w:rsidRDefault="00A53BB8">
      <w:pPr>
        <w:widowControl w:val="0"/>
        <w:shd w:val="clear" w:color="auto" w:fill="FFFFFF"/>
        <w:tabs>
          <w:tab w:val="left" w:pos="250"/>
        </w:tabs>
        <w:spacing w:before="0"/>
        <w:ind w:left="20" w:right="1031"/>
        <w:jc w:val="left"/>
        <w:rPr>
          <w:rFonts w:cstheme="minorBidi"/>
          <w:noProof/>
          <w:szCs w:val="24"/>
          <w:shd w:val="clear" w:color="auto" w:fill="FFFFFF"/>
          <w:lang w:val="en-US"/>
        </w:rPr>
      </w:pPr>
      <w:r>
        <w:rPr>
          <w:rFonts w:cstheme="minorBidi"/>
          <w:noProof/>
          <w:szCs w:val="24"/>
          <w:shd w:val="clear" w:color="auto" w:fill="FFFFFF"/>
          <w:lang w:val="en-US"/>
        </w:rPr>
        <w:tab/>
      </w:r>
      <w:r w:rsidR="00A83AC2">
        <w:rPr>
          <w:rFonts w:cstheme="minorBidi"/>
          <w:noProof/>
          <w:szCs w:val="24"/>
          <w:shd w:val="clear" w:color="auto" w:fill="FFFFFF"/>
          <w:lang w:val="en-US"/>
        </w:rPr>
        <w:t>Russia</w:t>
      </w:r>
    </w:p>
    <w:p w:rsidR="00E72179" w:rsidRDefault="00E72179">
      <w:pPr>
        <w:widowControl w:val="0"/>
        <w:shd w:val="clear" w:color="auto" w:fill="FFFFFF"/>
        <w:tabs>
          <w:tab w:val="left" w:pos="250"/>
        </w:tabs>
        <w:spacing w:before="0"/>
        <w:ind w:left="20" w:right="1031"/>
        <w:jc w:val="left"/>
        <w:rPr>
          <w:rFonts w:cstheme="minorBidi"/>
          <w:noProof/>
          <w:szCs w:val="24"/>
          <w:lang w:val="en-US"/>
        </w:rPr>
      </w:pPr>
    </w:p>
    <w:p w:rsidR="00E72179" w:rsidRDefault="00A83AC2">
      <w:pPr>
        <w:widowControl w:val="0"/>
        <w:tabs>
          <w:tab w:val="left" w:pos="260"/>
        </w:tabs>
        <w:spacing w:before="0"/>
        <w:jc w:val="left"/>
        <w:rPr>
          <w:rFonts w:cstheme="minorBidi"/>
          <w:noProof/>
          <w:szCs w:val="24"/>
          <w:lang w:val="en-US"/>
        </w:rPr>
      </w:pPr>
      <w:r>
        <w:rPr>
          <w:rFonts w:cstheme="minorBidi"/>
          <w:noProof/>
          <w:szCs w:val="24"/>
          <w:shd w:val="clear" w:color="auto" w:fill="FFFFFF"/>
          <w:lang w:val="en-US"/>
        </w:rPr>
        <w:t>C. Asia and Latin America</w:t>
      </w:r>
    </w:p>
    <w:p w:rsidR="00E72179" w:rsidRPr="004D304B" w:rsidRDefault="00A83AC2">
      <w:pPr>
        <w:widowControl w:val="0"/>
        <w:tabs>
          <w:tab w:val="left" w:pos="246"/>
        </w:tabs>
        <w:spacing w:before="0"/>
        <w:jc w:val="left"/>
        <w:rPr>
          <w:rFonts w:cstheme="minorBidi"/>
          <w:noProof/>
          <w:szCs w:val="24"/>
        </w:rPr>
      </w:pPr>
      <w:r w:rsidRPr="004D304B">
        <w:rPr>
          <w:rFonts w:cstheme="minorBidi"/>
          <w:noProof/>
          <w:szCs w:val="24"/>
          <w:shd w:val="clear" w:color="auto" w:fill="FFFFFF"/>
        </w:rPr>
        <w:t>1. Latin America</w:t>
      </w:r>
    </w:p>
    <w:p w:rsidR="00E72179" w:rsidRDefault="00A83AC2">
      <w:pPr>
        <w:widowControl w:val="0"/>
        <w:spacing w:before="0"/>
        <w:ind w:left="260" w:right="200"/>
        <w:rPr>
          <w:rFonts w:cstheme="minorBidi"/>
          <w:noProof/>
          <w:szCs w:val="24"/>
          <w:lang w:val="es-ES"/>
        </w:rPr>
      </w:pPr>
      <w:r>
        <w:rPr>
          <w:rFonts w:cstheme="minorBidi"/>
          <w:noProof/>
          <w:szCs w:val="24"/>
          <w:shd w:val="clear" w:color="auto" w:fill="FFFFFF"/>
          <w:lang w:val="es-ES"/>
        </w:rPr>
        <w:t>Argentina, Bolivia, Brazil, Colombia, Costa Rica, Cuba, Ecuador, El Salvador, Guatemala, Honduras, Mexico, Nicaragua, Panama, Paraguay, Peru, Uruguay, Venezuela</w:t>
      </w:r>
    </w:p>
    <w:p w:rsidR="00E72179" w:rsidRDefault="00A83AC2">
      <w:pPr>
        <w:widowControl w:val="0"/>
        <w:tabs>
          <w:tab w:val="left" w:pos="246"/>
        </w:tabs>
        <w:spacing w:before="0"/>
        <w:jc w:val="left"/>
        <w:rPr>
          <w:rFonts w:cstheme="minorBidi"/>
          <w:noProof/>
          <w:szCs w:val="24"/>
          <w:lang w:val="es-ES"/>
        </w:rPr>
      </w:pPr>
      <w:r>
        <w:rPr>
          <w:rFonts w:cstheme="minorBidi"/>
          <w:noProof/>
          <w:szCs w:val="24"/>
          <w:shd w:val="clear" w:color="auto" w:fill="FFFFFF"/>
          <w:lang w:val="es-ES"/>
        </w:rPr>
        <w:t>2. Asia</w:t>
      </w:r>
    </w:p>
    <w:p w:rsidR="00E72179" w:rsidRDefault="00A83AC2">
      <w:pPr>
        <w:widowControl w:val="0"/>
        <w:spacing w:before="0"/>
        <w:ind w:left="260" w:right="200"/>
        <w:rPr>
          <w:rFonts w:cstheme="minorBidi"/>
          <w:noProof/>
          <w:szCs w:val="24"/>
          <w:lang w:val="es-ES"/>
        </w:rPr>
      </w:pPr>
      <w:r>
        <w:rPr>
          <w:rFonts w:cstheme="minorBidi"/>
          <w:noProof/>
          <w:szCs w:val="24"/>
          <w:shd w:val="clear" w:color="auto" w:fill="FFFFFF"/>
          <w:lang w:val="es-ES"/>
        </w:rPr>
        <w:t xml:space="preserve">Afghanistan, Bangladesh, Bhutan, Cambodia, China, India, Indonesia, </w:t>
      </w:r>
      <w:r w:rsidR="009F3A2D" w:rsidRPr="009F3A2D">
        <w:rPr>
          <w:rFonts w:cstheme="minorBidi"/>
          <w:noProof/>
          <w:szCs w:val="24"/>
          <w:shd w:val="clear" w:color="auto" w:fill="FFFFFF"/>
          <w:lang w:val="es-ES"/>
        </w:rPr>
        <w:t xml:space="preserve">Iran, </w:t>
      </w:r>
      <w:r>
        <w:rPr>
          <w:rFonts w:cstheme="minorBidi"/>
          <w:noProof/>
          <w:szCs w:val="24"/>
          <w:shd w:val="clear" w:color="auto" w:fill="FFFFFF"/>
          <w:lang w:val="es-ES"/>
        </w:rPr>
        <w:t>Iraq, Laos, Malaysia, Maldives, Mongolia, Myanmar/Burma, Nepal, Pakistan, Philippines, Sri Lanka, Taiwan, Thailand, Vietnam, Yemen</w:t>
      </w:r>
    </w:p>
    <w:p w:rsidR="00E72179" w:rsidRDefault="00A83AC2">
      <w:pPr>
        <w:widowControl w:val="0"/>
        <w:tabs>
          <w:tab w:val="left" w:pos="250"/>
        </w:tabs>
        <w:spacing w:before="0"/>
        <w:jc w:val="left"/>
        <w:rPr>
          <w:rFonts w:cstheme="minorBidi"/>
          <w:noProof/>
          <w:szCs w:val="24"/>
          <w:lang w:val="fi-FI"/>
        </w:rPr>
      </w:pPr>
      <w:r>
        <w:rPr>
          <w:rFonts w:cstheme="minorBidi"/>
          <w:noProof/>
          <w:szCs w:val="24"/>
          <w:shd w:val="clear" w:color="auto" w:fill="FFFFFF"/>
          <w:lang w:val="fi-FI"/>
        </w:rPr>
        <w:t>3. Central Asia</w:t>
      </w:r>
    </w:p>
    <w:p w:rsidR="00E72179" w:rsidRDefault="00A83AC2">
      <w:pPr>
        <w:widowControl w:val="0"/>
        <w:spacing w:before="0"/>
        <w:ind w:left="260"/>
        <w:rPr>
          <w:rFonts w:cstheme="minorBidi"/>
          <w:noProof/>
          <w:szCs w:val="24"/>
          <w:shd w:val="clear" w:color="auto" w:fill="FFFFFF"/>
          <w:lang w:val="fi-FI"/>
        </w:rPr>
      </w:pPr>
      <w:r>
        <w:rPr>
          <w:rFonts w:cstheme="minorBidi"/>
          <w:noProof/>
          <w:szCs w:val="24"/>
          <w:shd w:val="clear" w:color="auto" w:fill="FFFFFF"/>
          <w:lang w:val="fi-FI"/>
        </w:rPr>
        <w:t>Kazakhstan, Kyrgyzstan, Tajikistan, Turkmenistan, Uzbekistan</w:t>
      </w:r>
    </w:p>
    <w:p w:rsidR="00E72179" w:rsidRDefault="00E72179">
      <w:pPr>
        <w:widowControl w:val="0"/>
        <w:spacing w:before="0"/>
        <w:ind w:left="260"/>
        <w:rPr>
          <w:rFonts w:cstheme="minorBidi"/>
          <w:noProof/>
          <w:szCs w:val="24"/>
          <w:lang w:val="fi-FI"/>
        </w:rPr>
      </w:pPr>
    </w:p>
    <w:p w:rsidR="00E72179" w:rsidRDefault="00A83AC2">
      <w:pPr>
        <w:widowControl w:val="0"/>
        <w:tabs>
          <w:tab w:val="left" w:pos="294"/>
          <w:tab w:val="left" w:pos="2400"/>
          <w:tab w:val="left" w:pos="2520"/>
          <w:tab w:val="left" w:pos="9240"/>
        </w:tabs>
        <w:spacing w:before="0"/>
        <w:ind w:right="5929"/>
        <w:jc w:val="left"/>
        <w:rPr>
          <w:rFonts w:cstheme="minorBidi"/>
          <w:noProof/>
          <w:szCs w:val="24"/>
          <w:lang w:val="en-US"/>
        </w:rPr>
      </w:pPr>
      <w:r>
        <w:rPr>
          <w:rFonts w:cstheme="minorBidi"/>
          <w:noProof/>
          <w:szCs w:val="24"/>
          <w:shd w:val="clear" w:color="auto" w:fill="FFFFFF"/>
          <w:lang w:val="en-US"/>
        </w:rPr>
        <w:t xml:space="preserve">D. South Africa </w:t>
      </w:r>
    </w:p>
    <w:p w:rsidR="00E72179" w:rsidRDefault="00A83AC2">
      <w:pPr>
        <w:widowControl w:val="0"/>
        <w:tabs>
          <w:tab w:val="left" w:pos="294"/>
          <w:tab w:val="left" w:pos="2400"/>
          <w:tab w:val="left" w:pos="2520"/>
          <w:tab w:val="left" w:pos="9240"/>
        </w:tabs>
        <w:spacing w:before="0"/>
        <w:ind w:right="5929"/>
        <w:jc w:val="left"/>
        <w:rPr>
          <w:rFonts w:cstheme="minorBidi"/>
          <w:noProof/>
          <w:szCs w:val="24"/>
          <w:lang w:val="en-US"/>
        </w:rPr>
      </w:pPr>
      <w:r>
        <w:rPr>
          <w:rFonts w:cstheme="minorBidi"/>
          <w:noProof/>
          <w:szCs w:val="24"/>
          <w:lang w:val="en-US"/>
        </w:rPr>
        <w:tab/>
      </w:r>
      <w:r>
        <w:rPr>
          <w:rFonts w:cstheme="minorBidi"/>
          <w:noProof/>
          <w:szCs w:val="24"/>
        </w:rPr>
        <w:t>South Africa</w:t>
      </w:r>
    </w:p>
    <w:p w:rsidR="00E72179" w:rsidRDefault="00E72179">
      <w:pPr>
        <w:rPr>
          <w:noProof/>
        </w:rPr>
      </w:pPr>
    </w:p>
    <w:p w:rsidR="00E72179" w:rsidRDefault="00E72179">
      <w:pPr>
        <w:spacing w:before="0" w:after="200" w:line="276" w:lineRule="auto"/>
        <w:jc w:val="center"/>
        <w:rPr>
          <w:noProof/>
        </w:rPr>
      </w:pPr>
    </w:p>
    <w:sectPr w:rsidR="00E7217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179" w:rsidRDefault="00A83AC2">
      <w:pPr>
        <w:spacing w:before="0" w:after="0"/>
      </w:pPr>
      <w:r>
        <w:separator/>
      </w:r>
    </w:p>
  </w:endnote>
  <w:endnote w:type="continuationSeparator" w:id="0">
    <w:p w:rsidR="00E72179" w:rsidRDefault="00A83A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04B" w:rsidRPr="004D304B" w:rsidRDefault="004D304B" w:rsidP="004D30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04B" w:rsidRPr="004D304B" w:rsidRDefault="004D304B" w:rsidP="004D304B">
    <w:pPr>
      <w:pStyle w:val="FooterCoverPage"/>
      <w:rPr>
        <w:rFonts w:ascii="Arial" w:hAnsi="Arial" w:cs="Arial"/>
        <w:b/>
        <w:sz w:val="48"/>
      </w:rPr>
    </w:pPr>
    <w:r w:rsidRPr="004D304B">
      <w:rPr>
        <w:rFonts w:ascii="Arial" w:hAnsi="Arial" w:cs="Arial"/>
        <w:b/>
        <w:sz w:val="48"/>
      </w:rPr>
      <w:t>EN</w:t>
    </w:r>
    <w:r w:rsidRPr="004D304B">
      <w:rPr>
        <w:rFonts w:ascii="Arial" w:hAnsi="Arial" w:cs="Arial"/>
        <w:b/>
        <w:sz w:val="48"/>
      </w:rPr>
      <w:tab/>
    </w:r>
    <w:r w:rsidRPr="004D304B">
      <w:rPr>
        <w:rFonts w:ascii="Arial" w:hAnsi="Arial" w:cs="Arial"/>
        <w:b/>
        <w:sz w:val="48"/>
      </w:rPr>
      <w:tab/>
    </w:r>
    <w:fldSimple w:instr=" DOCVARIABLE &quot;LW_Confidence&quot; \* MERGEFORMAT ">
      <w:r>
        <w:t xml:space="preserve"> </w:t>
      </w:r>
    </w:fldSimple>
    <w:r w:rsidRPr="004D304B">
      <w:tab/>
    </w:r>
    <w:proofErr w:type="spellStart"/>
    <w:r w:rsidRPr="004D304B">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04B" w:rsidRPr="004D304B" w:rsidRDefault="004D304B" w:rsidP="004D304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179" w:rsidRDefault="00E7217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201514"/>
      <w:docPartObj>
        <w:docPartGallery w:val="Page Numbers (Bottom of Page)"/>
        <w:docPartUnique/>
      </w:docPartObj>
    </w:sdtPr>
    <w:sdtEndPr>
      <w:rPr>
        <w:noProof/>
      </w:rPr>
    </w:sdtEndPr>
    <w:sdtContent>
      <w:p w:rsidR="00E72179" w:rsidRDefault="00A83AC2">
        <w:pPr>
          <w:pStyle w:val="Footer"/>
          <w:jc w:val="center"/>
        </w:pPr>
        <w:r>
          <w:fldChar w:fldCharType="begin"/>
        </w:r>
        <w:r>
          <w:instrText xml:space="preserve"> PAGE   \* MERGEFORMAT </w:instrText>
        </w:r>
        <w:r>
          <w:fldChar w:fldCharType="separate"/>
        </w:r>
        <w:r w:rsidR="004D304B">
          <w:rPr>
            <w:noProof/>
          </w:rPr>
          <w:t>2</w:t>
        </w:r>
        <w:r>
          <w:rPr>
            <w:noProof/>
          </w:rPr>
          <w:fldChar w:fldCharType="end"/>
        </w:r>
      </w:p>
    </w:sdtContent>
  </w:sdt>
  <w:p w:rsidR="00E72179" w:rsidRDefault="00E7217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179" w:rsidRDefault="00E721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179" w:rsidRDefault="00A83AC2">
      <w:pPr>
        <w:spacing w:before="0" w:after="0"/>
      </w:pPr>
      <w:r>
        <w:separator/>
      </w:r>
    </w:p>
  </w:footnote>
  <w:footnote w:type="continuationSeparator" w:id="0">
    <w:p w:rsidR="00E72179" w:rsidRDefault="00A83AC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04B" w:rsidRPr="004D304B" w:rsidRDefault="004D304B" w:rsidP="004D30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04B" w:rsidRPr="004D304B" w:rsidRDefault="004D304B" w:rsidP="004D304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04B" w:rsidRPr="004D304B" w:rsidRDefault="004D304B" w:rsidP="004D304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179" w:rsidRDefault="00E7217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179" w:rsidRDefault="00E7217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179" w:rsidRDefault="00E721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2"/>
    <w:docVar w:name="LW_ANNEX_NBR_LAST" w:val="2"/>
    <w:docVar w:name="LW_CONFIDENCE" w:val=" "/>
    <w:docVar w:name="LW_CONST_RESTREINT_UE" w:val="RESTREINT UE/EU RESTRICTED"/>
    <w:docVar w:name="LW_CORRIGENDUM" w:val="&lt;UNUSED&gt;"/>
    <w:docVar w:name="LW_COVERPAGE_GUID" w:val="E739DEBE3DA34218A753F89E569F91DE"/>
    <w:docVar w:name="LW_CROSSREFERENCE" w:val="&lt;UNUSED&gt;"/>
    <w:docVar w:name="LW_DocType" w:val="NORMAL"/>
    <w:docVar w:name="LW_EMISSION" w:val="14.9.2016"/>
    <w:docVar w:name="LW_EMISSION_ISODATE" w:val="2016-09-14"/>
    <w:docVar w:name="LW_EMISSION_LOCATION" w:val="BRX"/>
    <w:docVar w:name="LW_EMISSION_PREFIX" w:val="Brussels, "/>
    <w:docVar w:name="LW_EMISSION_SUFFIX" w:val=" "/>
    <w:docVar w:name="LW_ID_DOCTYPE_NONLW" w:val="CP-036"/>
    <w:docVar w:name="LW_LANGUE" w:val="EN"/>
    <w:docVar w:name="LW_MARKING" w:val="&lt;UNUSED&gt;"/>
    <w:docVar w:name="LW_NOM.INST" w:val="EUROPEAN COMMISSION"/>
    <w:docVar w:name="LW_NOM.INST_JOINTDOC" w:val="&lt;EMPTY&gt;"/>
    <w:docVar w:name="LW_OBJETACTEPRINCIPAL.CP" w:val="amending Decision No 466/2014/EU of the European Parliament and of the Council of 16 April 2014 on granting an EU guarantee to the European Investment Bank against losses under financing operations supporting investment projects outside the Union_x000b_"/>
    <w:docVar w:name="LW_PART_NBR" w:val="1"/>
    <w:docVar w:name="LW_PART_NBR_TOTAL" w:val="1"/>
    <w:docVar w:name="LW_REF.INST.NEW" w:val="COM"/>
    <w:docVar w:name="LW_REF.INST.NEW_ADOPTED" w:val="&lt;EMPTY&gt;"/>
    <w:docVar w:name="LW_REF.INST.NEW_TEXT" w:val="(2016) 583 final"/>
    <w:docVar w:name="LW_REF.INTERNE" w:val="&lt;UNUSED&gt;"/>
    <w:docVar w:name="LW_SUPERTITRE" w:val="&lt;UNUSED&gt;"/>
    <w:docVar w:name="LW_TITRE.OBJ.CP" w:val="Potentially eligible regions and countries"/>
    <w:docVar w:name="LW_TYPE.DOC.CP" w:val="ANNEX_x000b_"/>
    <w:docVar w:name="LW_TYPEACTEPRINCIPAL.CP" w:val="Proposal for a Decision of the European Parliament and of the Council"/>
  </w:docVars>
  <w:rsids>
    <w:rsidRoot w:val="00E72179"/>
    <w:rsid w:val="002B42CA"/>
    <w:rsid w:val="00300C08"/>
    <w:rsid w:val="004D304B"/>
    <w:rsid w:val="009F3A2D"/>
    <w:rsid w:val="00A53BB8"/>
    <w:rsid w:val="00A83AC2"/>
    <w:rsid w:val="00AD74B0"/>
    <w:rsid w:val="00BA3CD4"/>
    <w:rsid w:val="00E72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cstheme="minorBidi"/>
      <w:szCs w:val="24"/>
    </w:rPr>
  </w:style>
  <w:style w:type="character" w:customStyle="1" w:styleId="FooterCoverPageChar">
    <w:name w:val="Footer Cover Page Char"/>
    <w:basedOn w:val="DefaultParagraphFont"/>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before="0"/>
    </w:pPr>
    <w:rPr>
      <w:rFonts w:cstheme="minorBidi"/>
      <w:szCs w:val="24"/>
    </w:rPr>
  </w:style>
  <w:style w:type="character" w:customStyle="1" w:styleId="HeaderCoverPageChar">
    <w:name w:val="Header Cover Page Char"/>
    <w:basedOn w:val="DefaultParagraphFont"/>
    <w:link w:val="HeaderCoverPage"/>
    <w:rPr>
      <w:rFonts w:ascii="Times New Roman" w:hAnsi="Times New Roman"/>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cstheme="minorBidi"/>
      <w:szCs w:val="24"/>
    </w:rPr>
  </w:style>
  <w:style w:type="character" w:customStyle="1" w:styleId="FooterCoverPageChar">
    <w:name w:val="Footer Cover Page Char"/>
    <w:basedOn w:val="DefaultParagraphFont"/>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before="0"/>
    </w:pPr>
    <w:rPr>
      <w:rFonts w:cstheme="minorBidi"/>
      <w:szCs w:val="24"/>
    </w:rPr>
  </w:style>
  <w:style w:type="character" w:customStyle="1" w:styleId="HeaderCoverPageChar">
    <w:name w:val="Header Cover Page Char"/>
    <w:basedOn w:val="DefaultParagraphFont"/>
    <w:link w:val="HeaderCoverPage"/>
    <w:rPr>
      <w:rFonts w:ascii="Times New Roman" w:hAnsi="Times New Roman"/>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911</Characters>
  <Application>Microsoft Office Word</Application>
  <DocSecurity>4</DocSecurity>
  <Lines>32</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KIRSCH Monique (ECFIN)</dc:creator>
  <cp:lastModifiedBy>KITRIMI Efstathia (SG)</cp:lastModifiedBy>
  <cp:revision>2</cp:revision>
  <cp:lastPrinted>2016-09-09T18:29:00Z</cp:lastPrinted>
  <dcterms:created xsi:type="dcterms:W3CDTF">2016-09-14T06:58:00Z</dcterms:created>
  <dcterms:modified xsi:type="dcterms:W3CDTF">2016-09-14T06:58:00Z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